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autoSpaceDE w:val="0"/>
        <w:autoSpaceDN w:val="0"/>
        <w:adjustRightInd w:val="0"/>
        <w:jc w:val="right"/>
        <w:rPr>
          <w:szCs w:val="21"/>
        </w:rPr>
      </w:pPr>
      <w:r>
        <w:rPr>
          <w:rFonts w:hint="eastAsia"/>
          <w:szCs w:val="21"/>
        </w:rPr>
        <w:t xml:space="preserve"> </w:t>
      </w:r>
    </w:p>
    <w:p>
      <w:pPr>
        <w:autoSpaceDE w:val="0"/>
        <w:autoSpaceDN w:val="0"/>
        <w:adjustRightInd w:val="0"/>
        <w:jc w:val="right"/>
        <w:rPr>
          <w:sz w:val="44"/>
          <w:szCs w:val="44"/>
        </w:rPr>
      </w:pPr>
    </w:p>
    <w:p>
      <w:pPr>
        <w:autoSpaceDE w:val="0"/>
        <w:autoSpaceDN w:val="0"/>
        <w:adjustRightInd w:val="0"/>
        <w:spacing w:line="640" w:lineRule="exact"/>
        <w:jc w:val="center"/>
        <w:rPr>
          <w:rFonts w:ascii="黑体" w:hAnsi="黑体" w:eastAsia="黑体"/>
          <w:sz w:val="28"/>
          <w:szCs w:val="28"/>
        </w:rPr>
      </w:pPr>
      <w:r>
        <w:rPr>
          <w:rFonts w:hint="eastAsia" w:ascii="黑体" w:hAnsi="黑体" w:eastAsia="黑体"/>
          <w:sz w:val="28"/>
          <w:szCs w:val="28"/>
        </w:rPr>
        <w:t>江西省工程建设标准</w:t>
      </w:r>
    </w:p>
    <w:p>
      <w:pPr>
        <w:autoSpaceDE w:val="0"/>
        <w:autoSpaceDN w:val="0"/>
        <w:adjustRightInd w:val="0"/>
        <w:spacing w:line="720" w:lineRule="auto"/>
        <w:rPr>
          <w:sz w:val="44"/>
          <w:szCs w:val="44"/>
        </w:rPr>
      </w:pPr>
    </w:p>
    <w:p>
      <w:pPr>
        <w:autoSpaceDE w:val="0"/>
        <w:autoSpaceDN w:val="0"/>
        <w:adjustRightInd w:val="0"/>
        <w:spacing w:line="720" w:lineRule="auto"/>
        <w:jc w:val="center"/>
        <w:rPr>
          <w:rFonts w:ascii="黑体" w:hAnsi="黑体" w:eastAsia="黑体"/>
          <w:b/>
          <w:sz w:val="32"/>
          <w:szCs w:val="32"/>
        </w:rPr>
      </w:pPr>
      <w:r>
        <w:rPr>
          <w:rFonts w:hint="eastAsia" w:ascii="黑体" w:hAnsi="黑体" w:eastAsia="黑体"/>
          <w:b/>
          <w:sz w:val="32"/>
          <w:szCs w:val="32"/>
        </w:rPr>
        <w:t>江西省智慧灯杆建设技术标准</w:t>
      </w:r>
    </w:p>
    <w:p>
      <w:pPr>
        <w:autoSpaceDE w:val="0"/>
        <w:autoSpaceDN w:val="0"/>
        <w:adjustRightInd w:val="0"/>
        <w:jc w:val="center"/>
        <w:rPr>
          <w:szCs w:val="21"/>
        </w:rPr>
      </w:pPr>
      <w:r>
        <w:rPr>
          <w:rFonts w:hint="eastAsia" w:ascii="黑体" w:hAnsi="黑体" w:eastAsia="黑体"/>
          <w:szCs w:val="21"/>
        </w:rPr>
        <w:t>Technical standard of the construction of smart lighting pole in JiangXi</w:t>
      </w:r>
    </w:p>
    <w:p>
      <w:pPr>
        <w:autoSpaceDE w:val="0"/>
        <w:autoSpaceDN w:val="0"/>
        <w:adjustRightInd w:val="0"/>
        <w:rPr>
          <w:sz w:val="28"/>
          <w:szCs w:val="28"/>
        </w:rPr>
      </w:pPr>
    </w:p>
    <w:p>
      <w:pPr>
        <w:autoSpaceDE w:val="0"/>
        <w:autoSpaceDN w:val="0"/>
        <w:adjustRightInd w:val="0"/>
        <w:rPr>
          <w:sz w:val="28"/>
          <w:szCs w:val="28"/>
        </w:rPr>
      </w:pPr>
    </w:p>
    <w:p>
      <w:pPr>
        <w:jc w:val="center"/>
        <w:rPr>
          <w:b/>
          <w:sz w:val="28"/>
          <w:szCs w:val="28"/>
        </w:rPr>
      </w:pPr>
    </w:p>
    <w:p>
      <w:pPr>
        <w:jc w:val="center"/>
        <w:rPr>
          <w:b/>
          <w:sz w:val="28"/>
          <w:szCs w:val="28"/>
        </w:rPr>
      </w:pPr>
    </w:p>
    <w:p>
      <w:pPr>
        <w:spacing w:line="300" w:lineRule="auto"/>
        <w:jc w:val="center"/>
        <w:rPr>
          <w:rFonts w:ascii="宋体" w:hAnsi="宋体" w:cs="黑体"/>
          <w:bCs/>
          <w:szCs w:val="21"/>
        </w:rPr>
      </w:pPr>
      <w:r>
        <w:rPr>
          <w:rFonts w:hint="eastAsia" w:ascii="宋体" w:hAnsi="宋体" w:cs="黑体"/>
          <w:bCs/>
          <w:szCs w:val="21"/>
        </w:rPr>
        <w:t>主编单位：江西</w:t>
      </w:r>
      <w:r>
        <w:rPr>
          <w:rFonts w:hint="eastAsia" w:ascii="宋体" w:hAnsi="宋体"/>
          <w:bCs/>
          <w:szCs w:val="21"/>
        </w:rPr>
        <w:t>省</w:t>
      </w:r>
      <w:r>
        <w:rPr>
          <w:rFonts w:hint="eastAsia" w:ascii="宋体" w:hAnsi="宋体" w:cs="黑体"/>
          <w:bCs/>
          <w:szCs w:val="21"/>
        </w:rPr>
        <w:t>通信管理局</w:t>
      </w:r>
    </w:p>
    <w:p>
      <w:pPr>
        <w:spacing w:line="300" w:lineRule="auto"/>
        <w:jc w:val="left"/>
        <w:rPr>
          <w:rFonts w:ascii="宋体" w:hAnsi="宋体" w:cs="黑体"/>
          <w:bCs/>
          <w:szCs w:val="21"/>
        </w:rPr>
      </w:pPr>
      <w:r>
        <w:rPr>
          <w:rFonts w:hint="eastAsia" w:ascii="宋体" w:hAnsi="宋体" w:cs="黑体"/>
          <w:bCs/>
          <w:szCs w:val="21"/>
        </w:rPr>
        <w:t xml:space="preserve">                                              中国铁塔股份有限公司江西省分公司</w:t>
      </w:r>
    </w:p>
    <w:p>
      <w:pPr>
        <w:spacing w:line="300" w:lineRule="auto"/>
        <w:jc w:val="left"/>
        <w:rPr>
          <w:rFonts w:ascii="宋体" w:hAnsi="宋体" w:cs="黑体"/>
          <w:bCs/>
          <w:szCs w:val="21"/>
        </w:rPr>
      </w:pPr>
      <w:r>
        <w:rPr>
          <w:rFonts w:hint="eastAsia" w:ascii="宋体" w:hAnsi="宋体" w:cs="黑体"/>
          <w:bCs/>
          <w:szCs w:val="21"/>
        </w:rPr>
        <w:t xml:space="preserve">                                    批准部门：江西</w:t>
      </w:r>
      <w:r>
        <w:rPr>
          <w:rFonts w:hint="eastAsia" w:ascii="宋体" w:hAnsi="宋体"/>
          <w:bCs/>
          <w:szCs w:val="21"/>
        </w:rPr>
        <w:t>省住房和城乡建设厅</w:t>
      </w:r>
    </w:p>
    <w:p>
      <w:pPr>
        <w:spacing w:line="300" w:lineRule="auto"/>
        <w:jc w:val="center"/>
        <w:rPr>
          <w:rFonts w:ascii="黑体" w:hAnsi="黑体" w:eastAsia="黑体" w:cs="黑体"/>
          <w:b/>
          <w:szCs w:val="21"/>
        </w:rPr>
      </w:pPr>
      <w:r>
        <w:rPr>
          <w:rFonts w:hint="eastAsia" w:ascii="黑体" w:hAnsi="黑体" w:eastAsia="黑体" w:cs="黑体"/>
          <w:bCs/>
          <w:szCs w:val="21"/>
        </w:rPr>
        <w:t>施行日期：2020年X月X日</w:t>
      </w:r>
    </w:p>
    <w:p>
      <w:pPr>
        <w:ind w:firstLine="2227" w:firstLineChars="696"/>
        <w:rPr>
          <w:rFonts w:ascii="ᒋ⨀ሀ宋体" w:hAnsi="ᒋ⨀ሀ宋体"/>
          <w:b/>
          <w:sz w:val="32"/>
          <w:szCs w:val="32"/>
        </w:rPr>
      </w:pPr>
    </w:p>
    <w:p>
      <w:pPr>
        <w:ind w:firstLine="2227" w:firstLineChars="696"/>
        <w:rPr>
          <w:rFonts w:ascii="ᒋ⨀ሀ宋体" w:hAnsi="ᒋ⨀ሀ宋体"/>
          <w:b/>
          <w:sz w:val="32"/>
          <w:szCs w:val="32"/>
        </w:rPr>
      </w:pPr>
    </w:p>
    <w:p>
      <w:pPr>
        <w:ind w:firstLine="2227" w:firstLineChars="696"/>
        <w:rPr>
          <w:rFonts w:ascii="ᒋ⨀ሀ宋体" w:hAnsi="ᒋ⨀ሀ宋体"/>
          <w:b/>
          <w:sz w:val="32"/>
          <w:szCs w:val="32"/>
        </w:rPr>
      </w:pPr>
    </w:p>
    <w:p>
      <w:pPr>
        <w:rPr>
          <w:rFonts w:ascii="ᒋ⨀ሀ宋体" w:hAnsi="ᒋ⨀ሀ宋体"/>
          <w:b/>
          <w:sz w:val="32"/>
          <w:szCs w:val="32"/>
        </w:rPr>
      </w:pPr>
    </w:p>
    <w:p>
      <w:pPr>
        <w:rPr>
          <w:rFonts w:ascii="ᒋ⨀ሀ宋体" w:hAnsi="ᒋ⨀ሀ宋体"/>
          <w:b/>
          <w:sz w:val="32"/>
          <w:szCs w:val="32"/>
        </w:rPr>
      </w:pPr>
    </w:p>
    <w:p>
      <w:pPr>
        <w:spacing w:line="360" w:lineRule="auto"/>
        <w:jc w:val="center"/>
        <w:rPr>
          <w:rFonts w:ascii="仿宋" w:hAnsi="仿宋" w:eastAsia="仿宋" w:cs="仿宋"/>
          <w:sz w:val="32"/>
          <w:szCs w:val="32"/>
        </w:rPr>
      </w:pPr>
      <w:r>
        <w:rPr>
          <w:rFonts w:hint="eastAsia" w:ascii="仿宋" w:hAnsi="仿宋" w:eastAsia="仿宋" w:cs="仿宋"/>
          <w:sz w:val="32"/>
          <w:szCs w:val="32"/>
        </w:rPr>
        <w:t>XX出版社</w:t>
      </w:r>
    </w:p>
    <w:p>
      <w:pPr>
        <w:spacing w:line="360" w:lineRule="auto"/>
        <w:jc w:val="center"/>
        <w:rPr>
          <w:rFonts w:ascii="黑体" w:hAnsi="黑体" w:eastAsia="黑体"/>
          <w:szCs w:val="21"/>
        </w:rPr>
      </w:pPr>
      <w:r>
        <w:rPr>
          <w:rFonts w:hint="eastAsia" w:ascii="黑体" w:hAnsi="黑体" w:eastAsia="黑体"/>
          <w:szCs w:val="21"/>
        </w:rPr>
        <w:t>2020 南昌</w:t>
      </w:r>
    </w:p>
    <w:p>
      <w:pPr>
        <w:ind w:right="-50" w:rightChars="-24"/>
        <w:rPr>
          <w:szCs w:val="21"/>
          <w:u w:val="single"/>
        </w:rPr>
        <w:sectPr>
          <w:headerReference r:id="rId3" w:type="default"/>
          <w:headerReference r:id="rId4" w:type="even"/>
          <w:footerReference r:id="rId5" w:type="even"/>
          <w:pgSz w:w="11906" w:h="16838"/>
          <w:pgMar w:top="720" w:right="720" w:bottom="720" w:left="720" w:header="851" w:footer="992" w:gutter="0"/>
          <w:pgNumType w:start="0"/>
          <w:cols w:space="720" w:num="1"/>
          <w:titlePg/>
          <w:docGrid w:type="linesAndChars" w:linePitch="312" w:charSpace="0"/>
        </w:sectPr>
      </w:pPr>
    </w:p>
    <w:p>
      <w:pPr>
        <w:pStyle w:val="100"/>
        <w:rPr>
          <w:b/>
          <w:bCs/>
          <w:sz w:val="28"/>
          <w:szCs w:val="28"/>
        </w:rPr>
      </w:pPr>
      <w:bookmarkStart w:id="0" w:name="_Toc28962"/>
      <w:bookmarkStart w:id="1" w:name="_Toc10471"/>
      <w:bookmarkStart w:id="2" w:name="_Toc10183"/>
      <w:bookmarkStart w:id="3" w:name="_Toc23970"/>
      <w:bookmarkStart w:id="4" w:name="_Toc27563"/>
      <w:bookmarkStart w:id="5" w:name="_Toc15386256"/>
      <w:bookmarkStart w:id="6" w:name="_Toc21561"/>
      <w:bookmarkStart w:id="7" w:name="_Toc996"/>
      <w:bookmarkStart w:id="8" w:name="_Toc24918"/>
      <w:bookmarkStart w:id="9" w:name="_Toc24886"/>
      <w:bookmarkStart w:id="10" w:name="_Toc28135"/>
      <w:bookmarkStart w:id="11" w:name="_Toc8159"/>
      <w:r>
        <w:rPr>
          <w:rFonts w:hint="eastAsia"/>
          <w:b/>
          <w:bCs/>
          <w:sz w:val="28"/>
          <w:szCs w:val="28"/>
        </w:rPr>
        <w:t>前</w:t>
      </w:r>
      <w:r>
        <w:rPr>
          <w:rFonts w:hAnsi="黑体"/>
          <w:b/>
          <w:bCs/>
          <w:sz w:val="28"/>
          <w:szCs w:val="28"/>
        </w:rPr>
        <w:t>  </w:t>
      </w:r>
      <w:r>
        <w:rPr>
          <w:rFonts w:hint="eastAsia"/>
          <w:b/>
          <w:bCs/>
          <w:sz w:val="28"/>
          <w:szCs w:val="28"/>
        </w:rPr>
        <w:t>言</w:t>
      </w:r>
      <w:bookmarkEnd w:id="0"/>
      <w:bookmarkEnd w:id="1"/>
      <w:bookmarkEnd w:id="2"/>
      <w:bookmarkEnd w:id="3"/>
      <w:bookmarkEnd w:id="4"/>
      <w:bookmarkEnd w:id="5"/>
      <w:bookmarkEnd w:id="6"/>
      <w:bookmarkEnd w:id="7"/>
      <w:bookmarkEnd w:id="8"/>
      <w:bookmarkEnd w:id="9"/>
      <w:bookmarkEnd w:id="10"/>
      <w:bookmarkEnd w:id="11"/>
    </w:p>
    <w:p>
      <w:pPr>
        <w:spacing w:line="360" w:lineRule="auto"/>
        <w:ind w:left="567" w:leftChars="270" w:right="384" w:rightChars="183" w:firstLine="567" w:firstLineChars="270"/>
        <w:rPr>
          <w:rFonts w:ascii="ᒋ⨀ሀ宋体" w:hAnsi="ᒋ⨀ሀ宋体"/>
          <w:bCs/>
          <w:snapToGrid w:val="0"/>
          <w:kern w:val="0"/>
          <w:szCs w:val="21"/>
        </w:rPr>
      </w:pPr>
      <w:r>
        <w:rPr>
          <w:rFonts w:hint="eastAsia" w:ascii="ᒋ⨀ሀ宋体" w:hAnsi="ᒋ⨀ሀ宋体"/>
          <w:bCs/>
          <w:snapToGrid w:val="0"/>
          <w:kern w:val="0"/>
          <w:szCs w:val="21"/>
        </w:rPr>
        <w:t>为规范江西省“一杆多用”，推动共建共享和节能减排，支持我省移动通信基础设施建设，满足人民群众日益增长的通信需求，根据江西省住房和城乡建设厅《关于下达2019年第二批江西省工程建设标准、建筑标准设计编制项目计划和调整部分江西省工程建设标准编制项目计划的通知》（赣建科设[2019]70号），结合本省实际，编制本标准。</w:t>
      </w:r>
    </w:p>
    <w:p>
      <w:pPr>
        <w:pStyle w:val="26"/>
        <w:spacing w:line="312" w:lineRule="auto"/>
        <w:ind w:left="638" w:leftChars="304" w:right="384" w:rightChars="183"/>
        <w:jc w:val="left"/>
        <w:rPr>
          <w:rFonts w:hAnsi="Times New Roman"/>
          <w:strike/>
          <w:szCs w:val="21"/>
        </w:rPr>
      </w:pPr>
      <w:r>
        <w:rPr>
          <w:rFonts w:hint="eastAsia" w:ascii="ᒋ⨀ሀ宋体" w:hAnsi="ᒋ⨀ሀ宋体"/>
          <w:bCs/>
          <w:snapToGrid w:val="0"/>
          <w:kern w:val="0"/>
          <w:szCs w:val="21"/>
        </w:rPr>
        <w:t>本标准编制过程中，严格遵循国家、行业及江西省有关法律、法规和标准规范，对</w:t>
      </w:r>
      <w:r>
        <w:rPr>
          <w:rFonts w:hint="eastAsia" w:hAnsi="Times New Roman"/>
          <w:szCs w:val="21"/>
        </w:rPr>
        <w:t>对江西省路灯杆、监控杆、通信杆等行业应用进行了广泛深入的调查研究</w:t>
      </w:r>
      <w:r>
        <w:rPr>
          <w:rFonts w:hint="eastAsia" w:ascii="ᒋ⨀ሀ宋体" w:hAnsi="ᒋ⨀ሀ宋体"/>
          <w:bCs/>
          <w:snapToGrid w:val="0"/>
          <w:kern w:val="0"/>
          <w:szCs w:val="21"/>
        </w:rPr>
        <w:t>，总结了近年来移动通信基础设施建设经验，并征求了交通、公安、电信运营企业、路灯主管部门的意见，经反复讨论、修改、完善，最后经专家审查定稿。</w:t>
      </w:r>
      <w:bookmarkStart w:id="12" w:name="_Hlk518920985"/>
    </w:p>
    <w:p>
      <w:pPr>
        <w:pStyle w:val="26"/>
        <w:spacing w:line="312" w:lineRule="auto"/>
        <w:ind w:left="638" w:leftChars="304" w:right="384" w:rightChars="183"/>
        <w:jc w:val="left"/>
        <w:rPr>
          <w:rFonts w:hAnsi="Times New Roman"/>
          <w:strike/>
          <w:szCs w:val="21"/>
        </w:rPr>
      </w:pPr>
      <w:r>
        <w:rPr>
          <w:rFonts w:hint="eastAsia" w:hAnsi="Times New Roman"/>
          <w:szCs w:val="21"/>
        </w:rPr>
        <w:t>本标准共分8章，主要内容为： 1.总则；2.术语和符号；3.基本规定；4.杆体；5.挂载设备；6.附属配套；7.系统平台；8.建设要求；9.验收要求；10.运行和维护。</w:t>
      </w:r>
      <w:bookmarkEnd w:id="12"/>
    </w:p>
    <w:p>
      <w:pPr>
        <w:pStyle w:val="26"/>
        <w:spacing w:line="312" w:lineRule="auto"/>
        <w:ind w:left="638" w:leftChars="304" w:right="384" w:rightChars="183"/>
        <w:jc w:val="left"/>
        <w:rPr>
          <w:rFonts w:hAnsi="Times New Roman"/>
          <w:szCs w:val="21"/>
        </w:rPr>
      </w:pPr>
      <w:r>
        <w:rPr>
          <w:rFonts w:hint="eastAsia" w:hAnsi="Times New Roman"/>
          <w:szCs w:val="21"/>
        </w:rPr>
        <w:t>本标准由江西省住房和城乡建设厅负责管理，江西省通信管理局负责具体技术内容的解释。执行本标准过程中如有意见或建议，请将有关意见或资料寄送至江西省通信管理局（地址：南昌市红谷滩新区红角洲赣江南大道2698号 邮编：330038），以便今后修订时参考。</w:t>
      </w:r>
    </w:p>
    <w:p>
      <w:pPr>
        <w:pStyle w:val="26"/>
        <w:spacing w:line="312" w:lineRule="auto"/>
        <w:ind w:left="638" w:leftChars="304" w:right="384" w:rightChars="183"/>
        <w:jc w:val="left"/>
        <w:rPr>
          <w:rFonts w:hAnsi="Times New Roman"/>
          <w:szCs w:val="21"/>
        </w:rPr>
      </w:pPr>
      <w:r>
        <w:rPr>
          <w:rFonts w:hint="eastAsia" w:hAnsi="Times New Roman"/>
          <w:szCs w:val="21"/>
        </w:rPr>
        <w:t>本标准主编单位、参编单位、主要起草人和主要审查人：</w:t>
      </w:r>
    </w:p>
    <w:p>
      <w:pPr>
        <w:spacing w:line="360" w:lineRule="auto"/>
        <w:ind w:left="638" w:leftChars="304" w:right="384" w:rightChars="183" w:firstLine="420" w:firstLineChars="200"/>
        <w:rPr>
          <w:rFonts w:ascii="黑体" w:hAnsi="黑体" w:eastAsia="黑体"/>
          <w:bCs/>
          <w:snapToGrid w:val="0"/>
          <w:kern w:val="0"/>
          <w:szCs w:val="21"/>
        </w:rPr>
      </w:pPr>
      <w:r>
        <w:rPr>
          <w:rFonts w:hint="eastAsia" w:ascii="黑体" w:hAnsi="黑体" w:eastAsia="黑体"/>
          <w:bCs/>
          <w:snapToGrid w:val="0"/>
          <w:kern w:val="0"/>
          <w:szCs w:val="21"/>
        </w:rPr>
        <w:t>本</w:t>
      </w:r>
      <w:r>
        <w:rPr>
          <w:rFonts w:ascii="黑体" w:hAnsi="黑体" w:eastAsia="黑体"/>
          <w:bCs/>
          <w:snapToGrid w:val="0"/>
          <w:kern w:val="0"/>
          <w:szCs w:val="21"/>
        </w:rPr>
        <w:t>标准主编单位：</w:t>
      </w:r>
      <w:r>
        <w:rPr>
          <w:rFonts w:hint="eastAsia" w:ascii="黑体" w:hAnsi="黑体" w:eastAsia="黑体"/>
          <w:bCs/>
          <w:snapToGrid w:val="0"/>
          <w:kern w:val="0"/>
          <w:szCs w:val="21"/>
        </w:rPr>
        <w:t>江西省通信管理局、中国铁塔股份</w:t>
      </w:r>
      <w:r>
        <w:rPr>
          <w:rFonts w:ascii="黑体" w:hAnsi="黑体" w:eastAsia="黑体"/>
          <w:bCs/>
          <w:snapToGrid w:val="0"/>
          <w:kern w:val="0"/>
          <w:szCs w:val="21"/>
        </w:rPr>
        <w:t>有限公司</w:t>
      </w:r>
      <w:r>
        <w:rPr>
          <w:rFonts w:hint="eastAsia" w:ascii="黑体" w:hAnsi="黑体" w:eastAsia="黑体"/>
          <w:bCs/>
          <w:snapToGrid w:val="0"/>
          <w:kern w:val="0"/>
          <w:szCs w:val="21"/>
        </w:rPr>
        <w:t>江西省分公司</w:t>
      </w:r>
    </w:p>
    <w:p>
      <w:pPr>
        <w:spacing w:line="360" w:lineRule="auto"/>
        <w:ind w:left="638" w:leftChars="304" w:right="384" w:rightChars="183" w:firstLine="420" w:firstLineChars="200"/>
        <w:rPr>
          <w:rFonts w:hint="default" w:ascii="黑体" w:hAnsi="黑体" w:eastAsia="黑体"/>
          <w:bCs/>
          <w:snapToGrid w:val="0"/>
          <w:kern w:val="0"/>
          <w:szCs w:val="21"/>
          <w:lang w:val="en-US" w:eastAsia="zh-CN"/>
        </w:rPr>
      </w:pPr>
      <w:r>
        <w:rPr>
          <w:rFonts w:hint="eastAsia" w:ascii="黑体" w:hAnsi="黑体" w:eastAsia="黑体"/>
          <w:bCs/>
          <w:snapToGrid w:val="0"/>
          <w:kern w:val="0"/>
          <w:szCs w:val="21"/>
        </w:rPr>
        <w:t>本</w:t>
      </w:r>
      <w:r>
        <w:rPr>
          <w:rFonts w:ascii="黑体" w:hAnsi="黑体" w:eastAsia="黑体"/>
          <w:bCs/>
          <w:snapToGrid w:val="0"/>
          <w:kern w:val="0"/>
          <w:szCs w:val="21"/>
        </w:rPr>
        <w:t>标准</w:t>
      </w:r>
      <w:r>
        <w:rPr>
          <w:rFonts w:hint="eastAsia" w:ascii="黑体" w:hAnsi="黑体" w:eastAsia="黑体"/>
          <w:bCs/>
          <w:snapToGrid w:val="0"/>
          <w:kern w:val="0"/>
          <w:szCs w:val="21"/>
        </w:rPr>
        <w:t>参编</w:t>
      </w:r>
      <w:r>
        <w:rPr>
          <w:rFonts w:ascii="黑体" w:hAnsi="黑体" w:eastAsia="黑体"/>
          <w:bCs/>
          <w:snapToGrid w:val="0"/>
          <w:kern w:val="0"/>
          <w:szCs w:val="21"/>
        </w:rPr>
        <w:t>单位：</w:t>
      </w:r>
      <w:r>
        <w:rPr>
          <w:rFonts w:hint="eastAsia" w:ascii="黑体" w:hAnsi="黑体" w:eastAsia="黑体"/>
          <w:bCs/>
          <w:snapToGrid w:val="0"/>
          <w:kern w:val="0"/>
          <w:szCs w:val="21"/>
        </w:rPr>
        <w:t>广东省电信规划设计院有限公司</w:t>
      </w:r>
      <w:r>
        <w:rPr>
          <w:rFonts w:hint="eastAsia" w:ascii="黑体" w:hAnsi="黑体" w:eastAsia="黑体"/>
          <w:bCs/>
          <w:snapToGrid w:val="0"/>
          <w:kern w:val="0"/>
          <w:szCs w:val="21"/>
          <w:lang w:val="en-US" w:eastAsia="zh-CN"/>
        </w:rPr>
        <w:t xml:space="preserve">      </w:t>
      </w:r>
    </w:p>
    <w:p>
      <w:pPr>
        <w:spacing w:line="360" w:lineRule="auto"/>
        <w:ind w:left="638" w:leftChars="304" w:right="384" w:rightChars="183" w:firstLine="2100" w:firstLineChars="1000"/>
        <w:rPr>
          <w:rFonts w:ascii="黑体" w:hAnsi="黑体" w:eastAsia="黑体"/>
          <w:bCs/>
          <w:snapToGrid w:val="0"/>
          <w:kern w:val="0"/>
          <w:szCs w:val="21"/>
        </w:rPr>
      </w:pPr>
      <w:r>
        <w:rPr>
          <w:rFonts w:hint="eastAsia" w:ascii="黑体" w:hAnsi="黑体" w:eastAsia="黑体"/>
          <w:bCs/>
          <w:snapToGrid w:val="0"/>
          <w:kern w:val="0"/>
          <w:szCs w:val="21"/>
        </w:rPr>
        <w:t>江西省城市建设管理协会照明行业分会</w:t>
      </w:r>
    </w:p>
    <w:p>
      <w:pPr>
        <w:spacing w:line="360" w:lineRule="auto"/>
        <w:ind w:left="638" w:leftChars="304" w:right="384" w:rightChars="183" w:firstLine="2100" w:firstLineChars="1000"/>
        <w:rPr>
          <w:rFonts w:ascii="黑体" w:hAnsi="黑体" w:eastAsia="黑体"/>
          <w:bCs/>
          <w:snapToGrid w:val="0"/>
          <w:kern w:val="0"/>
          <w:szCs w:val="21"/>
        </w:rPr>
      </w:pPr>
      <w:r>
        <w:rPr>
          <w:rFonts w:hint="eastAsia" w:ascii="黑体" w:hAnsi="黑体" w:eastAsia="黑体"/>
          <w:bCs/>
          <w:snapToGrid w:val="0"/>
          <w:kern w:val="0"/>
          <w:szCs w:val="21"/>
        </w:rPr>
        <w:t xml:space="preserve">江西省工业和信息产品监督检验院    </w:t>
      </w:r>
    </w:p>
    <w:p>
      <w:pPr>
        <w:spacing w:line="360" w:lineRule="auto"/>
        <w:ind w:left="638" w:leftChars="304" w:right="384" w:rightChars="183" w:firstLine="2100" w:firstLineChars="1000"/>
        <w:rPr>
          <w:rFonts w:ascii="黑体" w:hAnsi="黑体" w:eastAsia="黑体"/>
          <w:bCs/>
          <w:snapToGrid w:val="0"/>
          <w:kern w:val="0"/>
          <w:szCs w:val="21"/>
        </w:rPr>
      </w:pPr>
      <w:r>
        <w:rPr>
          <w:rFonts w:hint="eastAsia" w:ascii="黑体" w:hAnsi="黑体" w:eastAsia="黑体"/>
          <w:bCs/>
          <w:snapToGrid w:val="0"/>
          <w:kern w:val="0"/>
          <w:szCs w:val="21"/>
        </w:rPr>
        <w:t xml:space="preserve">赣州市市政工程管理处              </w:t>
      </w:r>
    </w:p>
    <w:p>
      <w:pPr>
        <w:spacing w:line="360" w:lineRule="auto"/>
        <w:ind w:left="638" w:leftChars="304" w:right="384" w:rightChars="183" w:firstLine="2100" w:firstLineChars="1000"/>
        <w:rPr>
          <w:rFonts w:ascii="黑体" w:hAnsi="黑体" w:eastAsia="黑体"/>
          <w:bCs/>
          <w:snapToGrid w:val="0"/>
          <w:kern w:val="0"/>
          <w:szCs w:val="21"/>
        </w:rPr>
      </w:pPr>
      <w:r>
        <w:rPr>
          <w:rFonts w:hint="eastAsia" w:ascii="黑体" w:hAnsi="黑体" w:eastAsia="黑体"/>
          <w:bCs/>
          <w:snapToGrid w:val="0"/>
          <w:kern w:val="0"/>
          <w:szCs w:val="21"/>
        </w:rPr>
        <w:t xml:space="preserve">吉安市路灯管理处                  </w:t>
      </w:r>
    </w:p>
    <w:p>
      <w:pPr>
        <w:spacing w:line="360" w:lineRule="auto"/>
        <w:ind w:left="638" w:leftChars="304" w:right="384" w:rightChars="183" w:firstLine="2100" w:firstLineChars="1000"/>
        <w:rPr>
          <w:rFonts w:ascii="黑体" w:hAnsi="黑体" w:eastAsia="黑体"/>
          <w:bCs/>
          <w:snapToGrid w:val="0"/>
          <w:kern w:val="0"/>
          <w:szCs w:val="21"/>
        </w:rPr>
      </w:pPr>
      <w:r>
        <w:rPr>
          <w:rFonts w:hint="eastAsia" w:ascii="黑体" w:hAnsi="黑体" w:eastAsia="黑体"/>
          <w:bCs/>
          <w:snapToGrid w:val="0"/>
          <w:kern w:val="0"/>
          <w:szCs w:val="21"/>
        </w:rPr>
        <w:t xml:space="preserve">中节能晶和科技有限公司            </w:t>
      </w:r>
    </w:p>
    <w:p>
      <w:pPr>
        <w:spacing w:line="360" w:lineRule="auto"/>
        <w:ind w:left="638" w:leftChars="304" w:right="384" w:rightChars="183" w:firstLine="2100" w:firstLineChars="1000"/>
        <w:rPr>
          <w:rFonts w:ascii="黑体" w:hAnsi="黑体" w:eastAsia="黑体"/>
          <w:bCs/>
          <w:snapToGrid w:val="0"/>
          <w:kern w:val="0"/>
          <w:szCs w:val="21"/>
        </w:rPr>
      </w:pPr>
      <w:r>
        <w:rPr>
          <w:rFonts w:hint="eastAsia" w:ascii="黑体" w:hAnsi="黑体" w:eastAsia="黑体"/>
          <w:bCs/>
          <w:snapToGrid w:val="0"/>
          <w:kern w:val="0"/>
          <w:szCs w:val="21"/>
        </w:rPr>
        <w:t xml:space="preserve">江西联创博雅照明股份有限公司      </w:t>
      </w:r>
    </w:p>
    <w:p>
      <w:pPr>
        <w:spacing w:line="360" w:lineRule="auto"/>
        <w:ind w:left="638" w:leftChars="304" w:right="384" w:rightChars="183" w:firstLine="420" w:firstLineChars="200"/>
        <w:rPr>
          <w:rFonts w:ascii="黑体" w:hAnsi="黑体" w:eastAsia="黑体"/>
          <w:bCs/>
          <w:snapToGrid w:val="0"/>
          <w:kern w:val="0"/>
          <w:szCs w:val="21"/>
        </w:rPr>
      </w:pPr>
      <w:r>
        <w:rPr>
          <w:rFonts w:hint="eastAsia" w:ascii="黑体" w:hAnsi="黑体" w:eastAsia="黑体"/>
          <w:bCs/>
          <w:snapToGrid w:val="0"/>
          <w:kern w:val="0"/>
          <w:szCs w:val="21"/>
        </w:rPr>
        <w:t xml:space="preserve">主要起草人：李 明   宋 睿  涂 进  冯福锋  姜克建  吴志芳  林 璐  侯海风  张明祥  朱林  张鹏杰  黄津津  周洪涛  温莉萍  胡 力  荣炳忠 赵令文 史艳玲 刘晓梅 李利民  陈耀庭 吴 庚 </w:t>
      </w:r>
    </w:p>
    <w:p>
      <w:pPr>
        <w:spacing w:line="360" w:lineRule="auto"/>
        <w:ind w:left="638" w:leftChars="304" w:right="384" w:rightChars="183" w:firstLine="420" w:firstLineChars="200"/>
        <w:rPr>
          <w:rFonts w:ascii="黑体" w:hAnsi="黑体" w:eastAsia="黑体"/>
          <w:bCs/>
          <w:snapToGrid w:val="0"/>
          <w:kern w:val="0"/>
          <w:szCs w:val="21"/>
        </w:rPr>
      </w:pPr>
    </w:p>
    <w:p>
      <w:pPr>
        <w:spacing w:line="360" w:lineRule="auto"/>
        <w:ind w:left="638" w:leftChars="304" w:right="384" w:rightChars="183" w:firstLine="420" w:firstLineChars="200"/>
        <w:rPr>
          <w:sz w:val="24"/>
        </w:rPr>
      </w:pPr>
      <w:r>
        <w:rPr>
          <w:rFonts w:hint="eastAsia" w:ascii="黑体" w:hAnsi="黑体" w:eastAsia="黑体"/>
          <w:bCs/>
          <w:snapToGrid w:val="0"/>
          <w:kern w:val="0"/>
          <w:szCs w:val="21"/>
        </w:rPr>
        <w:t>主要审查人：XXXXX</w:t>
      </w:r>
      <w:r>
        <w:rPr>
          <w:sz w:val="24"/>
        </w:rPr>
        <w:t xml:space="preserve"> </w:t>
      </w:r>
    </w:p>
    <w:p>
      <w:pPr>
        <w:pStyle w:val="26"/>
        <w:spacing w:line="312" w:lineRule="auto"/>
        <w:jc w:val="left"/>
        <w:rPr>
          <w:rFonts w:hAnsi="Times New Roman"/>
          <w:szCs w:val="21"/>
        </w:rPr>
      </w:pPr>
    </w:p>
    <w:p>
      <w:pPr>
        <w:pStyle w:val="26"/>
        <w:spacing w:line="312" w:lineRule="auto"/>
        <w:jc w:val="left"/>
        <w:rPr>
          <w:rFonts w:hAnsi="Times New Roman"/>
          <w:szCs w:val="21"/>
        </w:rPr>
      </w:pPr>
    </w:p>
    <w:p>
      <w:pPr>
        <w:ind w:right="-50" w:rightChars="-24"/>
        <w:rPr>
          <w:szCs w:val="21"/>
          <w:u w:val="single"/>
        </w:rPr>
        <w:sectPr>
          <w:pgSz w:w="11906" w:h="16838"/>
          <w:pgMar w:top="720" w:right="720" w:bottom="720" w:left="720" w:header="851" w:footer="992" w:gutter="0"/>
          <w:pgNumType w:start="0"/>
          <w:cols w:space="720" w:num="1"/>
          <w:titlePg/>
          <w:docGrid w:type="linesAndChars" w:linePitch="312" w:charSpace="0"/>
        </w:sectPr>
      </w:pPr>
    </w:p>
    <w:p>
      <w:pPr>
        <w:pStyle w:val="150"/>
        <w:spacing w:before="367"/>
        <w:rPr>
          <w:b/>
          <w:bCs/>
          <w:sz w:val="28"/>
          <w:szCs w:val="28"/>
        </w:rPr>
      </w:pPr>
      <w:bookmarkStart w:id="13" w:name="_Toc14693"/>
      <w:bookmarkStart w:id="14" w:name="_Toc27597"/>
      <w:bookmarkStart w:id="15" w:name="_Toc31868"/>
      <w:bookmarkStart w:id="16" w:name="_Toc31348"/>
      <w:bookmarkStart w:id="17" w:name="_Toc3882"/>
      <w:bookmarkStart w:id="18" w:name="_Toc3595"/>
      <w:bookmarkStart w:id="19" w:name="_Toc24343"/>
      <w:bookmarkStart w:id="20" w:name="_Toc29773"/>
      <w:bookmarkStart w:id="21" w:name="_Toc15206"/>
      <w:bookmarkStart w:id="22" w:name="_Toc25549"/>
      <w:bookmarkStart w:id="23" w:name="_Toc510542147"/>
      <w:r>
        <w:rPr>
          <w:rFonts w:hint="eastAsia"/>
          <w:b/>
          <w:bCs/>
          <w:sz w:val="28"/>
          <w:szCs w:val="28"/>
        </w:rPr>
        <w:t>目</w:t>
      </w:r>
      <w:bookmarkStart w:id="24" w:name="BKML"/>
      <w:r>
        <w:rPr>
          <w:rFonts w:hAnsi="黑体"/>
          <w:b/>
          <w:bCs/>
          <w:sz w:val="28"/>
          <w:szCs w:val="28"/>
        </w:rPr>
        <w:t>  </w:t>
      </w:r>
      <w:bookmarkEnd w:id="24"/>
      <w:r>
        <w:rPr>
          <w:rFonts w:hint="eastAsia" w:hAnsi="黑体"/>
          <w:b/>
          <w:bCs/>
          <w:sz w:val="28"/>
          <w:szCs w:val="28"/>
        </w:rPr>
        <w:t>次</w:t>
      </w:r>
      <w:bookmarkEnd w:id="13"/>
      <w:bookmarkEnd w:id="14"/>
      <w:bookmarkEnd w:id="15"/>
      <w:bookmarkEnd w:id="16"/>
      <w:bookmarkEnd w:id="17"/>
      <w:bookmarkEnd w:id="18"/>
      <w:bookmarkEnd w:id="19"/>
      <w:bookmarkEnd w:id="20"/>
      <w:bookmarkEnd w:id="21"/>
      <w:bookmarkEnd w:id="22"/>
    </w:p>
    <w:p>
      <w:pPr>
        <w:pStyle w:val="22"/>
        <w:tabs>
          <w:tab w:val="right" w:leader="dot" w:pos="9026"/>
          <w:tab w:val="clear" w:pos="9241"/>
        </w:tabs>
        <w:spacing w:before="78" w:after="78"/>
      </w:pPr>
      <w:r>
        <w:fldChar w:fldCharType="begin"/>
      </w:r>
      <w:r>
        <w:instrText xml:space="preserve"> TOC \o "1-4" \h \z \u </w:instrText>
      </w:r>
      <w:r>
        <w:fldChar w:fldCharType="separate"/>
      </w:r>
      <w:r>
        <w:fldChar w:fldCharType="begin"/>
      </w:r>
      <w:r>
        <w:instrText xml:space="preserve"> HYPERLINK \l "_Toc996" </w:instrText>
      </w:r>
      <w:r>
        <w:fldChar w:fldCharType="separate"/>
      </w:r>
      <w:r>
        <w:rPr>
          <w:rFonts w:hint="eastAsia"/>
          <w:bCs/>
          <w:szCs w:val="28"/>
        </w:rPr>
        <w:t>前</w:t>
      </w:r>
      <w:r>
        <w:rPr>
          <w:rFonts w:hAnsi="黑体"/>
          <w:bCs/>
          <w:szCs w:val="28"/>
        </w:rPr>
        <w:t>  </w:t>
      </w:r>
      <w:r>
        <w:rPr>
          <w:rFonts w:hint="eastAsia"/>
          <w:bCs/>
          <w:szCs w:val="28"/>
        </w:rPr>
        <w:t>言</w:t>
      </w:r>
      <w:r>
        <w:tab/>
      </w:r>
      <w:r>
        <w:fldChar w:fldCharType="begin"/>
      </w:r>
      <w:r>
        <w:instrText xml:space="preserve"> PAGEREF _Toc996 </w:instrText>
      </w:r>
      <w:r>
        <w:fldChar w:fldCharType="separate"/>
      </w:r>
      <w:r>
        <w:t>0</w:t>
      </w:r>
      <w:r>
        <w:fldChar w:fldCharType="end"/>
      </w:r>
      <w:r>
        <w:fldChar w:fldCharType="end"/>
      </w:r>
    </w:p>
    <w:p>
      <w:pPr>
        <w:pStyle w:val="22"/>
        <w:tabs>
          <w:tab w:val="right" w:leader="dot" w:pos="9026"/>
          <w:tab w:val="clear" w:pos="9241"/>
        </w:tabs>
        <w:spacing w:before="78" w:after="78"/>
      </w:pPr>
      <w:r>
        <w:fldChar w:fldCharType="begin"/>
      </w:r>
      <w:r>
        <w:instrText xml:space="preserve"> HYPERLINK \l "_Toc31348" </w:instrText>
      </w:r>
      <w:r>
        <w:fldChar w:fldCharType="separate"/>
      </w:r>
      <w:r>
        <w:rPr>
          <w:rFonts w:hint="eastAsia"/>
          <w:bCs/>
          <w:szCs w:val="28"/>
        </w:rPr>
        <w:t>目</w:t>
      </w:r>
      <w:r>
        <w:rPr>
          <w:rFonts w:hAnsi="黑体"/>
          <w:bCs/>
          <w:szCs w:val="28"/>
        </w:rPr>
        <w:t>  </w:t>
      </w:r>
      <w:r>
        <w:rPr>
          <w:rFonts w:hint="eastAsia" w:hAnsi="黑体"/>
          <w:bCs/>
          <w:szCs w:val="28"/>
        </w:rPr>
        <w:t>次</w:t>
      </w:r>
      <w:r>
        <w:tab/>
      </w:r>
      <w:r>
        <w:fldChar w:fldCharType="begin"/>
      </w:r>
      <w:r>
        <w:instrText xml:space="preserve"> PAGEREF _Toc31348 </w:instrText>
      </w:r>
      <w:r>
        <w:fldChar w:fldCharType="separate"/>
      </w:r>
      <w:r>
        <w:t>1</w:t>
      </w:r>
      <w:r>
        <w:fldChar w:fldCharType="end"/>
      </w:r>
      <w:r>
        <w:fldChar w:fldCharType="end"/>
      </w:r>
    </w:p>
    <w:p>
      <w:pPr>
        <w:pStyle w:val="31"/>
        <w:tabs>
          <w:tab w:val="right" w:leader="dot" w:pos="9026"/>
          <w:tab w:val="clear" w:pos="9241"/>
        </w:tabs>
      </w:pPr>
      <w:r>
        <w:fldChar w:fldCharType="begin"/>
      </w:r>
      <w:r>
        <w:instrText xml:space="preserve"> HYPERLINK \l "_Toc4073" </w:instrText>
      </w:r>
      <w:r>
        <w:fldChar w:fldCharType="separate"/>
      </w:r>
      <w:r>
        <w:rPr>
          <w:rFonts w:hint="eastAsia" w:ascii="黑体" w:hAnsi="宋体" w:eastAsia="黑体" w:cs="宋体"/>
          <w:szCs w:val="28"/>
        </w:rPr>
        <w:t xml:space="preserve">1 </w:t>
      </w:r>
      <w:r>
        <w:rPr>
          <w:rFonts w:hint="eastAsia"/>
        </w:rPr>
        <w:t>总则</w:t>
      </w:r>
      <w:r>
        <w:tab/>
      </w:r>
      <w:r>
        <w:fldChar w:fldCharType="begin"/>
      </w:r>
      <w:r>
        <w:instrText xml:space="preserve"> PAGEREF _Toc4073 </w:instrText>
      </w:r>
      <w:r>
        <w:fldChar w:fldCharType="separate"/>
      </w:r>
      <w:r>
        <w:t>3</w:t>
      </w:r>
      <w:r>
        <w:fldChar w:fldCharType="end"/>
      </w:r>
      <w:r>
        <w:fldChar w:fldCharType="end"/>
      </w:r>
    </w:p>
    <w:p>
      <w:pPr>
        <w:pStyle w:val="31"/>
        <w:tabs>
          <w:tab w:val="right" w:leader="dot" w:pos="9026"/>
          <w:tab w:val="clear" w:pos="9241"/>
        </w:tabs>
      </w:pPr>
      <w:r>
        <w:fldChar w:fldCharType="begin"/>
      </w:r>
      <w:r>
        <w:instrText xml:space="preserve"> HYPERLINK \l "_Toc974" </w:instrText>
      </w:r>
      <w:r>
        <w:fldChar w:fldCharType="separate"/>
      </w:r>
      <w:r>
        <w:rPr>
          <w:rFonts w:hint="eastAsia" w:ascii="黑体" w:hAnsi="宋体" w:eastAsia="黑体" w:cs="宋体"/>
          <w:szCs w:val="28"/>
        </w:rPr>
        <w:t xml:space="preserve">2 </w:t>
      </w:r>
      <w:r>
        <w:rPr>
          <w:rFonts w:hint="eastAsia"/>
        </w:rPr>
        <w:t>术语和符号</w:t>
      </w:r>
      <w:r>
        <w:tab/>
      </w:r>
      <w:r>
        <w:fldChar w:fldCharType="begin"/>
      </w:r>
      <w:r>
        <w:instrText xml:space="preserve"> PAGEREF _Toc974 </w:instrText>
      </w:r>
      <w:r>
        <w:fldChar w:fldCharType="separate"/>
      </w:r>
      <w:r>
        <w:t>4</w:t>
      </w:r>
      <w:r>
        <w:fldChar w:fldCharType="end"/>
      </w:r>
      <w:r>
        <w:fldChar w:fldCharType="end"/>
      </w:r>
    </w:p>
    <w:p>
      <w:pPr>
        <w:pStyle w:val="15"/>
        <w:tabs>
          <w:tab w:val="right" w:leader="dot" w:pos="9026"/>
          <w:tab w:val="clear" w:pos="9241"/>
        </w:tabs>
        <w:ind w:firstLine="210"/>
      </w:pPr>
      <w:r>
        <w:fldChar w:fldCharType="begin"/>
      </w:r>
      <w:r>
        <w:instrText xml:space="preserve"> HYPERLINK \l "_Toc27717" </w:instrText>
      </w:r>
      <w:r>
        <w:fldChar w:fldCharType="separate"/>
      </w:r>
      <w:r>
        <w:rPr>
          <w:rFonts w:ascii="黑体" w:hAnsi="黑体" w:eastAsia="黑体" w:cs="宋体"/>
          <w:bCs/>
        </w:rPr>
        <w:t xml:space="preserve">2.1 </w:t>
      </w:r>
      <w:r>
        <w:rPr>
          <w:rFonts w:hint="eastAsia"/>
        </w:rPr>
        <w:t>术语</w:t>
      </w:r>
      <w:r>
        <w:tab/>
      </w:r>
      <w:r>
        <w:fldChar w:fldCharType="begin"/>
      </w:r>
      <w:r>
        <w:instrText xml:space="preserve"> PAGEREF _Toc27717 </w:instrText>
      </w:r>
      <w:r>
        <w:fldChar w:fldCharType="separate"/>
      </w:r>
      <w:r>
        <w:t>4</w:t>
      </w:r>
      <w:r>
        <w:fldChar w:fldCharType="end"/>
      </w:r>
      <w:r>
        <w:fldChar w:fldCharType="end"/>
      </w:r>
    </w:p>
    <w:p>
      <w:pPr>
        <w:pStyle w:val="15"/>
        <w:tabs>
          <w:tab w:val="right" w:leader="dot" w:pos="9026"/>
          <w:tab w:val="clear" w:pos="9241"/>
        </w:tabs>
        <w:ind w:firstLine="210"/>
      </w:pPr>
      <w:r>
        <w:fldChar w:fldCharType="begin"/>
      </w:r>
      <w:r>
        <w:instrText xml:space="preserve"> HYPERLINK \l "_Toc927" </w:instrText>
      </w:r>
      <w:r>
        <w:fldChar w:fldCharType="separate"/>
      </w:r>
      <w:r>
        <w:rPr>
          <w:rFonts w:ascii="黑体" w:hAnsi="黑体" w:eastAsia="黑体" w:cs="宋体"/>
          <w:bCs/>
        </w:rPr>
        <w:t xml:space="preserve">2.2 </w:t>
      </w:r>
      <w:r>
        <w:rPr>
          <w:rFonts w:hint="eastAsia"/>
        </w:rPr>
        <w:t>符号</w:t>
      </w:r>
      <w:r>
        <w:tab/>
      </w:r>
      <w:r>
        <w:fldChar w:fldCharType="begin"/>
      </w:r>
      <w:r>
        <w:instrText xml:space="preserve"> PAGEREF _Toc927 </w:instrText>
      </w:r>
      <w:r>
        <w:fldChar w:fldCharType="separate"/>
      </w:r>
      <w:r>
        <w:t>7</w:t>
      </w:r>
      <w:r>
        <w:fldChar w:fldCharType="end"/>
      </w:r>
      <w:r>
        <w:fldChar w:fldCharType="end"/>
      </w:r>
    </w:p>
    <w:p>
      <w:pPr>
        <w:pStyle w:val="31"/>
        <w:tabs>
          <w:tab w:val="right" w:leader="dot" w:pos="9026"/>
          <w:tab w:val="clear" w:pos="9241"/>
        </w:tabs>
      </w:pPr>
      <w:r>
        <w:fldChar w:fldCharType="begin"/>
      </w:r>
      <w:r>
        <w:instrText xml:space="preserve"> HYPERLINK \l "_Toc13250" </w:instrText>
      </w:r>
      <w:r>
        <w:fldChar w:fldCharType="separate"/>
      </w:r>
      <w:r>
        <w:rPr>
          <w:rFonts w:hint="eastAsia" w:ascii="黑体" w:hAnsi="宋体" w:eastAsia="黑体" w:cs="宋体"/>
          <w:szCs w:val="28"/>
        </w:rPr>
        <w:t xml:space="preserve">3 </w:t>
      </w:r>
      <w:r>
        <w:rPr>
          <w:rFonts w:hint="eastAsia"/>
        </w:rPr>
        <w:t>基本规定</w:t>
      </w:r>
      <w:r>
        <w:tab/>
      </w:r>
      <w:r>
        <w:fldChar w:fldCharType="begin"/>
      </w:r>
      <w:r>
        <w:instrText xml:space="preserve"> PAGEREF _Toc13250 </w:instrText>
      </w:r>
      <w:r>
        <w:fldChar w:fldCharType="separate"/>
      </w:r>
      <w:r>
        <w:t>8</w:t>
      </w:r>
      <w:r>
        <w:fldChar w:fldCharType="end"/>
      </w:r>
      <w:r>
        <w:fldChar w:fldCharType="end"/>
      </w:r>
    </w:p>
    <w:p>
      <w:pPr>
        <w:pStyle w:val="15"/>
        <w:tabs>
          <w:tab w:val="right" w:leader="dot" w:pos="9026"/>
          <w:tab w:val="clear" w:pos="9241"/>
        </w:tabs>
        <w:ind w:firstLine="210"/>
      </w:pPr>
      <w:r>
        <w:fldChar w:fldCharType="begin"/>
      </w:r>
      <w:r>
        <w:instrText xml:space="preserve"> HYPERLINK \l "_Toc18290" </w:instrText>
      </w:r>
      <w:r>
        <w:fldChar w:fldCharType="separate"/>
      </w:r>
      <w:r>
        <w:rPr>
          <w:rFonts w:ascii="黑体" w:hAnsi="黑体" w:eastAsia="黑体" w:cs="宋体"/>
          <w:bCs/>
        </w:rPr>
        <w:t xml:space="preserve">3.1 </w:t>
      </w:r>
      <w:r>
        <w:rPr>
          <w:rFonts w:hint="eastAsia"/>
        </w:rPr>
        <w:t>总体要求</w:t>
      </w:r>
      <w:r>
        <w:tab/>
      </w:r>
      <w:r>
        <w:fldChar w:fldCharType="begin"/>
      </w:r>
      <w:r>
        <w:instrText xml:space="preserve"> PAGEREF _Toc18290 </w:instrText>
      </w:r>
      <w:r>
        <w:fldChar w:fldCharType="separate"/>
      </w:r>
      <w:r>
        <w:t>8</w:t>
      </w:r>
      <w:r>
        <w:fldChar w:fldCharType="end"/>
      </w:r>
      <w:r>
        <w:fldChar w:fldCharType="end"/>
      </w:r>
    </w:p>
    <w:p>
      <w:pPr>
        <w:pStyle w:val="15"/>
        <w:tabs>
          <w:tab w:val="right" w:leader="dot" w:pos="9026"/>
          <w:tab w:val="clear" w:pos="9241"/>
        </w:tabs>
        <w:ind w:firstLine="210"/>
      </w:pPr>
      <w:r>
        <w:fldChar w:fldCharType="begin"/>
      </w:r>
      <w:r>
        <w:instrText xml:space="preserve"> HYPERLINK \l "_Toc19460" </w:instrText>
      </w:r>
      <w:r>
        <w:fldChar w:fldCharType="separate"/>
      </w:r>
      <w:r>
        <w:rPr>
          <w:rFonts w:ascii="黑体" w:hAnsi="黑体" w:eastAsia="黑体" w:cs="宋体"/>
          <w:bCs/>
        </w:rPr>
        <w:t xml:space="preserve">3.2 </w:t>
      </w:r>
      <w:r>
        <w:rPr>
          <w:rFonts w:hint="eastAsia"/>
        </w:rPr>
        <w:t>系统组成</w:t>
      </w:r>
      <w:r>
        <w:tab/>
      </w:r>
      <w:r>
        <w:fldChar w:fldCharType="begin"/>
      </w:r>
      <w:r>
        <w:instrText xml:space="preserve"> PAGEREF _Toc19460 </w:instrText>
      </w:r>
      <w:r>
        <w:fldChar w:fldCharType="separate"/>
      </w:r>
      <w:r>
        <w:t>8</w:t>
      </w:r>
      <w:r>
        <w:fldChar w:fldCharType="end"/>
      </w:r>
      <w:r>
        <w:fldChar w:fldCharType="end"/>
      </w:r>
    </w:p>
    <w:p>
      <w:pPr>
        <w:pStyle w:val="15"/>
        <w:tabs>
          <w:tab w:val="right" w:leader="dot" w:pos="9026"/>
          <w:tab w:val="clear" w:pos="9241"/>
        </w:tabs>
        <w:ind w:firstLine="210"/>
      </w:pPr>
      <w:r>
        <w:fldChar w:fldCharType="begin"/>
      </w:r>
      <w:r>
        <w:instrText xml:space="preserve"> HYPERLINK \l "_Toc15260" </w:instrText>
      </w:r>
      <w:r>
        <w:fldChar w:fldCharType="separate"/>
      </w:r>
      <w:r>
        <w:rPr>
          <w:rFonts w:ascii="黑体" w:hAnsi="黑体" w:eastAsia="黑体" w:cs="宋体"/>
          <w:bCs/>
        </w:rPr>
        <w:t xml:space="preserve">3.3 </w:t>
      </w:r>
      <w:r>
        <w:rPr>
          <w:rFonts w:hint="eastAsia"/>
        </w:rPr>
        <w:t>结构类型</w:t>
      </w:r>
      <w:r>
        <w:tab/>
      </w:r>
      <w:r>
        <w:fldChar w:fldCharType="begin"/>
      </w:r>
      <w:r>
        <w:instrText xml:space="preserve"> PAGEREF _Toc15260 </w:instrText>
      </w:r>
      <w:r>
        <w:fldChar w:fldCharType="separate"/>
      </w:r>
      <w:r>
        <w:t>8</w:t>
      </w:r>
      <w:r>
        <w:fldChar w:fldCharType="end"/>
      </w:r>
      <w:r>
        <w:fldChar w:fldCharType="end"/>
      </w:r>
    </w:p>
    <w:p>
      <w:pPr>
        <w:pStyle w:val="15"/>
        <w:tabs>
          <w:tab w:val="right" w:leader="dot" w:pos="9026"/>
          <w:tab w:val="clear" w:pos="9241"/>
        </w:tabs>
        <w:ind w:firstLine="210"/>
      </w:pPr>
      <w:r>
        <w:fldChar w:fldCharType="begin"/>
      </w:r>
      <w:r>
        <w:instrText xml:space="preserve"> HYPERLINK \l "_Toc95" </w:instrText>
      </w:r>
      <w:r>
        <w:fldChar w:fldCharType="separate"/>
      </w:r>
      <w:r>
        <w:rPr>
          <w:rFonts w:ascii="黑体" w:hAnsi="黑体" w:eastAsia="黑体" w:cs="宋体"/>
          <w:bCs/>
        </w:rPr>
        <w:t xml:space="preserve">3.4 </w:t>
      </w:r>
      <w:r>
        <w:rPr>
          <w:rFonts w:hint="eastAsia"/>
        </w:rPr>
        <w:t>编码标识</w:t>
      </w:r>
      <w:r>
        <w:tab/>
      </w:r>
      <w:r>
        <w:fldChar w:fldCharType="begin"/>
      </w:r>
      <w:r>
        <w:instrText xml:space="preserve"> PAGEREF _Toc95 </w:instrText>
      </w:r>
      <w:r>
        <w:fldChar w:fldCharType="separate"/>
      </w:r>
      <w:r>
        <w:t>9</w:t>
      </w:r>
      <w:r>
        <w:fldChar w:fldCharType="end"/>
      </w:r>
      <w:r>
        <w:fldChar w:fldCharType="end"/>
      </w:r>
    </w:p>
    <w:p>
      <w:pPr>
        <w:pStyle w:val="31"/>
        <w:tabs>
          <w:tab w:val="right" w:leader="dot" w:pos="9026"/>
          <w:tab w:val="clear" w:pos="9241"/>
        </w:tabs>
      </w:pPr>
      <w:r>
        <w:fldChar w:fldCharType="begin"/>
      </w:r>
      <w:r>
        <w:instrText xml:space="preserve"> HYPERLINK \l "_Toc5411" </w:instrText>
      </w:r>
      <w:r>
        <w:fldChar w:fldCharType="separate"/>
      </w:r>
      <w:r>
        <w:rPr>
          <w:rFonts w:hint="eastAsia" w:ascii="黑体" w:hAnsi="宋体" w:eastAsia="黑体" w:cs="宋体"/>
          <w:szCs w:val="28"/>
        </w:rPr>
        <w:t xml:space="preserve">4 </w:t>
      </w:r>
      <w:r>
        <w:rPr>
          <w:rFonts w:hint="eastAsia"/>
        </w:rPr>
        <w:t>杆体</w:t>
      </w:r>
      <w:r>
        <w:tab/>
      </w:r>
      <w:r>
        <w:fldChar w:fldCharType="begin"/>
      </w:r>
      <w:r>
        <w:instrText xml:space="preserve"> PAGEREF _Toc5411 </w:instrText>
      </w:r>
      <w:r>
        <w:fldChar w:fldCharType="separate"/>
      </w:r>
      <w:r>
        <w:t>11</w:t>
      </w:r>
      <w:r>
        <w:fldChar w:fldCharType="end"/>
      </w:r>
      <w:r>
        <w:fldChar w:fldCharType="end"/>
      </w:r>
    </w:p>
    <w:p>
      <w:pPr>
        <w:pStyle w:val="15"/>
        <w:tabs>
          <w:tab w:val="right" w:leader="dot" w:pos="9026"/>
          <w:tab w:val="clear" w:pos="9241"/>
        </w:tabs>
        <w:ind w:firstLine="210"/>
      </w:pPr>
      <w:r>
        <w:fldChar w:fldCharType="begin"/>
      </w:r>
      <w:r>
        <w:instrText xml:space="preserve"> HYPERLINK \l "_Toc5280" </w:instrText>
      </w:r>
      <w:r>
        <w:fldChar w:fldCharType="separate"/>
      </w:r>
      <w:r>
        <w:rPr>
          <w:rFonts w:ascii="黑体" w:hAnsi="黑体" w:eastAsia="黑体" w:cs="宋体"/>
          <w:bCs/>
        </w:rPr>
        <w:t xml:space="preserve">4.1 </w:t>
      </w:r>
      <w:r>
        <w:rPr>
          <w:rFonts w:hint="eastAsia"/>
        </w:rPr>
        <w:t>总体要求</w:t>
      </w:r>
      <w:r>
        <w:tab/>
      </w:r>
      <w:r>
        <w:fldChar w:fldCharType="begin"/>
      </w:r>
      <w:r>
        <w:instrText xml:space="preserve"> PAGEREF _Toc5280 </w:instrText>
      </w:r>
      <w:r>
        <w:fldChar w:fldCharType="separate"/>
      </w:r>
      <w:r>
        <w:t>11</w:t>
      </w:r>
      <w:r>
        <w:fldChar w:fldCharType="end"/>
      </w:r>
      <w:r>
        <w:fldChar w:fldCharType="end"/>
      </w:r>
    </w:p>
    <w:p>
      <w:pPr>
        <w:pStyle w:val="15"/>
        <w:tabs>
          <w:tab w:val="right" w:leader="dot" w:pos="9026"/>
          <w:tab w:val="clear" w:pos="9241"/>
        </w:tabs>
        <w:ind w:firstLine="210"/>
      </w:pPr>
      <w:r>
        <w:fldChar w:fldCharType="begin"/>
      </w:r>
      <w:r>
        <w:instrText xml:space="preserve"> HYPERLINK \l "_Toc26621" </w:instrText>
      </w:r>
      <w:r>
        <w:fldChar w:fldCharType="separate"/>
      </w:r>
      <w:r>
        <w:rPr>
          <w:rFonts w:ascii="黑体" w:hAnsi="黑体" w:eastAsia="黑体" w:cs="宋体"/>
          <w:bCs/>
        </w:rPr>
        <w:t xml:space="preserve">4.2 </w:t>
      </w:r>
      <w:r>
        <w:rPr>
          <w:rFonts w:hint="eastAsia"/>
        </w:rPr>
        <w:t>杆体高度要求</w:t>
      </w:r>
      <w:r>
        <w:tab/>
      </w:r>
      <w:r>
        <w:fldChar w:fldCharType="begin"/>
      </w:r>
      <w:r>
        <w:instrText xml:space="preserve"> PAGEREF _Toc26621 </w:instrText>
      </w:r>
      <w:r>
        <w:fldChar w:fldCharType="separate"/>
      </w:r>
      <w:r>
        <w:t>11</w:t>
      </w:r>
      <w:r>
        <w:fldChar w:fldCharType="end"/>
      </w:r>
      <w:r>
        <w:fldChar w:fldCharType="end"/>
      </w:r>
    </w:p>
    <w:p>
      <w:pPr>
        <w:pStyle w:val="15"/>
        <w:tabs>
          <w:tab w:val="right" w:leader="dot" w:pos="9026"/>
          <w:tab w:val="clear" w:pos="9241"/>
        </w:tabs>
        <w:ind w:firstLine="210"/>
      </w:pPr>
      <w:r>
        <w:fldChar w:fldCharType="begin"/>
      </w:r>
      <w:r>
        <w:instrText xml:space="preserve"> HYPERLINK \l "_Toc5848" </w:instrText>
      </w:r>
      <w:r>
        <w:fldChar w:fldCharType="separate"/>
      </w:r>
      <w:r>
        <w:rPr>
          <w:rFonts w:ascii="黑体" w:hAnsi="黑体" w:eastAsia="黑体" w:cs="宋体"/>
          <w:bCs/>
        </w:rPr>
        <w:t xml:space="preserve">4.3 </w:t>
      </w:r>
      <w:r>
        <w:rPr>
          <w:rFonts w:hint="eastAsia"/>
        </w:rPr>
        <w:t>杆体结构要求</w:t>
      </w:r>
      <w:r>
        <w:tab/>
      </w:r>
      <w:r>
        <w:fldChar w:fldCharType="begin"/>
      </w:r>
      <w:r>
        <w:instrText xml:space="preserve"> PAGEREF _Toc5848 </w:instrText>
      </w:r>
      <w:r>
        <w:fldChar w:fldCharType="separate"/>
      </w:r>
      <w:r>
        <w:t>11</w:t>
      </w:r>
      <w:r>
        <w:fldChar w:fldCharType="end"/>
      </w:r>
      <w:r>
        <w:fldChar w:fldCharType="end"/>
      </w:r>
    </w:p>
    <w:p>
      <w:pPr>
        <w:pStyle w:val="15"/>
        <w:tabs>
          <w:tab w:val="right" w:leader="dot" w:pos="9026"/>
          <w:tab w:val="clear" w:pos="9241"/>
        </w:tabs>
        <w:ind w:firstLine="210"/>
      </w:pPr>
      <w:r>
        <w:fldChar w:fldCharType="begin"/>
      </w:r>
      <w:r>
        <w:instrText xml:space="preserve"> HYPERLINK \l "_Toc29731" </w:instrText>
      </w:r>
      <w:r>
        <w:fldChar w:fldCharType="separate"/>
      </w:r>
      <w:r>
        <w:rPr>
          <w:rFonts w:ascii="黑体" w:hAnsi="黑体" w:eastAsia="黑体" w:cs="宋体"/>
          <w:bCs/>
        </w:rPr>
        <w:t xml:space="preserve">4.4 </w:t>
      </w:r>
      <w:r>
        <w:rPr>
          <w:rFonts w:hint="eastAsia"/>
        </w:rPr>
        <w:t>设备安装位置</w:t>
      </w:r>
      <w:r>
        <w:tab/>
      </w:r>
      <w:r>
        <w:fldChar w:fldCharType="begin"/>
      </w:r>
      <w:r>
        <w:instrText xml:space="preserve"> PAGEREF _Toc29731 </w:instrText>
      </w:r>
      <w:r>
        <w:fldChar w:fldCharType="separate"/>
      </w:r>
      <w:r>
        <w:t>13</w:t>
      </w:r>
      <w:r>
        <w:fldChar w:fldCharType="end"/>
      </w:r>
      <w:r>
        <w:fldChar w:fldCharType="end"/>
      </w:r>
    </w:p>
    <w:p>
      <w:pPr>
        <w:pStyle w:val="15"/>
        <w:tabs>
          <w:tab w:val="right" w:leader="dot" w:pos="9026"/>
          <w:tab w:val="clear" w:pos="9241"/>
        </w:tabs>
        <w:ind w:firstLine="210"/>
      </w:pPr>
      <w:r>
        <w:fldChar w:fldCharType="begin"/>
      </w:r>
      <w:r>
        <w:instrText xml:space="preserve"> HYPERLINK \l "_Toc12447" </w:instrText>
      </w:r>
      <w:r>
        <w:fldChar w:fldCharType="separate"/>
      </w:r>
      <w:r>
        <w:rPr>
          <w:rFonts w:ascii="黑体" w:hAnsi="黑体" w:eastAsia="黑体" w:cs="宋体"/>
          <w:bCs/>
        </w:rPr>
        <w:t xml:space="preserve">4.5 </w:t>
      </w:r>
      <w:r>
        <w:rPr>
          <w:rFonts w:hint="eastAsia"/>
        </w:rPr>
        <w:t>杆体接口</w:t>
      </w:r>
      <w:r>
        <w:tab/>
      </w:r>
      <w:r>
        <w:fldChar w:fldCharType="begin"/>
      </w:r>
      <w:r>
        <w:instrText xml:space="preserve"> PAGEREF _Toc12447 </w:instrText>
      </w:r>
      <w:r>
        <w:fldChar w:fldCharType="separate"/>
      </w:r>
      <w:r>
        <w:t>14</w:t>
      </w:r>
      <w:r>
        <w:fldChar w:fldCharType="end"/>
      </w:r>
      <w:r>
        <w:fldChar w:fldCharType="end"/>
      </w:r>
    </w:p>
    <w:p>
      <w:pPr>
        <w:pStyle w:val="15"/>
        <w:tabs>
          <w:tab w:val="right" w:leader="dot" w:pos="9026"/>
          <w:tab w:val="clear" w:pos="9241"/>
        </w:tabs>
        <w:ind w:firstLine="210"/>
      </w:pPr>
      <w:r>
        <w:fldChar w:fldCharType="begin"/>
      </w:r>
      <w:r>
        <w:instrText xml:space="preserve"> HYPERLINK \l "_Toc2117" </w:instrText>
      </w:r>
      <w:r>
        <w:fldChar w:fldCharType="separate"/>
      </w:r>
      <w:r>
        <w:rPr>
          <w:rFonts w:ascii="黑体" w:hAnsi="黑体" w:eastAsia="黑体" w:cs="宋体"/>
          <w:bCs/>
        </w:rPr>
        <w:t xml:space="preserve">4.6 </w:t>
      </w:r>
      <w:r>
        <w:rPr>
          <w:rFonts w:hint="eastAsia"/>
        </w:rPr>
        <w:t>安全设计要求</w:t>
      </w:r>
      <w:r>
        <w:tab/>
      </w:r>
      <w:r>
        <w:fldChar w:fldCharType="begin"/>
      </w:r>
      <w:r>
        <w:instrText xml:space="preserve"> PAGEREF _Toc2117 </w:instrText>
      </w:r>
      <w:r>
        <w:fldChar w:fldCharType="separate"/>
      </w:r>
      <w:r>
        <w:t>14</w:t>
      </w:r>
      <w:r>
        <w:fldChar w:fldCharType="end"/>
      </w:r>
      <w:r>
        <w:fldChar w:fldCharType="end"/>
      </w:r>
    </w:p>
    <w:p>
      <w:pPr>
        <w:pStyle w:val="23"/>
        <w:tabs>
          <w:tab w:val="right" w:leader="dot" w:pos="9026"/>
          <w:tab w:val="clear" w:pos="9241"/>
        </w:tabs>
        <w:ind w:firstLine="420"/>
      </w:pPr>
      <w:r>
        <w:fldChar w:fldCharType="begin"/>
      </w:r>
      <w:r>
        <w:instrText xml:space="preserve"> HYPERLINK \l "_Toc31606" </w:instrText>
      </w:r>
      <w:r>
        <w:fldChar w:fldCharType="separate"/>
      </w:r>
      <w:r>
        <w:rPr>
          <w:rFonts w:ascii="黑体" w:hAnsi="黑体" w:eastAsia="黑体" w:cs="宋体"/>
        </w:rPr>
        <w:t xml:space="preserve">4.6.1 </w:t>
      </w:r>
      <w:r>
        <w:rPr>
          <w:rFonts w:hint="eastAsia"/>
        </w:rPr>
        <w:t>环境安全</w:t>
      </w:r>
      <w:r>
        <w:tab/>
      </w:r>
      <w:r>
        <w:fldChar w:fldCharType="begin"/>
      </w:r>
      <w:r>
        <w:instrText xml:space="preserve"> PAGEREF _Toc31606 </w:instrText>
      </w:r>
      <w:r>
        <w:fldChar w:fldCharType="separate"/>
      </w:r>
      <w:r>
        <w:t>14</w:t>
      </w:r>
      <w:r>
        <w:fldChar w:fldCharType="end"/>
      </w:r>
      <w:r>
        <w:fldChar w:fldCharType="end"/>
      </w:r>
    </w:p>
    <w:p>
      <w:pPr>
        <w:pStyle w:val="23"/>
        <w:tabs>
          <w:tab w:val="right" w:leader="dot" w:pos="9026"/>
          <w:tab w:val="clear" w:pos="9241"/>
        </w:tabs>
        <w:ind w:firstLine="420"/>
      </w:pPr>
      <w:r>
        <w:fldChar w:fldCharType="begin"/>
      </w:r>
      <w:r>
        <w:instrText xml:space="preserve"> HYPERLINK \l "_Toc3881" </w:instrText>
      </w:r>
      <w:r>
        <w:fldChar w:fldCharType="separate"/>
      </w:r>
      <w:r>
        <w:rPr>
          <w:rFonts w:ascii="黑体" w:hAnsi="黑体" w:eastAsia="黑体" w:cs="宋体"/>
        </w:rPr>
        <w:t xml:space="preserve">4.6.2 </w:t>
      </w:r>
      <w:r>
        <w:rPr>
          <w:rFonts w:hint="eastAsia"/>
        </w:rPr>
        <w:t>荷载要求</w:t>
      </w:r>
      <w:r>
        <w:tab/>
      </w:r>
      <w:r>
        <w:fldChar w:fldCharType="begin"/>
      </w:r>
      <w:r>
        <w:instrText xml:space="preserve"> PAGEREF _Toc3881 </w:instrText>
      </w:r>
      <w:r>
        <w:fldChar w:fldCharType="separate"/>
      </w:r>
      <w:r>
        <w:t>14</w:t>
      </w:r>
      <w:r>
        <w:fldChar w:fldCharType="end"/>
      </w:r>
      <w:r>
        <w:fldChar w:fldCharType="end"/>
      </w:r>
    </w:p>
    <w:p>
      <w:pPr>
        <w:pStyle w:val="23"/>
        <w:tabs>
          <w:tab w:val="right" w:leader="dot" w:pos="9026"/>
          <w:tab w:val="clear" w:pos="9241"/>
        </w:tabs>
        <w:ind w:firstLine="420"/>
      </w:pPr>
      <w:r>
        <w:fldChar w:fldCharType="begin"/>
      </w:r>
      <w:r>
        <w:instrText xml:space="preserve"> HYPERLINK \l "_Toc14637" </w:instrText>
      </w:r>
      <w:r>
        <w:fldChar w:fldCharType="separate"/>
      </w:r>
      <w:r>
        <w:rPr>
          <w:rFonts w:ascii="黑体" w:hAnsi="黑体" w:eastAsia="黑体" w:cs="宋体"/>
        </w:rPr>
        <w:t xml:space="preserve">4.6.3 </w:t>
      </w:r>
      <w:r>
        <w:rPr>
          <w:rFonts w:hint="eastAsia"/>
        </w:rPr>
        <w:t>防雷接地</w:t>
      </w:r>
      <w:r>
        <w:tab/>
      </w:r>
      <w:r>
        <w:fldChar w:fldCharType="begin"/>
      </w:r>
      <w:r>
        <w:instrText xml:space="preserve"> PAGEREF _Toc14637 </w:instrText>
      </w:r>
      <w:r>
        <w:fldChar w:fldCharType="separate"/>
      </w:r>
      <w:r>
        <w:t>16</w:t>
      </w:r>
      <w:r>
        <w:fldChar w:fldCharType="end"/>
      </w:r>
      <w:r>
        <w:fldChar w:fldCharType="end"/>
      </w:r>
    </w:p>
    <w:p>
      <w:pPr>
        <w:pStyle w:val="23"/>
        <w:tabs>
          <w:tab w:val="right" w:leader="dot" w:pos="9026"/>
          <w:tab w:val="clear" w:pos="9241"/>
        </w:tabs>
        <w:ind w:firstLine="420"/>
      </w:pPr>
      <w:r>
        <w:fldChar w:fldCharType="begin"/>
      </w:r>
      <w:r>
        <w:instrText xml:space="preserve"> HYPERLINK \l "_Toc17658" </w:instrText>
      </w:r>
      <w:r>
        <w:fldChar w:fldCharType="separate"/>
      </w:r>
      <w:r>
        <w:rPr>
          <w:rFonts w:ascii="黑体" w:hAnsi="黑体" w:eastAsia="黑体" w:cs="宋体"/>
        </w:rPr>
        <w:t xml:space="preserve">4.6.4 </w:t>
      </w:r>
      <w:r>
        <w:rPr>
          <w:rFonts w:hint="eastAsia"/>
        </w:rPr>
        <w:t>接地保护</w:t>
      </w:r>
      <w:r>
        <w:tab/>
      </w:r>
      <w:r>
        <w:fldChar w:fldCharType="begin"/>
      </w:r>
      <w:r>
        <w:instrText xml:space="preserve"> PAGEREF _Toc17658 </w:instrText>
      </w:r>
      <w:r>
        <w:fldChar w:fldCharType="separate"/>
      </w:r>
      <w:r>
        <w:t>17</w:t>
      </w:r>
      <w:r>
        <w:fldChar w:fldCharType="end"/>
      </w:r>
      <w:r>
        <w:fldChar w:fldCharType="end"/>
      </w:r>
    </w:p>
    <w:p>
      <w:pPr>
        <w:pStyle w:val="31"/>
        <w:tabs>
          <w:tab w:val="right" w:leader="dot" w:pos="9026"/>
          <w:tab w:val="clear" w:pos="9241"/>
        </w:tabs>
      </w:pPr>
      <w:r>
        <w:fldChar w:fldCharType="begin"/>
      </w:r>
      <w:r>
        <w:instrText xml:space="preserve"> HYPERLINK \l "_Toc6261" </w:instrText>
      </w:r>
      <w:r>
        <w:fldChar w:fldCharType="separate"/>
      </w:r>
      <w:r>
        <w:rPr>
          <w:rFonts w:hint="eastAsia" w:ascii="黑体" w:hAnsi="宋体" w:eastAsia="黑体" w:cs="宋体"/>
          <w:szCs w:val="28"/>
        </w:rPr>
        <w:t xml:space="preserve">5 </w:t>
      </w:r>
      <w:r>
        <w:t>挂载设备</w:t>
      </w:r>
      <w:r>
        <w:tab/>
      </w:r>
      <w:r>
        <w:fldChar w:fldCharType="begin"/>
      </w:r>
      <w:r>
        <w:instrText xml:space="preserve"> PAGEREF _Toc6261 </w:instrText>
      </w:r>
      <w:r>
        <w:fldChar w:fldCharType="separate"/>
      </w:r>
      <w:r>
        <w:t>18</w:t>
      </w:r>
      <w:r>
        <w:fldChar w:fldCharType="end"/>
      </w:r>
      <w:r>
        <w:fldChar w:fldCharType="end"/>
      </w:r>
    </w:p>
    <w:p>
      <w:pPr>
        <w:pStyle w:val="15"/>
        <w:tabs>
          <w:tab w:val="right" w:leader="dot" w:pos="9026"/>
          <w:tab w:val="clear" w:pos="9241"/>
        </w:tabs>
        <w:ind w:firstLine="210"/>
      </w:pPr>
      <w:r>
        <w:fldChar w:fldCharType="begin"/>
      </w:r>
      <w:r>
        <w:instrText xml:space="preserve"> HYPERLINK \l "_Toc15376" </w:instrText>
      </w:r>
      <w:r>
        <w:fldChar w:fldCharType="separate"/>
      </w:r>
      <w:r>
        <w:rPr>
          <w:rFonts w:ascii="黑体" w:hAnsi="黑体" w:eastAsia="黑体" w:cs="宋体"/>
          <w:bCs/>
        </w:rPr>
        <w:t xml:space="preserve">5.1 </w:t>
      </w:r>
      <w:r>
        <w:rPr>
          <w:rFonts w:hint="eastAsia"/>
        </w:rPr>
        <w:t>总体要求</w:t>
      </w:r>
      <w:r>
        <w:tab/>
      </w:r>
      <w:r>
        <w:fldChar w:fldCharType="begin"/>
      </w:r>
      <w:r>
        <w:instrText xml:space="preserve"> PAGEREF _Toc15376 </w:instrText>
      </w:r>
      <w:r>
        <w:fldChar w:fldCharType="separate"/>
      </w:r>
      <w:r>
        <w:t>18</w:t>
      </w:r>
      <w:r>
        <w:fldChar w:fldCharType="end"/>
      </w:r>
      <w:r>
        <w:fldChar w:fldCharType="end"/>
      </w:r>
    </w:p>
    <w:p>
      <w:pPr>
        <w:pStyle w:val="15"/>
        <w:tabs>
          <w:tab w:val="right" w:leader="dot" w:pos="9026"/>
          <w:tab w:val="clear" w:pos="9241"/>
        </w:tabs>
        <w:ind w:firstLine="210"/>
      </w:pPr>
      <w:r>
        <w:fldChar w:fldCharType="begin"/>
      </w:r>
      <w:r>
        <w:instrText xml:space="preserve"> HYPERLINK \l "_Toc12039" </w:instrText>
      </w:r>
      <w:r>
        <w:fldChar w:fldCharType="separate"/>
      </w:r>
      <w:r>
        <w:rPr>
          <w:rFonts w:ascii="黑体" w:hAnsi="黑体" w:eastAsia="黑体" w:cs="宋体"/>
          <w:bCs/>
        </w:rPr>
        <w:t xml:space="preserve">5.2 </w:t>
      </w:r>
      <w:r>
        <w:rPr>
          <w:rFonts w:hint="eastAsia"/>
        </w:rPr>
        <w:t>设备功能及指标</w:t>
      </w:r>
      <w:r>
        <w:tab/>
      </w:r>
      <w:r>
        <w:fldChar w:fldCharType="begin"/>
      </w:r>
      <w:r>
        <w:instrText xml:space="preserve"> PAGEREF _Toc12039 </w:instrText>
      </w:r>
      <w:r>
        <w:fldChar w:fldCharType="separate"/>
      </w:r>
      <w:r>
        <w:t>19</w:t>
      </w:r>
      <w:r>
        <w:fldChar w:fldCharType="end"/>
      </w:r>
      <w:r>
        <w:fldChar w:fldCharType="end"/>
      </w:r>
    </w:p>
    <w:p>
      <w:pPr>
        <w:pStyle w:val="23"/>
        <w:tabs>
          <w:tab w:val="right" w:leader="dot" w:pos="9026"/>
          <w:tab w:val="clear" w:pos="9241"/>
        </w:tabs>
        <w:ind w:firstLine="420"/>
      </w:pPr>
      <w:r>
        <w:fldChar w:fldCharType="begin"/>
      </w:r>
      <w:r>
        <w:instrText xml:space="preserve"> HYPERLINK \l "_Toc21755" </w:instrText>
      </w:r>
      <w:r>
        <w:fldChar w:fldCharType="separate"/>
      </w:r>
      <w:r>
        <w:rPr>
          <w:rFonts w:ascii="黑体" w:hAnsi="黑体" w:eastAsia="黑体" w:cs="宋体"/>
        </w:rPr>
        <w:t xml:space="preserve">5.2.1 </w:t>
      </w:r>
      <w:r>
        <w:rPr>
          <w:rFonts w:hint="eastAsia"/>
        </w:rPr>
        <w:t>智慧照明</w:t>
      </w:r>
      <w:r>
        <w:tab/>
      </w:r>
      <w:r>
        <w:fldChar w:fldCharType="begin"/>
      </w:r>
      <w:r>
        <w:instrText xml:space="preserve"> PAGEREF _Toc21755 </w:instrText>
      </w:r>
      <w:r>
        <w:fldChar w:fldCharType="separate"/>
      </w:r>
      <w:r>
        <w:t>19</w:t>
      </w:r>
      <w:r>
        <w:fldChar w:fldCharType="end"/>
      </w:r>
      <w:r>
        <w:fldChar w:fldCharType="end"/>
      </w:r>
    </w:p>
    <w:p>
      <w:pPr>
        <w:pStyle w:val="23"/>
        <w:tabs>
          <w:tab w:val="right" w:leader="dot" w:pos="9026"/>
          <w:tab w:val="clear" w:pos="9241"/>
        </w:tabs>
        <w:ind w:firstLine="420"/>
      </w:pPr>
      <w:r>
        <w:fldChar w:fldCharType="begin"/>
      </w:r>
      <w:r>
        <w:instrText xml:space="preserve"> HYPERLINK \l "_Toc24072" </w:instrText>
      </w:r>
      <w:r>
        <w:fldChar w:fldCharType="separate"/>
      </w:r>
      <w:r>
        <w:rPr>
          <w:rFonts w:ascii="黑体" w:hAnsi="黑体" w:eastAsia="黑体" w:cs="宋体"/>
        </w:rPr>
        <w:t xml:space="preserve">5.2.2 </w:t>
      </w:r>
      <w:r>
        <w:rPr>
          <w:rFonts w:hint="eastAsia"/>
        </w:rPr>
        <w:t>视频采集</w:t>
      </w:r>
      <w:r>
        <w:tab/>
      </w:r>
      <w:r>
        <w:fldChar w:fldCharType="begin"/>
      </w:r>
      <w:r>
        <w:instrText xml:space="preserve"> PAGEREF _Toc24072 </w:instrText>
      </w:r>
      <w:r>
        <w:fldChar w:fldCharType="separate"/>
      </w:r>
      <w:r>
        <w:t>20</w:t>
      </w:r>
      <w:r>
        <w:fldChar w:fldCharType="end"/>
      </w:r>
      <w:r>
        <w:fldChar w:fldCharType="end"/>
      </w:r>
    </w:p>
    <w:p>
      <w:pPr>
        <w:pStyle w:val="23"/>
        <w:tabs>
          <w:tab w:val="right" w:leader="dot" w:pos="9026"/>
          <w:tab w:val="clear" w:pos="9241"/>
        </w:tabs>
        <w:ind w:firstLine="420"/>
      </w:pPr>
      <w:r>
        <w:fldChar w:fldCharType="begin"/>
      </w:r>
      <w:r>
        <w:instrText xml:space="preserve"> HYPERLINK \l "_Toc11217" </w:instrText>
      </w:r>
      <w:r>
        <w:fldChar w:fldCharType="separate"/>
      </w:r>
      <w:r>
        <w:rPr>
          <w:rFonts w:ascii="黑体" w:hAnsi="黑体" w:eastAsia="黑体" w:cs="宋体"/>
        </w:rPr>
        <w:t xml:space="preserve">5.2.3 </w:t>
      </w:r>
      <w:r>
        <w:rPr>
          <w:rFonts w:hint="eastAsia"/>
        </w:rPr>
        <w:t>移动通信</w:t>
      </w:r>
      <w:r>
        <w:tab/>
      </w:r>
      <w:r>
        <w:fldChar w:fldCharType="begin"/>
      </w:r>
      <w:r>
        <w:instrText xml:space="preserve"> PAGEREF _Toc11217 </w:instrText>
      </w:r>
      <w:r>
        <w:fldChar w:fldCharType="separate"/>
      </w:r>
      <w:r>
        <w:t>20</w:t>
      </w:r>
      <w:r>
        <w:fldChar w:fldCharType="end"/>
      </w:r>
      <w:r>
        <w:fldChar w:fldCharType="end"/>
      </w:r>
    </w:p>
    <w:p>
      <w:pPr>
        <w:pStyle w:val="23"/>
        <w:tabs>
          <w:tab w:val="right" w:leader="dot" w:pos="9026"/>
          <w:tab w:val="clear" w:pos="9241"/>
        </w:tabs>
        <w:ind w:firstLine="420"/>
      </w:pPr>
      <w:r>
        <w:fldChar w:fldCharType="begin"/>
      </w:r>
      <w:r>
        <w:instrText xml:space="preserve"> HYPERLINK \l "_Toc14999" </w:instrText>
      </w:r>
      <w:r>
        <w:fldChar w:fldCharType="separate"/>
      </w:r>
      <w:r>
        <w:rPr>
          <w:rFonts w:ascii="黑体" w:hAnsi="黑体" w:eastAsia="黑体" w:cs="宋体"/>
        </w:rPr>
        <w:t xml:space="preserve">5.2.4 </w:t>
      </w:r>
      <w:r>
        <w:rPr>
          <w:rFonts w:hint="eastAsia"/>
        </w:rPr>
        <w:t>交通标志</w:t>
      </w:r>
      <w:r>
        <w:tab/>
      </w:r>
      <w:r>
        <w:fldChar w:fldCharType="begin"/>
      </w:r>
      <w:r>
        <w:instrText xml:space="preserve"> PAGEREF _Toc14999 </w:instrText>
      </w:r>
      <w:r>
        <w:fldChar w:fldCharType="separate"/>
      </w:r>
      <w:r>
        <w:t>21</w:t>
      </w:r>
      <w:r>
        <w:fldChar w:fldCharType="end"/>
      </w:r>
      <w:r>
        <w:fldChar w:fldCharType="end"/>
      </w:r>
    </w:p>
    <w:p>
      <w:pPr>
        <w:pStyle w:val="23"/>
        <w:tabs>
          <w:tab w:val="right" w:leader="dot" w:pos="9026"/>
          <w:tab w:val="clear" w:pos="9241"/>
        </w:tabs>
        <w:ind w:firstLine="420"/>
      </w:pPr>
      <w:r>
        <w:fldChar w:fldCharType="begin"/>
      </w:r>
      <w:r>
        <w:instrText xml:space="preserve"> HYPERLINK \l "_Toc19732" </w:instrText>
      </w:r>
      <w:r>
        <w:fldChar w:fldCharType="separate"/>
      </w:r>
      <w:r>
        <w:rPr>
          <w:rFonts w:ascii="黑体" w:hAnsi="黑体" w:eastAsia="黑体" w:cs="宋体"/>
        </w:rPr>
        <w:t xml:space="preserve">5.2.5 </w:t>
      </w:r>
      <w:r>
        <w:rPr>
          <w:rFonts w:hint="eastAsia"/>
        </w:rPr>
        <w:t>交通信号灯</w:t>
      </w:r>
      <w:r>
        <w:tab/>
      </w:r>
      <w:r>
        <w:fldChar w:fldCharType="begin"/>
      </w:r>
      <w:r>
        <w:instrText xml:space="preserve"> PAGEREF _Toc19732 </w:instrText>
      </w:r>
      <w:r>
        <w:fldChar w:fldCharType="separate"/>
      </w:r>
      <w:r>
        <w:t>23</w:t>
      </w:r>
      <w:r>
        <w:fldChar w:fldCharType="end"/>
      </w:r>
      <w:r>
        <w:fldChar w:fldCharType="end"/>
      </w:r>
    </w:p>
    <w:p>
      <w:pPr>
        <w:pStyle w:val="23"/>
        <w:tabs>
          <w:tab w:val="right" w:leader="dot" w:pos="9026"/>
          <w:tab w:val="clear" w:pos="9241"/>
        </w:tabs>
        <w:ind w:firstLine="420"/>
      </w:pPr>
      <w:r>
        <w:fldChar w:fldCharType="begin"/>
      </w:r>
      <w:r>
        <w:instrText xml:space="preserve"> HYPERLINK \l "_Toc9118" </w:instrText>
      </w:r>
      <w:r>
        <w:fldChar w:fldCharType="separate"/>
      </w:r>
      <w:r>
        <w:rPr>
          <w:rFonts w:ascii="黑体" w:hAnsi="黑体" w:eastAsia="黑体" w:cs="宋体"/>
        </w:rPr>
        <w:t xml:space="preserve">5.2.6 </w:t>
      </w:r>
      <w:r>
        <w:rPr>
          <w:rFonts w:hint="eastAsia"/>
        </w:rPr>
        <w:t>交通流检测</w:t>
      </w:r>
      <w:r>
        <w:tab/>
      </w:r>
      <w:r>
        <w:fldChar w:fldCharType="begin"/>
      </w:r>
      <w:r>
        <w:instrText xml:space="preserve"> PAGEREF _Toc9118 </w:instrText>
      </w:r>
      <w:r>
        <w:fldChar w:fldCharType="separate"/>
      </w:r>
      <w:r>
        <w:t>23</w:t>
      </w:r>
      <w:r>
        <w:fldChar w:fldCharType="end"/>
      </w:r>
      <w:r>
        <w:fldChar w:fldCharType="end"/>
      </w:r>
    </w:p>
    <w:p>
      <w:pPr>
        <w:pStyle w:val="23"/>
        <w:tabs>
          <w:tab w:val="right" w:leader="dot" w:pos="9026"/>
          <w:tab w:val="clear" w:pos="9241"/>
        </w:tabs>
        <w:ind w:firstLine="420"/>
      </w:pPr>
      <w:r>
        <w:fldChar w:fldCharType="begin"/>
      </w:r>
      <w:r>
        <w:instrText xml:space="preserve"> HYPERLINK \l "_Toc22191" </w:instrText>
      </w:r>
      <w:r>
        <w:fldChar w:fldCharType="separate"/>
      </w:r>
      <w:r>
        <w:rPr>
          <w:rFonts w:ascii="黑体" w:hAnsi="黑体" w:eastAsia="黑体" w:cs="宋体"/>
        </w:rPr>
        <w:t xml:space="preserve">5.2.7 </w:t>
      </w:r>
      <w:r>
        <w:rPr>
          <w:rFonts w:hint="eastAsia"/>
        </w:rPr>
        <w:t>交通执法</w:t>
      </w:r>
      <w:r>
        <w:tab/>
      </w:r>
      <w:r>
        <w:fldChar w:fldCharType="begin"/>
      </w:r>
      <w:r>
        <w:instrText xml:space="preserve"> PAGEREF _Toc22191 </w:instrText>
      </w:r>
      <w:r>
        <w:fldChar w:fldCharType="separate"/>
      </w:r>
      <w:r>
        <w:t>23</w:t>
      </w:r>
      <w:r>
        <w:fldChar w:fldCharType="end"/>
      </w:r>
      <w:r>
        <w:fldChar w:fldCharType="end"/>
      </w:r>
    </w:p>
    <w:p>
      <w:pPr>
        <w:pStyle w:val="23"/>
        <w:tabs>
          <w:tab w:val="right" w:leader="dot" w:pos="9026"/>
          <w:tab w:val="clear" w:pos="9241"/>
        </w:tabs>
        <w:ind w:firstLine="420"/>
      </w:pPr>
      <w:r>
        <w:fldChar w:fldCharType="begin"/>
      </w:r>
      <w:r>
        <w:instrText xml:space="preserve"> HYPERLINK \l "_Toc14176" </w:instrText>
      </w:r>
      <w:r>
        <w:fldChar w:fldCharType="separate"/>
      </w:r>
      <w:r>
        <w:rPr>
          <w:rFonts w:ascii="黑体" w:hAnsi="黑体" w:eastAsia="黑体" w:cs="宋体"/>
        </w:rPr>
        <w:t xml:space="preserve">5.2.8 </w:t>
      </w:r>
      <w:r>
        <w:rPr>
          <w:rFonts w:hint="eastAsia"/>
        </w:rPr>
        <w:t>环境监测</w:t>
      </w:r>
      <w:r>
        <w:tab/>
      </w:r>
      <w:r>
        <w:fldChar w:fldCharType="begin"/>
      </w:r>
      <w:r>
        <w:instrText xml:space="preserve"> PAGEREF _Toc14176 </w:instrText>
      </w:r>
      <w:r>
        <w:fldChar w:fldCharType="separate"/>
      </w:r>
      <w:r>
        <w:t>23</w:t>
      </w:r>
      <w:r>
        <w:fldChar w:fldCharType="end"/>
      </w:r>
      <w:r>
        <w:fldChar w:fldCharType="end"/>
      </w:r>
    </w:p>
    <w:p>
      <w:pPr>
        <w:pStyle w:val="23"/>
        <w:tabs>
          <w:tab w:val="right" w:leader="dot" w:pos="9026"/>
          <w:tab w:val="clear" w:pos="9241"/>
        </w:tabs>
        <w:ind w:firstLine="420"/>
      </w:pPr>
      <w:r>
        <w:fldChar w:fldCharType="begin"/>
      </w:r>
      <w:r>
        <w:instrText xml:space="preserve"> HYPERLINK \l "_Toc11876" </w:instrText>
      </w:r>
      <w:r>
        <w:fldChar w:fldCharType="separate"/>
      </w:r>
      <w:r>
        <w:rPr>
          <w:rFonts w:ascii="黑体" w:hAnsi="黑体" w:eastAsia="黑体" w:cs="宋体"/>
        </w:rPr>
        <w:t xml:space="preserve">5.2.9 </w:t>
      </w:r>
      <w:r>
        <w:rPr>
          <w:rFonts w:hint="eastAsia"/>
        </w:rPr>
        <w:t>气象监测</w:t>
      </w:r>
      <w:r>
        <w:tab/>
      </w:r>
      <w:r>
        <w:fldChar w:fldCharType="begin"/>
      </w:r>
      <w:r>
        <w:instrText xml:space="preserve"> PAGEREF _Toc11876 </w:instrText>
      </w:r>
      <w:r>
        <w:fldChar w:fldCharType="separate"/>
      </w:r>
      <w:r>
        <w:t>24</w:t>
      </w:r>
      <w:r>
        <w:fldChar w:fldCharType="end"/>
      </w:r>
      <w:r>
        <w:fldChar w:fldCharType="end"/>
      </w:r>
    </w:p>
    <w:p>
      <w:pPr>
        <w:pStyle w:val="23"/>
        <w:tabs>
          <w:tab w:val="right" w:leader="dot" w:pos="9026"/>
          <w:tab w:val="clear" w:pos="9241"/>
        </w:tabs>
        <w:ind w:firstLine="420"/>
      </w:pPr>
      <w:r>
        <w:fldChar w:fldCharType="begin"/>
      </w:r>
      <w:r>
        <w:instrText xml:space="preserve"> HYPERLINK \l "_Toc30897" </w:instrText>
      </w:r>
      <w:r>
        <w:fldChar w:fldCharType="separate"/>
      </w:r>
      <w:r>
        <w:rPr>
          <w:rFonts w:ascii="黑体" w:hAnsi="黑体" w:eastAsia="黑体" w:cs="宋体"/>
        </w:rPr>
        <w:t xml:space="preserve">5.2.10 </w:t>
      </w:r>
      <w:r>
        <w:rPr>
          <w:rFonts w:hint="eastAsia"/>
        </w:rPr>
        <w:t>一键呼叫</w:t>
      </w:r>
      <w:r>
        <w:tab/>
      </w:r>
      <w:r>
        <w:fldChar w:fldCharType="begin"/>
      </w:r>
      <w:r>
        <w:instrText xml:space="preserve"> PAGEREF _Toc30897 </w:instrText>
      </w:r>
      <w:r>
        <w:fldChar w:fldCharType="separate"/>
      </w:r>
      <w:r>
        <w:t>24</w:t>
      </w:r>
      <w:r>
        <w:fldChar w:fldCharType="end"/>
      </w:r>
      <w:r>
        <w:fldChar w:fldCharType="end"/>
      </w:r>
    </w:p>
    <w:p>
      <w:pPr>
        <w:pStyle w:val="23"/>
        <w:tabs>
          <w:tab w:val="right" w:leader="dot" w:pos="9026"/>
          <w:tab w:val="clear" w:pos="9241"/>
        </w:tabs>
        <w:ind w:firstLine="420"/>
      </w:pPr>
      <w:r>
        <w:fldChar w:fldCharType="begin"/>
      </w:r>
      <w:r>
        <w:instrText xml:space="preserve"> HYPERLINK \l "_Toc3741" </w:instrText>
      </w:r>
      <w:r>
        <w:fldChar w:fldCharType="separate"/>
      </w:r>
      <w:r>
        <w:rPr>
          <w:rFonts w:ascii="黑体" w:hAnsi="黑体" w:eastAsia="黑体" w:cs="宋体"/>
        </w:rPr>
        <w:t xml:space="preserve">5.2.11 </w:t>
      </w:r>
      <w:r>
        <w:rPr>
          <w:rFonts w:hint="eastAsia"/>
        </w:rPr>
        <w:t>信息发布屏</w:t>
      </w:r>
      <w:r>
        <w:tab/>
      </w:r>
      <w:r>
        <w:fldChar w:fldCharType="begin"/>
      </w:r>
      <w:r>
        <w:instrText xml:space="preserve"> PAGEREF _Toc3741 </w:instrText>
      </w:r>
      <w:r>
        <w:fldChar w:fldCharType="separate"/>
      </w:r>
      <w:r>
        <w:t>24</w:t>
      </w:r>
      <w:r>
        <w:fldChar w:fldCharType="end"/>
      </w:r>
      <w:r>
        <w:fldChar w:fldCharType="end"/>
      </w:r>
    </w:p>
    <w:p>
      <w:pPr>
        <w:pStyle w:val="23"/>
        <w:tabs>
          <w:tab w:val="right" w:leader="dot" w:pos="9026"/>
          <w:tab w:val="clear" w:pos="9241"/>
        </w:tabs>
        <w:ind w:firstLine="420"/>
      </w:pPr>
      <w:r>
        <w:fldChar w:fldCharType="begin"/>
      </w:r>
      <w:r>
        <w:instrText xml:space="preserve"> HYPERLINK \l "_Toc17294" </w:instrText>
      </w:r>
      <w:r>
        <w:fldChar w:fldCharType="separate"/>
      </w:r>
      <w:r>
        <w:rPr>
          <w:rFonts w:ascii="黑体" w:hAnsi="黑体" w:eastAsia="黑体" w:cs="宋体"/>
        </w:rPr>
        <w:t xml:space="preserve">5.2.12 </w:t>
      </w:r>
      <w:r>
        <w:rPr>
          <w:rFonts w:hint="eastAsia"/>
        </w:rPr>
        <w:t>公共广播</w:t>
      </w:r>
      <w:r>
        <w:tab/>
      </w:r>
      <w:r>
        <w:fldChar w:fldCharType="begin"/>
      </w:r>
      <w:r>
        <w:instrText xml:space="preserve"> PAGEREF _Toc17294 </w:instrText>
      </w:r>
      <w:r>
        <w:fldChar w:fldCharType="separate"/>
      </w:r>
      <w:r>
        <w:t>25</w:t>
      </w:r>
      <w:r>
        <w:fldChar w:fldCharType="end"/>
      </w:r>
      <w:r>
        <w:fldChar w:fldCharType="end"/>
      </w:r>
    </w:p>
    <w:p>
      <w:pPr>
        <w:pStyle w:val="23"/>
        <w:tabs>
          <w:tab w:val="right" w:leader="dot" w:pos="9026"/>
          <w:tab w:val="clear" w:pos="9241"/>
        </w:tabs>
        <w:ind w:firstLine="420"/>
      </w:pPr>
      <w:r>
        <w:fldChar w:fldCharType="begin"/>
      </w:r>
      <w:r>
        <w:instrText xml:space="preserve"> HYPERLINK \l "_Toc267" </w:instrText>
      </w:r>
      <w:r>
        <w:fldChar w:fldCharType="separate"/>
      </w:r>
      <w:r>
        <w:rPr>
          <w:rFonts w:ascii="黑体" w:hAnsi="黑体" w:eastAsia="黑体" w:cs="宋体"/>
        </w:rPr>
        <w:t xml:space="preserve">5.2.13 </w:t>
      </w:r>
      <w:r>
        <w:rPr>
          <w:rFonts w:hint="eastAsia"/>
        </w:rPr>
        <w:t>多媒体交互终端</w:t>
      </w:r>
      <w:r>
        <w:tab/>
      </w:r>
      <w:r>
        <w:fldChar w:fldCharType="begin"/>
      </w:r>
      <w:r>
        <w:instrText xml:space="preserve"> PAGEREF _Toc267 </w:instrText>
      </w:r>
      <w:r>
        <w:fldChar w:fldCharType="separate"/>
      </w:r>
      <w:r>
        <w:t>25</w:t>
      </w:r>
      <w:r>
        <w:fldChar w:fldCharType="end"/>
      </w:r>
      <w:r>
        <w:fldChar w:fldCharType="end"/>
      </w:r>
    </w:p>
    <w:p>
      <w:pPr>
        <w:pStyle w:val="23"/>
        <w:tabs>
          <w:tab w:val="right" w:leader="dot" w:pos="9026"/>
          <w:tab w:val="clear" w:pos="9241"/>
        </w:tabs>
        <w:ind w:firstLine="420"/>
      </w:pPr>
      <w:r>
        <w:fldChar w:fldCharType="begin"/>
      </w:r>
      <w:r>
        <w:instrText xml:space="preserve"> HYPERLINK \l "_Toc12885" </w:instrText>
      </w:r>
      <w:r>
        <w:fldChar w:fldCharType="separate"/>
      </w:r>
      <w:r>
        <w:rPr>
          <w:rFonts w:ascii="黑体" w:hAnsi="黑体" w:eastAsia="黑体" w:cs="宋体"/>
        </w:rPr>
        <w:t xml:space="preserve">5.2.14 </w:t>
      </w:r>
      <w:r>
        <w:rPr>
          <w:rFonts w:hint="eastAsia"/>
        </w:rPr>
        <w:t>公共WLAN</w:t>
      </w:r>
      <w:r>
        <w:tab/>
      </w:r>
      <w:r>
        <w:fldChar w:fldCharType="begin"/>
      </w:r>
      <w:r>
        <w:instrText xml:space="preserve"> PAGEREF _Toc12885 </w:instrText>
      </w:r>
      <w:r>
        <w:fldChar w:fldCharType="separate"/>
      </w:r>
      <w:r>
        <w:t>26</w:t>
      </w:r>
      <w:r>
        <w:fldChar w:fldCharType="end"/>
      </w:r>
      <w:r>
        <w:fldChar w:fldCharType="end"/>
      </w:r>
    </w:p>
    <w:p>
      <w:pPr>
        <w:pStyle w:val="23"/>
        <w:tabs>
          <w:tab w:val="right" w:leader="dot" w:pos="9026"/>
          <w:tab w:val="clear" w:pos="9241"/>
        </w:tabs>
        <w:ind w:firstLine="420"/>
      </w:pPr>
      <w:r>
        <w:fldChar w:fldCharType="begin"/>
      </w:r>
      <w:r>
        <w:instrText xml:space="preserve"> HYPERLINK \l "_Toc9509" </w:instrText>
      </w:r>
      <w:r>
        <w:fldChar w:fldCharType="separate"/>
      </w:r>
      <w:r>
        <w:rPr>
          <w:rFonts w:ascii="黑体" w:hAnsi="黑体" w:eastAsia="黑体" w:cs="宋体"/>
        </w:rPr>
        <w:t xml:space="preserve">5.2.15 </w:t>
      </w:r>
      <w:r>
        <w:rPr>
          <w:rFonts w:hint="eastAsia"/>
        </w:rPr>
        <w:t>充电桩</w:t>
      </w:r>
      <w:r>
        <w:tab/>
      </w:r>
      <w:r>
        <w:fldChar w:fldCharType="begin"/>
      </w:r>
      <w:r>
        <w:instrText xml:space="preserve"> PAGEREF _Toc9509 </w:instrText>
      </w:r>
      <w:r>
        <w:fldChar w:fldCharType="separate"/>
      </w:r>
      <w:r>
        <w:t>26</w:t>
      </w:r>
      <w:r>
        <w:fldChar w:fldCharType="end"/>
      </w:r>
      <w:r>
        <w:fldChar w:fldCharType="end"/>
      </w:r>
    </w:p>
    <w:p>
      <w:pPr>
        <w:pStyle w:val="31"/>
        <w:tabs>
          <w:tab w:val="right" w:leader="dot" w:pos="9026"/>
          <w:tab w:val="clear" w:pos="9241"/>
        </w:tabs>
      </w:pPr>
      <w:r>
        <w:fldChar w:fldCharType="begin"/>
      </w:r>
      <w:r>
        <w:instrText xml:space="preserve"> HYPERLINK \l "_Toc11479" </w:instrText>
      </w:r>
      <w:r>
        <w:fldChar w:fldCharType="separate"/>
      </w:r>
      <w:r>
        <w:rPr>
          <w:rFonts w:hint="eastAsia" w:ascii="黑体" w:hAnsi="宋体" w:eastAsia="黑体" w:cs="宋体"/>
          <w:szCs w:val="28"/>
        </w:rPr>
        <w:t xml:space="preserve">6 </w:t>
      </w:r>
      <w:r>
        <w:rPr>
          <w:rFonts w:hint="eastAsia"/>
        </w:rPr>
        <w:t>附属配套</w:t>
      </w:r>
      <w:r>
        <w:tab/>
      </w:r>
      <w:r>
        <w:fldChar w:fldCharType="begin"/>
      </w:r>
      <w:r>
        <w:instrText xml:space="preserve"> PAGEREF _Toc11479 </w:instrText>
      </w:r>
      <w:r>
        <w:fldChar w:fldCharType="separate"/>
      </w:r>
      <w:r>
        <w:t>27</w:t>
      </w:r>
      <w:r>
        <w:fldChar w:fldCharType="end"/>
      </w:r>
      <w:r>
        <w:fldChar w:fldCharType="end"/>
      </w:r>
    </w:p>
    <w:p>
      <w:pPr>
        <w:pStyle w:val="15"/>
        <w:tabs>
          <w:tab w:val="right" w:leader="dot" w:pos="9026"/>
          <w:tab w:val="clear" w:pos="9241"/>
        </w:tabs>
        <w:ind w:firstLine="210"/>
      </w:pPr>
      <w:r>
        <w:fldChar w:fldCharType="begin"/>
      </w:r>
      <w:r>
        <w:instrText xml:space="preserve"> HYPERLINK \l "_Toc22731" </w:instrText>
      </w:r>
      <w:r>
        <w:fldChar w:fldCharType="separate"/>
      </w:r>
      <w:r>
        <w:rPr>
          <w:rFonts w:ascii="黑体" w:hAnsi="黑体" w:eastAsia="黑体" w:cs="宋体"/>
          <w:bCs/>
        </w:rPr>
        <w:t xml:space="preserve">6.1 </w:t>
      </w:r>
      <w:r>
        <w:rPr>
          <w:rFonts w:hint="eastAsia"/>
        </w:rPr>
        <w:t>供电系统</w:t>
      </w:r>
      <w:r>
        <w:tab/>
      </w:r>
      <w:r>
        <w:fldChar w:fldCharType="begin"/>
      </w:r>
      <w:r>
        <w:instrText xml:space="preserve"> PAGEREF _Toc22731 </w:instrText>
      </w:r>
      <w:r>
        <w:fldChar w:fldCharType="separate"/>
      </w:r>
      <w:r>
        <w:t>27</w:t>
      </w:r>
      <w:r>
        <w:fldChar w:fldCharType="end"/>
      </w:r>
      <w:r>
        <w:fldChar w:fldCharType="end"/>
      </w:r>
    </w:p>
    <w:p>
      <w:pPr>
        <w:pStyle w:val="15"/>
        <w:tabs>
          <w:tab w:val="right" w:leader="dot" w:pos="9026"/>
          <w:tab w:val="clear" w:pos="9241"/>
        </w:tabs>
        <w:ind w:firstLine="210"/>
      </w:pPr>
      <w:r>
        <w:fldChar w:fldCharType="begin"/>
      </w:r>
      <w:r>
        <w:instrText xml:space="preserve"> HYPERLINK \l "_Toc8579" </w:instrText>
      </w:r>
      <w:r>
        <w:fldChar w:fldCharType="separate"/>
      </w:r>
      <w:r>
        <w:rPr>
          <w:rFonts w:ascii="黑体" w:hAnsi="黑体" w:eastAsia="黑体" w:cs="宋体"/>
          <w:bCs/>
        </w:rPr>
        <w:t xml:space="preserve">6.2 </w:t>
      </w:r>
      <w:r>
        <w:rPr>
          <w:rFonts w:hint="eastAsia"/>
        </w:rPr>
        <w:t>配套管道</w:t>
      </w:r>
      <w:r>
        <w:tab/>
      </w:r>
      <w:r>
        <w:fldChar w:fldCharType="begin"/>
      </w:r>
      <w:r>
        <w:instrText xml:space="preserve"> PAGEREF _Toc8579 </w:instrText>
      </w:r>
      <w:r>
        <w:fldChar w:fldCharType="separate"/>
      </w:r>
      <w:r>
        <w:t>27</w:t>
      </w:r>
      <w:r>
        <w:fldChar w:fldCharType="end"/>
      </w:r>
      <w:r>
        <w:fldChar w:fldCharType="end"/>
      </w:r>
    </w:p>
    <w:p>
      <w:pPr>
        <w:pStyle w:val="15"/>
        <w:tabs>
          <w:tab w:val="right" w:leader="dot" w:pos="9026"/>
          <w:tab w:val="clear" w:pos="9241"/>
        </w:tabs>
        <w:ind w:firstLine="210"/>
      </w:pPr>
      <w:r>
        <w:fldChar w:fldCharType="begin"/>
      </w:r>
      <w:r>
        <w:instrText xml:space="preserve"> HYPERLINK \l "_Toc24722" </w:instrText>
      </w:r>
      <w:r>
        <w:fldChar w:fldCharType="separate"/>
      </w:r>
      <w:r>
        <w:rPr>
          <w:rFonts w:ascii="黑体" w:hAnsi="黑体" w:eastAsia="黑体" w:cs="宋体"/>
          <w:bCs/>
        </w:rPr>
        <w:t xml:space="preserve">6.3 </w:t>
      </w:r>
      <w:r>
        <w:rPr>
          <w:rFonts w:hint="eastAsia"/>
        </w:rPr>
        <w:t>综合机箱</w:t>
      </w:r>
      <w:r>
        <w:tab/>
      </w:r>
      <w:r>
        <w:fldChar w:fldCharType="begin"/>
      </w:r>
      <w:r>
        <w:instrText xml:space="preserve"> PAGEREF _Toc24722 </w:instrText>
      </w:r>
      <w:r>
        <w:fldChar w:fldCharType="separate"/>
      </w:r>
      <w:r>
        <w:t>28</w:t>
      </w:r>
      <w:r>
        <w:fldChar w:fldCharType="end"/>
      </w:r>
      <w:r>
        <w:fldChar w:fldCharType="end"/>
      </w:r>
    </w:p>
    <w:p>
      <w:pPr>
        <w:pStyle w:val="15"/>
        <w:tabs>
          <w:tab w:val="right" w:leader="dot" w:pos="9026"/>
          <w:tab w:val="clear" w:pos="9241"/>
        </w:tabs>
        <w:ind w:firstLine="210"/>
      </w:pPr>
      <w:r>
        <w:fldChar w:fldCharType="begin"/>
      </w:r>
      <w:r>
        <w:instrText xml:space="preserve"> HYPERLINK \l "_Toc6895" </w:instrText>
      </w:r>
      <w:r>
        <w:fldChar w:fldCharType="separate"/>
      </w:r>
      <w:r>
        <w:rPr>
          <w:rFonts w:ascii="黑体" w:hAnsi="黑体" w:eastAsia="黑体" w:cs="宋体"/>
          <w:bCs/>
        </w:rPr>
        <w:t xml:space="preserve">6.4 </w:t>
      </w:r>
      <w:r>
        <w:rPr>
          <w:rFonts w:hint="eastAsia"/>
        </w:rPr>
        <w:t>综合机房</w:t>
      </w:r>
      <w:r>
        <w:tab/>
      </w:r>
      <w:r>
        <w:fldChar w:fldCharType="begin"/>
      </w:r>
      <w:r>
        <w:instrText xml:space="preserve"> PAGEREF _Toc6895 </w:instrText>
      </w:r>
      <w:r>
        <w:fldChar w:fldCharType="separate"/>
      </w:r>
      <w:r>
        <w:t>29</w:t>
      </w:r>
      <w:r>
        <w:fldChar w:fldCharType="end"/>
      </w:r>
      <w:r>
        <w:fldChar w:fldCharType="end"/>
      </w:r>
    </w:p>
    <w:p>
      <w:pPr>
        <w:pStyle w:val="31"/>
        <w:tabs>
          <w:tab w:val="right" w:leader="dot" w:pos="9026"/>
          <w:tab w:val="clear" w:pos="9241"/>
        </w:tabs>
      </w:pPr>
      <w:r>
        <w:fldChar w:fldCharType="begin"/>
      </w:r>
      <w:r>
        <w:instrText xml:space="preserve"> HYPERLINK \l "_Toc31656" </w:instrText>
      </w:r>
      <w:r>
        <w:fldChar w:fldCharType="separate"/>
      </w:r>
      <w:r>
        <w:rPr>
          <w:rFonts w:hint="eastAsia" w:ascii="黑体" w:hAnsi="宋体" w:eastAsia="黑体" w:cs="宋体"/>
          <w:szCs w:val="28"/>
        </w:rPr>
        <w:t xml:space="preserve">7 </w:t>
      </w:r>
      <w:r>
        <w:rPr>
          <w:rFonts w:hint="eastAsia"/>
          <w:szCs w:val="28"/>
        </w:rPr>
        <w:t>系统平台</w:t>
      </w:r>
      <w:r>
        <w:tab/>
      </w:r>
      <w:r>
        <w:fldChar w:fldCharType="begin"/>
      </w:r>
      <w:r>
        <w:instrText xml:space="preserve"> PAGEREF _Toc31656 </w:instrText>
      </w:r>
      <w:r>
        <w:fldChar w:fldCharType="separate"/>
      </w:r>
      <w:r>
        <w:t>31</w:t>
      </w:r>
      <w:r>
        <w:fldChar w:fldCharType="end"/>
      </w:r>
      <w:r>
        <w:fldChar w:fldCharType="end"/>
      </w:r>
    </w:p>
    <w:p>
      <w:pPr>
        <w:pStyle w:val="15"/>
        <w:tabs>
          <w:tab w:val="right" w:leader="dot" w:pos="9026"/>
          <w:tab w:val="clear" w:pos="9241"/>
        </w:tabs>
        <w:ind w:firstLine="210"/>
      </w:pPr>
      <w:r>
        <w:fldChar w:fldCharType="begin"/>
      </w:r>
      <w:r>
        <w:instrText xml:space="preserve"> HYPERLINK \l "_Toc1728" </w:instrText>
      </w:r>
      <w:r>
        <w:fldChar w:fldCharType="separate"/>
      </w:r>
      <w:r>
        <w:rPr>
          <w:rFonts w:ascii="黑体" w:hAnsi="黑体" w:eastAsia="黑体" w:cs="宋体"/>
          <w:bCs/>
        </w:rPr>
        <w:t xml:space="preserve">7.1 </w:t>
      </w:r>
      <w:r>
        <w:rPr>
          <w:rFonts w:hint="eastAsia"/>
        </w:rPr>
        <w:t>平台功能</w:t>
      </w:r>
      <w:r>
        <w:tab/>
      </w:r>
      <w:r>
        <w:fldChar w:fldCharType="begin"/>
      </w:r>
      <w:r>
        <w:instrText xml:space="preserve"> PAGEREF _Toc1728 </w:instrText>
      </w:r>
      <w:r>
        <w:fldChar w:fldCharType="separate"/>
      </w:r>
      <w:r>
        <w:t>31</w:t>
      </w:r>
      <w:r>
        <w:fldChar w:fldCharType="end"/>
      </w:r>
      <w:r>
        <w:fldChar w:fldCharType="end"/>
      </w:r>
    </w:p>
    <w:p>
      <w:pPr>
        <w:pStyle w:val="15"/>
        <w:tabs>
          <w:tab w:val="right" w:leader="dot" w:pos="9026"/>
          <w:tab w:val="clear" w:pos="9241"/>
        </w:tabs>
        <w:ind w:firstLine="210"/>
      </w:pPr>
      <w:r>
        <w:fldChar w:fldCharType="begin"/>
      </w:r>
      <w:r>
        <w:instrText xml:space="preserve"> HYPERLINK \l "_Toc1954" </w:instrText>
      </w:r>
      <w:r>
        <w:fldChar w:fldCharType="separate"/>
      </w:r>
      <w:r>
        <w:rPr>
          <w:rFonts w:ascii="黑体" w:hAnsi="黑体" w:eastAsia="黑体" w:cs="宋体"/>
          <w:bCs/>
        </w:rPr>
        <w:t xml:space="preserve">7.2 </w:t>
      </w:r>
      <w:r>
        <w:t>信息安全</w:t>
      </w:r>
      <w:r>
        <w:tab/>
      </w:r>
      <w:r>
        <w:fldChar w:fldCharType="begin"/>
      </w:r>
      <w:r>
        <w:instrText xml:space="preserve"> PAGEREF _Toc1954 </w:instrText>
      </w:r>
      <w:r>
        <w:fldChar w:fldCharType="separate"/>
      </w:r>
      <w:r>
        <w:t>32</w:t>
      </w:r>
      <w:r>
        <w:fldChar w:fldCharType="end"/>
      </w:r>
      <w:r>
        <w:fldChar w:fldCharType="end"/>
      </w:r>
    </w:p>
    <w:p>
      <w:pPr>
        <w:pStyle w:val="15"/>
        <w:tabs>
          <w:tab w:val="right" w:leader="dot" w:pos="9026"/>
          <w:tab w:val="clear" w:pos="9241"/>
        </w:tabs>
        <w:ind w:firstLine="210"/>
      </w:pPr>
      <w:r>
        <w:fldChar w:fldCharType="begin"/>
      </w:r>
      <w:r>
        <w:instrText xml:space="preserve"> HYPERLINK \l "_Toc24746" </w:instrText>
      </w:r>
      <w:r>
        <w:fldChar w:fldCharType="separate"/>
      </w:r>
      <w:r>
        <w:rPr>
          <w:rFonts w:ascii="黑体" w:hAnsi="黑体" w:eastAsia="黑体" w:cs="宋体"/>
          <w:bCs/>
        </w:rPr>
        <w:t xml:space="preserve">7.3 </w:t>
      </w:r>
      <w:r>
        <w:t>数据共享</w:t>
      </w:r>
      <w:r>
        <w:tab/>
      </w:r>
      <w:r>
        <w:fldChar w:fldCharType="begin"/>
      </w:r>
      <w:r>
        <w:instrText xml:space="preserve"> PAGEREF _Toc24746 </w:instrText>
      </w:r>
      <w:r>
        <w:fldChar w:fldCharType="separate"/>
      </w:r>
      <w:r>
        <w:t>32</w:t>
      </w:r>
      <w:r>
        <w:fldChar w:fldCharType="end"/>
      </w:r>
      <w:r>
        <w:fldChar w:fldCharType="end"/>
      </w:r>
    </w:p>
    <w:p>
      <w:pPr>
        <w:pStyle w:val="31"/>
        <w:tabs>
          <w:tab w:val="right" w:leader="dot" w:pos="9026"/>
          <w:tab w:val="clear" w:pos="9241"/>
        </w:tabs>
      </w:pPr>
      <w:r>
        <w:fldChar w:fldCharType="begin"/>
      </w:r>
      <w:r>
        <w:instrText xml:space="preserve"> HYPERLINK \l "_Toc15348" </w:instrText>
      </w:r>
      <w:r>
        <w:fldChar w:fldCharType="separate"/>
      </w:r>
      <w:r>
        <w:rPr>
          <w:rFonts w:hint="eastAsia" w:ascii="黑体" w:hAnsi="宋体" w:eastAsia="黑体" w:cs="宋体"/>
          <w:szCs w:val="28"/>
        </w:rPr>
        <w:t xml:space="preserve">8 </w:t>
      </w:r>
      <w:r>
        <w:t>建设要求</w:t>
      </w:r>
      <w:r>
        <w:tab/>
      </w:r>
      <w:r>
        <w:fldChar w:fldCharType="begin"/>
      </w:r>
      <w:r>
        <w:instrText xml:space="preserve"> PAGEREF _Toc15348 </w:instrText>
      </w:r>
      <w:r>
        <w:fldChar w:fldCharType="separate"/>
      </w:r>
      <w:r>
        <w:t>33</w:t>
      </w:r>
      <w:r>
        <w:fldChar w:fldCharType="end"/>
      </w:r>
      <w:r>
        <w:fldChar w:fldCharType="end"/>
      </w:r>
    </w:p>
    <w:p>
      <w:pPr>
        <w:pStyle w:val="15"/>
        <w:tabs>
          <w:tab w:val="right" w:leader="dot" w:pos="9026"/>
          <w:tab w:val="clear" w:pos="9241"/>
        </w:tabs>
        <w:ind w:firstLine="210"/>
      </w:pPr>
      <w:r>
        <w:fldChar w:fldCharType="begin"/>
      </w:r>
      <w:r>
        <w:instrText xml:space="preserve"> HYPERLINK \l "_Toc478" </w:instrText>
      </w:r>
      <w:r>
        <w:fldChar w:fldCharType="separate"/>
      </w:r>
      <w:r>
        <w:rPr>
          <w:rFonts w:ascii="黑体" w:hAnsi="黑体" w:eastAsia="黑体" w:cs="宋体"/>
          <w:bCs/>
        </w:rPr>
        <w:t xml:space="preserve">8.1 </w:t>
      </w:r>
      <w:r>
        <w:rPr>
          <w:rFonts w:hint="eastAsia"/>
        </w:rPr>
        <w:t>总体要求</w:t>
      </w:r>
      <w:r>
        <w:tab/>
      </w:r>
      <w:r>
        <w:fldChar w:fldCharType="begin"/>
      </w:r>
      <w:r>
        <w:instrText xml:space="preserve"> PAGEREF _Toc478 </w:instrText>
      </w:r>
      <w:r>
        <w:fldChar w:fldCharType="separate"/>
      </w:r>
      <w:r>
        <w:t>33</w:t>
      </w:r>
      <w:r>
        <w:fldChar w:fldCharType="end"/>
      </w:r>
      <w:r>
        <w:fldChar w:fldCharType="end"/>
      </w:r>
    </w:p>
    <w:p>
      <w:pPr>
        <w:pStyle w:val="15"/>
        <w:tabs>
          <w:tab w:val="right" w:leader="dot" w:pos="9026"/>
          <w:tab w:val="clear" w:pos="9241"/>
        </w:tabs>
        <w:ind w:firstLine="210"/>
      </w:pPr>
      <w:r>
        <w:fldChar w:fldCharType="begin"/>
      </w:r>
      <w:r>
        <w:instrText xml:space="preserve"> HYPERLINK \l "_Toc9089" </w:instrText>
      </w:r>
      <w:r>
        <w:fldChar w:fldCharType="separate"/>
      </w:r>
      <w:r>
        <w:rPr>
          <w:rFonts w:ascii="黑体" w:hAnsi="黑体" w:eastAsia="黑体" w:cs="宋体"/>
          <w:bCs/>
        </w:rPr>
        <w:t xml:space="preserve">8.2 </w:t>
      </w:r>
      <w:r>
        <w:rPr>
          <w:rFonts w:hint="eastAsia"/>
        </w:rPr>
        <w:t>新建要求</w:t>
      </w:r>
      <w:r>
        <w:tab/>
      </w:r>
      <w:r>
        <w:fldChar w:fldCharType="begin"/>
      </w:r>
      <w:r>
        <w:instrText xml:space="preserve"> PAGEREF _Toc9089 </w:instrText>
      </w:r>
      <w:r>
        <w:fldChar w:fldCharType="separate"/>
      </w:r>
      <w:r>
        <w:t>33</w:t>
      </w:r>
      <w:r>
        <w:fldChar w:fldCharType="end"/>
      </w:r>
      <w:r>
        <w:fldChar w:fldCharType="end"/>
      </w:r>
    </w:p>
    <w:p>
      <w:pPr>
        <w:pStyle w:val="15"/>
        <w:tabs>
          <w:tab w:val="right" w:leader="dot" w:pos="9026"/>
          <w:tab w:val="clear" w:pos="9241"/>
        </w:tabs>
        <w:ind w:firstLine="210"/>
      </w:pPr>
      <w:r>
        <w:fldChar w:fldCharType="begin"/>
      </w:r>
      <w:r>
        <w:instrText xml:space="preserve"> HYPERLINK \l "_Toc21781" </w:instrText>
      </w:r>
      <w:r>
        <w:fldChar w:fldCharType="separate"/>
      </w:r>
      <w:r>
        <w:rPr>
          <w:rFonts w:ascii="黑体" w:hAnsi="黑体" w:eastAsia="黑体" w:cs="宋体"/>
          <w:bCs/>
        </w:rPr>
        <w:t xml:space="preserve">8.3 </w:t>
      </w:r>
      <w:r>
        <w:rPr>
          <w:rFonts w:hint="eastAsia"/>
        </w:rPr>
        <w:t>改造要求</w:t>
      </w:r>
      <w:r>
        <w:tab/>
      </w:r>
      <w:r>
        <w:fldChar w:fldCharType="begin"/>
      </w:r>
      <w:r>
        <w:instrText xml:space="preserve"> PAGEREF _Toc21781 </w:instrText>
      </w:r>
      <w:r>
        <w:fldChar w:fldCharType="separate"/>
      </w:r>
      <w:r>
        <w:t>33</w:t>
      </w:r>
      <w:r>
        <w:fldChar w:fldCharType="end"/>
      </w:r>
      <w:r>
        <w:fldChar w:fldCharType="end"/>
      </w:r>
    </w:p>
    <w:p>
      <w:pPr>
        <w:pStyle w:val="15"/>
        <w:tabs>
          <w:tab w:val="right" w:leader="dot" w:pos="9026"/>
          <w:tab w:val="clear" w:pos="9241"/>
        </w:tabs>
        <w:ind w:firstLine="210"/>
      </w:pPr>
      <w:r>
        <w:fldChar w:fldCharType="begin"/>
      </w:r>
      <w:r>
        <w:instrText xml:space="preserve"> HYPERLINK \l "_Toc30606" </w:instrText>
      </w:r>
      <w:r>
        <w:fldChar w:fldCharType="separate"/>
      </w:r>
      <w:r>
        <w:rPr>
          <w:rFonts w:ascii="黑体" w:hAnsi="黑体" w:eastAsia="黑体" w:cs="宋体"/>
          <w:bCs/>
        </w:rPr>
        <w:t xml:space="preserve">8.4 </w:t>
      </w:r>
      <w:r>
        <w:rPr>
          <w:rFonts w:hint="eastAsia"/>
        </w:rPr>
        <w:t>杆体布设</w:t>
      </w:r>
      <w:r>
        <w:tab/>
      </w:r>
      <w:r>
        <w:fldChar w:fldCharType="begin"/>
      </w:r>
      <w:r>
        <w:instrText xml:space="preserve"> PAGEREF _Toc30606 </w:instrText>
      </w:r>
      <w:r>
        <w:fldChar w:fldCharType="separate"/>
      </w:r>
      <w:r>
        <w:t>34</w:t>
      </w:r>
      <w:r>
        <w:fldChar w:fldCharType="end"/>
      </w:r>
      <w:r>
        <w:fldChar w:fldCharType="end"/>
      </w:r>
    </w:p>
    <w:p>
      <w:pPr>
        <w:pStyle w:val="15"/>
        <w:tabs>
          <w:tab w:val="right" w:leader="dot" w:pos="9026"/>
          <w:tab w:val="clear" w:pos="9241"/>
        </w:tabs>
        <w:ind w:firstLine="210"/>
      </w:pPr>
      <w:r>
        <w:fldChar w:fldCharType="begin"/>
      </w:r>
      <w:r>
        <w:instrText xml:space="preserve"> HYPERLINK \l "_Toc14969" </w:instrText>
      </w:r>
      <w:r>
        <w:fldChar w:fldCharType="separate"/>
      </w:r>
      <w:r>
        <w:rPr>
          <w:rFonts w:ascii="黑体" w:hAnsi="黑体" w:eastAsia="黑体" w:cs="宋体"/>
          <w:bCs/>
        </w:rPr>
        <w:t xml:space="preserve">8.5 </w:t>
      </w:r>
      <w:r>
        <w:rPr>
          <w:rFonts w:hint="eastAsia"/>
        </w:rPr>
        <w:t>杆体施工</w:t>
      </w:r>
      <w:r>
        <w:tab/>
      </w:r>
      <w:r>
        <w:fldChar w:fldCharType="begin"/>
      </w:r>
      <w:r>
        <w:instrText xml:space="preserve"> PAGEREF _Toc14969 </w:instrText>
      </w:r>
      <w:r>
        <w:fldChar w:fldCharType="separate"/>
      </w:r>
      <w:r>
        <w:t>36</w:t>
      </w:r>
      <w:r>
        <w:fldChar w:fldCharType="end"/>
      </w:r>
      <w:r>
        <w:fldChar w:fldCharType="end"/>
      </w:r>
    </w:p>
    <w:p>
      <w:pPr>
        <w:pStyle w:val="15"/>
        <w:tabs>
          <w:tab w:val="right" w:leader="dot" w:pos="9026"/>
          <w:tab w:val="clear" w:pos="9241"/>
        </w:tabs>
        <w:ind w:firstLine="210"/>
      </w:pPr>
      <w:r>
        <w:fldChar w:fldCharType="begin"/>
      </w:r>
      <w:r>
        <w:instrText xml:space="preserve"> HYPERLINK \l "_Toc17125" </w:instrText>
      </w:r>
      <w:r>
        <w:fldChar w:fldCharType="separate"/>
      </w:r>
      <w:r>
        <w:rPr>
          <w:rFonts w:ascii="黑体" w:hAnsi="黑体" w:eastAsia="黑体" w:cs="宋体"/>
          <w:bCs/>
        </w:rPr>
        <w:t xml:space="preserve">8.6 </w:t>
      </w:r>
      <w:r>
        <w:rPr>
          <w:rFonts w:hint="eastAsia"/>
        </w:rPr>
        <w:t>设备安装</w:t>
      </w:r>
      <w:r>
        <w:tab/>
      </w:r>
      <w:r>
        <w:fldChar w:fldCharType="begin"/>
      </w:r>
      <w:r>
        <w:instrText xml:space="preserve"> PAGEREF _Toc17125 </w:instrText>
      </w:r>
      <w:r>
        <w:fldChar w:fldCharType="separate"/>
      </w:r>
      <w:r>
        <w:t>36</w:t>
      </w:r>
      <w:r>
        <w:fldChar w:fldCharType="end"/>
      </w:r>
      <w:r>
        <w:fldChar w:fldCharType="end"/>
      </w:r>
    </w:p>
    <w:p>
      <w:pPr>
        <w:pStyle w:val="15"/>
        <w:tabs>
          <w:tab w:val="right" w:leader="dot" w:pos="9026"/>
          <w:tab w:val="clear" w:pos="9241"/>
        </w:tabs>
        <w:ind w:firstLine="210"/>
      </w:pPr>
      <w:r>
        <w:fldChar w:fldCharType="begin"/>
      </w:r>
      <w:r>
        <w:instrText xml:space="preserve"> HYPERLINK \l "_Toc1416" </w:instrText>
      </w:r>
      <w:r>
        <w:fldChar w:fldCharType="separate"/>
      </w:r>
      <w:r>
        <w:rPr>
          <w:rFonts w:ascii="黑体" w:hAnsi="黑体" w:eastAsia="黑体" w:cs="宋体"/>
          <w:bCs/>
        </w:rPr>
        <w:t xml:space="preserve">8.7 </w:t>
      </w:r>
      <w:r>
        <w:rPr>
          <w:rFonts w:hint="eastAsia"/>
        </w:rPr>
        <w:t>配套施工</w:t>
      </w:r>
      <w:r>
        <w:tab/>
      </w:r>
      <w:r>
        <w:fldChar w:fldCharType="begin"/>
      </w:r>
      <w:r>
        <w:instrText xml:space="preserve"> PAGEREF _Toc1416 </w:instrText>
      </w:r>
      <w:r>
        <w:fldChar w:fldCharType="separate"/>
      </w:r>
      <w:r>
        <w:t>37</w:t>
      </w:r>
      <w:r>
        <w:fldChar w:fldCharType="end"/>
      </w:r>
      <w:r>
        <w:fldChar w:fldCharType="end"/>
      </w:r>
    </w:p>
    <w:p>
      <w:pPr>
        <w:pStyle w:val="15"/>
        <w:tabs>
          <w:tab w:val="right" w:leader="dot" w:pos="9026"/>
          <w:tab w:val="clear" w:pos="9241"/>
        </w:tabs>
        <w:ind w:firstLine="210"/>
      </w:pPr>
      <w:r>
        <w:fldChar w:fldCharType="begin"/>
      </w:r>
      <w:r>
        <w:instrText xml:space="preserve"> HYPERLINK \l "_Toc31638" </w:instrText>
      </w:r>
      <w:r>
        <w:fldChar w:fldCharType="separate"/>
      </w:r>
      <w:r>
        <w:rPr>
          <w:rFonts w:ascii="黑体" w:hAnsi="黑体" w:eastAsia="黑体" w:cs="宋体"/>
          <w:bCs/>
        </w:rPr>
        <w:t xml:space="preserve">8.7.1 </w:t>
      </w:r>
      <w:r>
        <w:rPr>
          <w:rFonts w:hAnsi="宋体"/>
          <w:bCs/>
        </w:rPr>
        <w:t>管线敷设</w:t>
      </w:r>
      <w:r>
        <w:tab/>
      </w:r>
      <w:r>
        <w:fldChar w:fldCharType="begin"/>
      </w:r>
      <w:r>
        <w:instrText xml:space="preserve"> PAGEREF _Toc31638 </w:instrText>
      </w:r>
      <w:r>
        <w:fldChar w:fldCharType="separate"/>
      </w:r>
      <w:r>
        <w:t>37</w:t>
      </w:r>
      <w:r>
        <w:fldChar w:fldCharType="end"/>
      </w:r>
      <w:r>
        <w:fldChar w:fldCharType="end"/>
      </w:r>
    </w:p>
    <w:p>
      <w:pPr>
        <w:pStyle w:val="15"/>
        <w:tabs>
          <w:tab w:val="right" w:leader="dot" w:pos="9026"/>
          <w:tab w:val="clear" w:pos="9241"/>
        </w:tabs>
        <w:ind w:firstLine="210"/>
      </w:pPr>
      <w:r>
        <w:fldChar w:fldCharType="begin"/>
      </w:r>
      <w:r>
        <w:instrText xml:space="preserve"> HYPERLINK \l "_Toc10874" </w:instrText>
      </w:r>
      <w:r>
        <w:fldChar w:fldCharType="separate"/>
      </w:r>
      <w:r>
        <w:rPr>
          <w:rFonts w:ascii="黑体" w:hAnsi="黑体" w:eastAsia="黑体" w:cs="宋体"/>
          <w:bCs/>
        </w:rPr>
        <w:t xml:space="preserve">8.7.2 </w:t>
      </w:r>
      <w:r>
        <w:rPr>
          <w:rFonts w:hAnsi="宋体"/>
          <w:bCs/>
        </w:rPr>
        <w:t>综合机箱设置</w:t>
      </w:r>
      <w:r>
        <w:tab/>
      </w:r>
      <w:r>
        <w:fldChar w:fldCharType="begin"/>
      </w:r>
      <w:r>
        <w:instrText xml:space="preserve"> PAGEREF _Toc10874 </w:instrText>
      </w:r>
      <w:r>
        <w:fldChar w:fldCharType="separate"/>
      </w:r>
      <w:r>
        <w:t>38</w:t>
      </w:r>
      <w:r>
        <w:fldChar w:fldCharType="end"/>
      </w:r>
      <w:r>
        <w:fldChar w:fldCharType="end"/>
      </w:r>
    </w:p>
    <w:p>
      <w:pPr>
        <w:pStyle w:val="31"/>
        <w:tabs>
          <w:tab w:val="right" w:leader="dot" w:pos="9026"/>
          <w:tab w:val="clear" w:pos="9241"/>
        </w:tabs>
      </w:pPr>
      <w:r>
        <w:fldChar w:fldCharType="begin"/>
      </w:r>
      <w:r>
        <w:instrText xml:space="preserve"> HYPERLINK \l "_Toc18900" </w:instrText>
      </w:r>
      <w:r>
        <w:fldChar w:fldCharType="separate"/>
      </w:r>
      <w:r>
        <w:rPr>
          <w:rFonts w:hint="eastAsia" w:ascii="黑体" w:hAnsi="宋体" w:eastAsia="黑体" w:cs="宋体"/>
          <w:szCs w:val="28"/>
        </w:rPr>
        <w:t xml:space="preserve">9 </w:t>
      </w:r>
      <w:r>
        <w:t>验收要求</w:t>
      </w:r>
      <w:r>
        <w:tab/>
      </w:r>
      <w:r>
        <w:fldChar w:fldCharType="begin"/>
      </w:r>
      <w:r>
        <w:instrText xml:space="preserve"> PAGEREF _Toc18900 </w:instrText>
      </w:r>
      <w:r>
        <w:fldChar w:fldCharType="separate"/>
      </w:r>
      <w:r>
        <w:t>39</w:t>
      </w:r>
      <w:r>
        <w:fldChar w:fldCharType="end"/>
      </w:r>
      <w:r>
        <w:fldChar w:fldCharType="end"/>
      </w:r>
    </w:p>
    <w:p>
      <w:pPr>
        <w:pStyle w:val="31"/>
        <w:tabs>
          <w:tab w:val="right" w:leader="dot" w:pos="9026"/>
          <w:tab w:val="clear" w:pos="9241"/>
        </w:tabs>
      </w:pPr>
      <w:r>
        <w:fldChar w:fldCharType="begin"/>
      </w:r>
      <w:r>
        <w:instrText xml:space="preserve"> HYPERLINK \l "_Toc2598" </w:instrText>
      </w:r>
      <w:r>
        <w:fldChar w:fldCharType="separate"/>
      </w:r>
      <w:r>
        <w:rPr>
          <w:rFonts w:hint="eastAsia" w:ascii="黑体" w:hAnsi="宋体" w:eastAsia="黑体" w:cs="宋体"/>
          <w:szCs w:val="28"/>
        </w:rPr>
        <w:t xml:space="preserve">10 </w:t>
      </w:r>
      <w:r>
        <w:t>运行和维护</w:t>
      </w:r>
      <w:r>
        <w:tab/>
      </w:r>
      <w:r>
        <w:fldChar w:fldCharType="begin"/>
      </w:r>
      <w:r>
        <w:instrText xml:space="preserve"> PAGEREF _Toc2598 </w:instrText>
      </w:r>
      <w:r>
        <w:fldChar w:fldCharType="separate"/>
      </w:r>
      <w:r>
        <w:t>40</w:t>
      </w:r>
      <w:r>
        <w:fldChar w:fldCharType="end"/>
      </w:r>
      <w:r>
        <w:fldChar w:fldCharType="end"/>
      </w:r>
    </w:p>
    <w:p>
      <w:pPr>
        <w:pStyle w:val="15"/>
        <w:tabs>
          <w:tab w:val="right" w:leader="dot" w:pos="9026"/>
          <w:tab w:val="clear" w:pos="9241"/>
        </w:tabs>
        <w:ind w:firstLine="210"/>
      </w:pPr>
      <w:r>
        <w:fldChar w:fldCharType="begin"/>
      </w:r>
      <w:r>
        <w:instrText xml:space="preserve"> HYPERLINK \l "_Toc18115" </w:instrText>
      </w:r>
      <w:r>
        <w:fldChar w:fldCharType="separate"/>
      </w:r>
      <w:r>
        <w:rPr>
          <w:rFonts w:ascii="黑体" w:hAnsi="黑体" w:eastAsia="黑体" w:cs="宋体"/>
          <w:bCs/>
        </w:rPr>
        <w:t xml:space="preserve">10.1 </w:t>
      </w:r>
      <w:r>
        <w:rPr>
          <w:rFonts w:hint="eastAsia"/>
        </w:rPr>
        <w:t>总体要求</w:t>
      </w:r>
      <w:r>
        <w:tab/>
      </w:r>
      <w:r>
        <w:fldChar w:fldCharType="begin"/>
      </w:r>
      <w:r>
        <w:instrText xml:space="preserve"> PAGEREF _Toc18115 </w:instrText>
      </w:r>
      <w:r>
        <w:fldChar w:fldCharType="separate"/>
      </w:r>
      <w:r>
        <w:t>40</w:t>
      </w:r>
      <w:r>
        <w:fldChar w:fldCharType="end"/>
      </w:r>
      <w:r>
        <w:fldChar w:fldCharType="end"/>
      </w:r>
    </w:p>
    <w:p>
      <w:pPr>
        <w:pStyle w:val="15"/>
        <w:tabs>
          <w:tab w:val="right" w:leader="dot" w:pos="9026"/>
          <w:tab w:val="clear" w:pos="9241"/>
        </w:tabs>
        <w:ind w:firstLine="210"/>
      </w:pPr>
      <w:r>
        <w:fldChar w:fldCharType="begin"/>
      </w:r>
      <w:r>
        <w:instrText xml:space="preserve"> HYPERLINK \l "_Toc19998" </w:instrText>
      </w:r>
      <w:r>
        <w:fldChar w:fldCharType="separate"/>
      </w:r>
      <w:r>
        <w:rPr>
          <w:rFonts w:ascii="黑体" w:hAnsi="黑体" w:eastAsia="黑体" w:cs="宋体"/>
          <w:bCs/>
        </w:rPr>
        <w:t xml:space="preserve">10.2 </w:t>
      </w:r>
      <w:r>
        <w:rPr>
          <w:rFonts w:hint="eastAsia"/>
        </w:rPr>
        <w:t>综合机房</w:t>
      </w:r>
      <w:r>
        <w:tab/>
      </w:r>
      <w:r>
        <w:fldChar w:fldCharType="begin"/>
      </w:r>
      <w:r>
        <w:instrText xml:space="preserve"> PAGEREF _Toc19998 </w:instrText>
      </w:r>
      <w:r>
        <w:fldChar w:fldCharType="separate"/>
      </w:r>
      <w:r>
        <w:t>41</w:t>
      </w:r>
      <w:r>
        <w:fldChar w:fldCharType="end"/>
      </w:r>
      <w:r>
        <w:fldChar w:fldCharType="end"/>
      </w:r>
    </w:p>
    <w:p>
      <w:pPr>
        <w:pStyle w:val="23"/>
        <w:tabs>
          <w:tab w:val="right" w:leader="dot" w:pos="9026"/>
          <w:tab w:val="clear" w:pos="9241"/>
        </w:tabs>
        <w:ind w:firstLine="420"/>
      </w:pPr>
      <w:r>
        <w:fldChar w:fldCharType="begin"/>
      </w:r>
      <w:r>
        <w:instrText xml:space="preserve"> HYPERLINK \l "_Toc7849" </w:instrText>
      </w:r>
      <w:r>
        <w:fldChar w:fldCharType="separate"/>
      </w:r>
      <w:r>
        <w:rPr>
          <w:rFonts w:ascii="黑体" w:hAnsi="黑体" w:eastAsia="黑体" w:cs="宋体"/>
        </w:rPr>
        <w:t xml:space="preserve">10.2.1 </w:t>
      </w:r>
      <w:r>
        <w:rPr>
          <w:rFonts w:hint="eastAsia"/>
        </w:rPr>
        <w:t>日常巡检</w:t>
      </w:r>
      <w:r>
        <w:tab/>
      </w:r>
      <w:r>
        <w:fldChar w:fldCharType="begin"/>
      </w:r>
      <w:r>
        <w:instrText xml:space="preserve"> PAGEREF _Toc7849 </w:instrText>
      </w:r>
      <w:r>
        <w:fldChar w:fldCharType="separate"/>
      </w:r>
      <w:r>
        <w:t>41</w:t>
      </w:r>
      <w:r>
        <w:fldChar w:fldCharType="end"/>
      </w:r>
      <w:r>
        <w:fldChar w:fldCharType="end"/>
      </w:r>
    </w:p>
    <w:p>
      <w:pPr>
        <w:pStyle w:val="23"/>
        <w:tabs>
          <w:tab w:val="right" w:leader="dot" w:pos="9026"/>
          <w:tab w:val="clear" w:pos="9241"/>
        </w:tabs>
        <w:ind w:firstLine="420"/>
      </w:pPr>
      <w:r>
        <w:fldChar w:fldCharType="begin"/>
      </w:r>
      <w:r>
        <w:instrText xml:space="preserve"> HYPERLINK \l "_Toc24230" </w:instrText>
      </w:r>
      <w:r>
        <w:fldChar w:fldCharType="separate"/>
      </w:r>
      <w:r>
        <w:rPr>
          <w:rFonts w:ascii="黑体" w:hAnsi="黑体" w:eastAsia="黑体" w:cs="宋体"/>
        </w:rPr>
        <w:t xml:space="preserve">10.2.2 </w:t>
      </w:r>
      <w:r>
        <w:rPr>
          <w:rFonts w:hint="eastAsia"/>
        </w:rPr>
        <w:t>隐患排查</w:t>
      </w:r>
      <w:r>
        <w:tab/>
      </w:r>
      <w:r>
        <w:fldChar w:fldCharType="begin"/>
      </w:r>
      <w:r>
        <w:instrText xml:space="preserve"> PAGEREF _Toc24230 </w:instrText>
      </w:r>
      <w:r>
        <w:fldChar w:fldCharType="separate"/>
      </w:r>
      <w:r>
        <w:t>41</w:t>
      </w:r>
      <w:r>
        <w:fldChar w:fldCharType="end"/>
      </w:r>
      <w:r>
        <w:fldChar w:fldCharType="end"/>
      </w:r>
    </w:p>
    <w:p>
      <w:pPr>
        <w:pStyle w:val="23"/>
        <w:tabs>
          <w:tab w:val="right" w:leader="dot" w:pos="9026"/>
          <w:tab w:val="clear" w:pos="9241"/>
        </w:tabs>
        <w:ind w:firstLine="420"/>
      </w:pPr>
      <w:r>
        <w:fldChar w:fldCharType="begin"/>
      </w:r>
      <w:r>
        <w:instrText xml:space="preserve"> HYPERLINK \l "_Toc6527" </w:instrText>
      </w:r>
      <w:r>
        <w:fldChar w:fldCharType="separate"/>
      </w:r>
      <w:r>
        <w:rPr>
          <w:rFonts w:ascii="黑体" w:hAnsi="黑体" w:eastAsia="黑体" w:cs="宋体"/>
        </w:rPr>
        <w:t xml:space="preserve">10.2.3 </w:t>
      </w:r>
      <w:r>
        <w:rPr>
          <w:rFonts w:hint="eastAsia"/>
        </w:rPr>
        <w:t>机房安全</w:t>
      </w:r>
      <w:r>
        <w:tab/>
      </w:r>
      <w:r>
        <w:fldChar w:fldCharType="begin"/>
      </w:r>
      <w:r>
        <w:instrText xml:space="preserve"> PAGEREF _Toc6527 </w:instrText>
      </w:r>
      <w:r>
        <w:fldChar w:fldCharType="separate"/>
      </w:r>
      <w:r>
        <w:t>42</w:t>
      </w:r>
      <w:r>
        <w:fldChar w:fldCharType="end"/>
      </w:r>
      <w:r>
        <w:fldChar w:fldCharType="end"/>
      </w:r>
    </w:p>
    <w:p>
      <w:pPr>
        <w:pStyle w:val="15"/>
        <w:tabs>
          <w:tab w:val="right" w:leader="dot" w:pos="9026"/>
          <w:tab w:val="clear" w:pos="9241"/>
        </w:tabs>
        <w:ind w:firstLine="210"/>
      </w:pPr>
      <w:r>
        <w:fldChar w:fldCharType="begin"/>
      </w:r>
      <w:r>
        <w:instrText xml:space="preserve"> HYPERLINK \l "_Toc2423" </w:instrText>
      </w:r>
      <w:r>
        <w:fldChar w:fldCharType="separate"/>
      </w:r>
      <w:r>
        <w:rPr>
          <w:rFonts w:ascii="黑体" w:hAnsi="黑体" w:eastAsia="黑体" w:cs="宋体"/>
          <w:bCs/>
        </w:rPr>
        <w:t xml:space="preserve">10.3 </w:t>
      </w:r>
      <w:r>
        <w:rPr>
          <w:rFonts w:hint="eastAsia"/>
        </w:rPr>
        <w:t>杆体及附属配套</w:t>
      </w:r>
      <w:r>
        <w:tab/>
      </w:r>
      <w:r>
        <w:fldChar w:fldCharType="begin"/>
      </w:r>
      <w:r>
        <w:instrText xml:space="preserve"> PAGEREF _Toc2423 </w:instrText>
      </w:r>
      <w:r>
        <w:fldChar w:fldCharType="separate"/>
      </w:r>
      <w:r>
        <w:t>42</w:t>
      </w:r>
      <w:r>
        <w:fldChar w:fldCharType="end"/>
      </w:r>
      <w:r>
        <w:fldChar w:fldCharType="end"/>
      </w:r>
    </w:p>
    <w:p>
      <w:pPr>
        <w:pStyle w:val="15"/>
        <w:tabs>
          <w:tab w:val="right" w:leader="dot" w:pos="9026"/>
          <w:tab w:val="clear" w:pos="9241"/>
        </w:tabs>
        <w:ind w:firstLine="210"/>
      </w:pPr>
      <w:r>
        <w:fldChar w:fldCharType="begin"/>
      </w:r>
      <w:r>
        <w:instrText xml:space="preserve"> HYPERLINK \l "_Toc25912" </w:instrText>
      </w:r>
      <w:r>
        <w:fldChar w:fldCharType="separate"/>
      </w:r>
      <w:r>
        <w:rPr>
          <w:rFonts w:ascii="黑体" w:hAnsi="黑体" w:eastAsia="黑体" w:cs="宋体"/>
          <w:bCs/>
        </w:rPr>
        <w:t xml:space="preserve">10.4 </w:t>
      </w:r>
      <w:r>
        <w:rPr>
          <w:rFonts w:hint="eastAsia"/>
        </w:rPr>
        <w:t>挂载设备</w:t>
      </w:r>
      <w:r>
        <w:tab/>
      </w:r>
      <w:r>
        <w:fldChar w:fldCharType="begin"/>
      </w:r>
      <w:r>
        <w:instrText xml:space="preserve"> PAGEREF _Toc25912 </w:instrText>
      </w:r>
      <w:r>
        <w:fldChar w:fldCharType="separate"/>
      </w:r>
      <w:r>
        <w:t>43</w:t>
      </w:r>
      <w:r>
        <w:fldChar w:fldCharType="end"/>
      </w:r>
      <w:r>
        <w:fldChar w:fldCharType="end"/>
      </w:r>
    </w:p>
    <w:p>
      <w:pPr>
        <w:pStyle w:val="15"/>
        <w:tabs>
          <w:tab w:val="right" w:leader="dot" w:pos="9026"/>
          <w:tab w:val="clear" w:pos="9241"/>
        </w:tabs>
        <w:ind w:firstLine="210"/>
      </w:pPr>
      <w:r>
        <w:fldChar w:fldCharType="begin"/>
      </w:r>
      <w:r>
        <w:instrText xml:space="preserve"> HYPERLINK \l "_Toc26468" </w:instrText>
      </w:r>
      <w:r>
        <w:fldChar w:fldCharType="separate"/>
      </w:r>
      <w:r>
        <w:rPr>
          <w:rFonts w:ascii="黑体" w:hAnsi="黑体" w:eastAsia="黑体" w:cs="宋体"/>
          <w:bCs/>
        </w:rPr>
        <w:t xml:space="preserve">10.5 </w:t>
      </w:r>
      <w:r>
        <w:rPr>
          <w:rFonts w:hint="eastAsia"/>
        </w:rPr>
        <w:t>系统平台</w:t>
      </w:r>
      <w:r>
        <w:tab/>
      </w:r>
      <w:r>
        <w:fldChar w:fldCharType="begin"/>
      </w:r>
      <w:r>
        <w:instrText xml:space="preserve"> PAGEREF _Toc26468 </w:instrText>
      </w:r>
      <w:r>
        <w:fldChar w:fldCharType="separate"/>
      </w:r>
      <w:r>
        <w:t>43</w:t>
      </w:r>
      <w:r>
        <w:fldChar w:fldCharType="end"/>
      </w:r>
      <w:r>
        <w:fldChar w:fldCharType="end"/>
      </w:r>
    </w:p>
    <w:p>
      <w:pPr>
        <w:pStyle w:val="15"/>
        <w:tabs>
          <w:tab w:val="right" w:leader="dot" w:pos="9026"/>
          <w:tab w:val="clear" w:pos="9241"/>
        </w:tabs>
        <w:ind w:firstLine="210"/>
      </w:pPr>
      <w:r>
        <w:fldChar w:fldCharType="begin"/>
      </w:r>
      <w:r>
        <w:instrText xml:space="preserve"> HYPERLINK \l "_Toc5959" </w:instrText>
      </w:r>
      <w:r>
        <w:fldChar w:fldCharType="separate"/>
      </w:r>
      <w:r>
        <w:rPr>
          <w:rFonts w:ascii="黑体" w:hAnsi="黑体" w:eastAsia="黑体" w:cs="宋体"/>
          <w:bCs/>
        </w:rPr>
        <w:t xml:space="preserve">10.6 </w:t>
      </w:r>
      <w:r>
        <w:rPr>
          <w:rFonts w:hint="eastAsia"/>
        </w:rPr>
        <w:t>安全管理</w:t>
      </w:r>
      <w:r>
        <w:tab/>
      </w:r>
      <w:r>
        <w:fldChar w:fldCharType="begin"/>
      </w:r>
      <w:r>
        <w:instrText xml:space="preserve"> PAGEREF _Toc5959 </w:instrText>
      </w:r>
      <w:r>
        <w:fldChar w:fldCharType="separate"/>
      </w:r>
      <w:r>
        <w:t>44</w:t>
      </w:r>
      <w:r>
        <w:fldChar w:fldCharType="end"/>
      </w:r>
      <w:r>
        <w:fldChar w:fldCharType="end"/>
      </w:r>
    </w:p>
    <w:p>
      <w:pPr>
        <w:pStyle w:val="22"/>
        <w:tabs>
          <w:tab w:val="right" w:leader="dot" w:pos="9026"/>
          <w:tab w:val="clear" w:pos="9241"/>
        </w:tabs>
        <w:spacing w:before="78" w:after="78"/>
      </w:pPr>
      <w:r>
        <w:fldChar w:fldCharType="begin"/>
      </w:r>
      <w:r>
        <w:instrText xml:space="preserve"> HYPERLINK \l "_Toc16474" </w:instrText>
      </w:r>
      <w:r>
        <w:fldChar w:fldCharType="separate"/>
      </w:r>
      <w:r>
        <w:rPr>
          <w:rFonts w:hint="eastAsia" w:ascii="黑体" w:eastAsia="黑体"/>
        </w:rPr>
        <w:t xml:space="preserve">附　录　A </w:t>
      </w:r>
      <w:r>
        <w:t xml:space="preserve"> </w:t>
      </w:r>
      <w:r>
        <w:rPr>
          <w:rFonts w:hint="eastAsia"/>
        </w:rPr>
        <w:t>（资料性附录）</w:t>
      </w:r>
      <w:r>
        <w:t xml:space="preserve"> </w:t>
      </w:r>
      <w:r>
        <w:rPr>
          <w:rFonts w:hint="eastAsia"/>
        </w:rPr>
        <w:t>法兰接口大样图</w:t>
      </w:r>
      <w:r>
        <w:tab/>
      </w:r>
      <w:r>
        <w:fldChar w:fldCharType="begin"/>
      </w:r>
      <w:r>
        <w:instrText xml:space="preserve"> PAGEREF _Toc16474 </w:instrText>
      </w:r>
      <w:r>
        <w:fldChar w:fldCharType="separate"/>
      </w:r>
      <w:r>
        <w:t>45</w:t>
      </w:r>
      <w:r>
        <w:fldChar w:fldCharType="end"/>
      </w:r>
      <w:r>
        <w:fldChar w:fldCharType="end"/>
      </w:r>
    </w:p>
    <w:p>
      <w:pPr>
        <w:pStyle w:val="22"/>
        <w:tabs>
          <w:tab w:val="right" w:leader="dot" w:pos="9026"/>
          <w:tab w:val="clear" w:pos="9241"/>
        </w:tabs>
        <w:spacing w:before="78" w:after="78"/>
      </w:pPr>
      <w:r>
        <w:fldChar w:fldCharType="begin"/>
      </w:r>
      <w:r>
        <w:instrText xml:space="preserve"> HYPERLINK \l "_Toc18202" </w:instrText>
      </w:r>
      <w:r>
        <w:fldChar w:fldCharType="separate"/>
      </w:r>
      <w:r>
        <w:rPr>
          <w:rFonts w:hint="eastAsia" w:ascii="黑体" w:eastAsia="黑体"/>
        </w:rPr>
        <w:t xml:space="preserve">附　录　B </w:t>
      </w:r>
      <w:r>
        <w:rPr>
          <w:rFonts w:hint="eastAsia"/>
        </w:rPr>
        <w:t xml:space="preserve"> （资料性附录） 智慧灯杆结构类型示例</w:t>
      </w:r>
      <w:r>
        <w:tab/>
      </w:r>
      <w:r>
        <w:fldChar w:fldCharType="begin"/>
      </w:r>
      <w:r>
        <w:instrText xml:space="preserve"> PAGEREF _Toc18202 </w:instrText>
      </w:r>
      <w:r>
        <w:fldChar w:fldCharType="separate"/>
      </w:r>
      <w:r>
        <w:t>48</w:t>
      </w:r>
      <w:r>
        <w:fldChar w:fldCharType="end"/>
      </w:r>
      <w:r>
        <w:fldChar w:fldCharType="end"/>
      </w:r>
    </w:p>
    <w:p>
      <w:pPr>
        <w:pStyle w:val="22"/>
        <w:tabs>
          <w:tab w:val="right" w:leader="dot" w:pos="9026"/>
          <w:tab w:val="clear" w:pos="9241"/>
        </w:tabs>
        <w:spacing w:before="78" w:after="78"/>
      </w:pPr>
      <w:r>
        <w:fldChar w:fldCharType="begin"/>
      </w:r>
      <w:r>
        <w:instrText xml:space="preserve"> HYPERLINK \l "_Toc26720" </w:instrText>
      </w:r>
      <w:r>
        <w:fldChar w:fldCharType="separate"/>
      </w:r>
      <w:r>
        <w:rPr>
          <w:rFonts w:hint="eastAsia" w:ascii="黑体" w:eastAsia="黑体"/>
          <w:kern w:val="0"/>
        </w:rPr>
        <w:t xml:space="preserve">附　录　C </w:t>
      </w:r>
      <w:r>
        <w:rPr>
          <w:rFonts w:ascii="黑体" w:eastAsia="黑体"/>
          <w:kern w:val="0"/>
        </w:rPr>
        <w:t xml:space="preserve"> </w:t>
      </w:r>
      <w:r>
        <w:rPr>
          <w:rFonts w:hint="eastAsia"/>
        </w:rPr>
        <w:t>（资料性附录） 验收表格</w:t>
      </w:r>
      <w:r>
        <w:tab/>
      </w:r>
      <w:r>
        <w:fldChar w:fldCharType="begin"/>
      </w:r>
      <w:r>
        <w:instrText xml:space="preserve"> PAGEREF _Toc26720 </w:instrText>
      </w:r>
      <w:r>
        <w:fldChar w:fldCharType="separate"/>
      </w:r>
      <w:r>
        <w:t>49</w:t>
      </w:r>
      <w:r>
        <w:fldChar w:fldCharType="end"/>
      </w:r>
      <w:r>
        <w:fldChar w:fldCharType="end"/>
      </w:r>
    </w:p>
    <w:p>
      <w:pPr>
        <w:pStyle w:val="22"/>
        <w:tabs>
          <w:tab w:val="right" w:leader="dot" w:pos="9026"/>
          <w:tab w:val="clear" w:pos="9241"/>
        </w:tabs>
        <w:spacing w:before="78" w:after="78"/>
      </w:pPr>
      <w:r>
        <w:fldChar w:fldCharType="begin"/>
      </w:r>
      <w:r>
        <w:instrText xml:space="preserve"> HYPERLINK \l "_Toc29095" </w:instrText>
      </w:r>
      <w:r>
        <w:fldChar w:fldCharType="separate"/>
      </w:r>
      <w:r>
        <w:rPr>
          <w:rFonts w:hint="eastAsia" w:ascii="黑体" w:eastAsia="黑体"/>
        </w:rPr>
        <w:t xml:space="preserve">附　录　D </w:t>
      </w:r>
      <w:r>
        <w:rPr>
          <w:rFonts w:hint="eastAsia"/>
        </w:rPr>
        <w:t xml:space="preserve"> （规范性附录）</w:t>
      </w:r>
      <w:r>
        <w:t xml:space="preserve"> </w:t>
      </w:r>
      <w:r>
        <w:rPr>
          <w:rFonts w:hint="eastAsia"/>
        </w:rPr>
        <w:t>杆件布设场景示意</w:t>
      </w:r>
      <w:r>
        <w:tab/>
      </w:r>
      <w:r>
        <w:fldChar w:fldCharType="begin"/>
      </w:r>
      <w:r>
        <w:instrText xml:space="preserve"> PAGEREF _Toc29095 </w:instrText>
      </w:r>
      <w:r>
        <w:fldChar w:fldCharType="separate"/>
      </w:r>
      <w:r>
        <w:t>53</w:t>
      </w:r>
      <w:r>
        <w:fldChar w:fldCharType="end"/>
      </w:r>
      <w:r>
        <w:fldChar w:fldCharType="end"/>
      </w:r>
    </w:p>
    <w:p>
      <w:pPr>
        <w:pStyle w:val="22"/>
        <w:tabs>
          <w:tab w:val="right" w:leader="dot" w:pos="9026"/>
          <w:tab w:val="clear" w:pos="9241"/>
        </w:tabs>
        <w:spacing w:before="78" w:after="78"/>
      </w:pPr>
      <w:r>
        <w:fldChar w:fldCharType="begin"/>
      </w:r>
      <w:r>
        <w:instrText xml:space="preserve"> HYPERLINK \l "_Toc9592" </w:instrText>
      </w:r>
      <w:r>
        <w:fldChar w:fldCharType="separate"/>
      </w:r>
      <w:r>
        <w:rPr>
          <w:rFonts w:hint="eastAsia" w:ascii="黑体" w:eastAsia="黑体"/>
        </w:rPr>
        <w:t xml:space="preserve">附　录　E </w:t>
      </w:r>
      <w:r>
        <w:rPr>
          <w:rFonts w:hint="eastAsia"/>
        </w:rPr>
        <w:t xml:space="preserve"> （规范性附录）</w:t>
      </w:r>
      <w:r>
        <w:t xml:space="preserve"> </w:t>
      </w:r>
      <w:r>
        <w:rPr>
          <w:rFonts w:hint="eastAsia"/>
        </w:rPr>
        <w:t>江西省主要城市风压基本值</w:t>
      </w:r>
      <w:r>
        <w:tab/>
      </w:r>
      <w:r>
        <w:fldChar w:fldCharType="begin"/>
      </w:r>
      <w:r>
        <w:instrText xml:space="preserve"> PAGEREF _Toc9592 </w:instrText>
      </w:r>
      <w:r>
        <w:fldChar w:fldCharType="separate"/>
      </w:r>
      <w:r>
        <w:t>56</w:t>
      </w:r>
      <w:r>
        <w:fldChar w:fldCharType="end"/>
      </w:r>
      <w:r>
        <w:fldChar w:fldCharType="end"/>
      </w:r>
    </w:p>
    <w:p>
      <w:pPr>
        <w:pStyle w:val="22"/>
        <w:tabs>
          <w:tab w:val="right" w:leader="dot" w:pos="9026"/>
          <w:tab w:val="clear" w:pos="9241"/>
        </w:tabs>
        <w:spacing w:before="78" w:after="78"/>
      </w:pPr>
      <w:r>
        <w:fldChar w:fldCharType="begin"/>
      </w:r>
      <w:r>
        <w:instrText xml:space="preserve"> HYPERLINK \l "_Toc5702" </w:instrText>
      </w:r>
      <w:r>
        <w:fldChar w:fldCharType="separate"/>
      </w:r>
      <w:r>
        <w:rPr>
          <w:rFonts w:hint="eastAsia" w:ascii="黑体" w:hAnsi="黑体" w:eastAsia="黑体"/>
          <w:bCs/>
          <w:kern w:val="44"/>
          <w:szCs w:val="28"/>
        </w:rPr>
        <w:t>本标准用词说明</w:t>
      </w:r>
      <w:r>
        <w:tab/>
      </w:r>
      <w:r>
        <w:fldChar w:fldCharType="begin"/>
      </w:r>
      <w:r>
        <w:instrText xml:space="preserve"> PAGEREF _Toc5702 </w:instrText>
      </w:r>
      <w:r>
        <w:fldChar w:fldCharType="separate"/>
      </w:r>
      <w:r>
        <w:t>57</w:t>
      </w:r>
      <w:r>
        <w:fldChar w:fldCharType="end"/>
      </w:r>
      <w:r>
        <w:fldChar w:fldCharType="end"/>
      </w:r>
    </w:p>
    <w:p>
      <w:pPr>
        <w:pStyle w:val="22"/>
        <w:tabs>
          <w:tab w:val="right" w:leader="dot" w:pos="9026"/>
          <w:tab w:val="clear" w:pos="9241"/>
        </w:tabs>
        <w:spacing w:before="78" w:after="78"/>
      </w:pPr>
      <w:r>
        <w:fldChar w:fldCharType="begin"/>
      </w:r>
      <w:r>
        <w:instrText xml:space="preserve"> HYPERLINK \l "_Toc28042" </w:instrText>
      </w:r>
      <w:r>
        <w:fldChar w:fldCharType="separate"/>
      </w:r>
      <w:r>
        <w:rPr>
          <w:rFonts w:hint="eastAsia" w:ascii="黑体" w:hAnsi="黑体" w:eastAsia="黑体"/>
          <w:bCs/>
          <w:kern w:val="44"/>
          <w:szCs w:val="28"/>
        </w:rPr>
        <w:t>引用标准名录</w:t>
      </w:r>
      <w:r>
        <w:tab/>
      </w:r>
      <w:r>
        <w:fldChar w:fldCharType="begin"/>
      </w:r>
      <w:r>
        <w:instrText xml:space="preserve"> PAGEREF _Toc28042 </w:instrText>
      </w:r>
      <w:r>
        <w:fldChar w:fldCharType="separate"/>
      </w:r>
      <w:r>
        <w:t>58</w:t>
      </w:r>
      <w:r>
        <w:fldChar w:fldCharType="end"/>
      </w:r>
      <w:r>
        <w:fldChar w:fldCharType="end"/>
      </w:r>
    </w:p>
    <w:p>
      <w:pPr>
        <w:pStyle w:val="22"/>
        <w:spacing w:before="78" w:after="78"/>
      </w:pPr>
      <w:r>
        <w:fldChar w:fldCharType="end"/>
      </w:r>
    </w:p>
    <w:bookmarkEnd w:id="23"/>
    <w:p>
      <w:pPr>
        <w:pStyle w:val="85"/>
        <w:numPr>
          <w:ilvl w:val="0"/>
          <w:numId w:val="20"/>
        </w:numPr>
        <w:spacing w:before="312" w:after="312"/>
        <w:outlineLvl w:val="0"/>
      </w:pPr>
      <w:bookmarkStart w:id="25" w:name="_Toc25867"/>
      <w:bookmarkStart w:id="26" w:name="_Toc21395"/>
      <w:bookmarkStart w:id="27" w:name="_Toc17870"/>
      <w:bookmarkStart w:id="28" w:name="_Toc4090"/>
      <w:bookmarkStart w:id="29" w:name="_Toc8094"/>
      <w:bookmarkStart w:id="30" w:name="_Toc12521"/>
      <w:bookmarkStart w:id="31" w:name="_Toc16906"/>
      <w:bookmarkStart w:id="32" w:name="_Toc4073"/>
      <w:bookmarkStart w:id="33" w:name="_Toc12766"/>
      <w:bookmarkStart w:id="34" w:name="_Toc23437"/>
      <w:r>
        <w:rPr>
          <w:rFonts w:hint="eastAsia"/>
        </w:rPr>
        <w:t>总则</w:t>
      </w:r>
      <w:bookmarkEnd w:id="25"/>
      <w:bookmarkEnd w:id="26"/>
      <w:bookmarkEnd w:id="27"/>
      <w:bookmarkEnd w:id="28"/>
      <w:bookmarkEnd w:id="29"/>
      <w:bookmarkEnd w:id="30"/>
      <w:bookmarkEnd w:id="31"/>
      <w:bookmarkEnd w:id="32"/>
      <w:bookmarkEnd w:id="33"/>
      <w:bookmarkEnd w:id="34"/>
    </w:p>
    <w:p>
      <w:pPr>
        <w:pStyle w:val="49"/>
        <w:numPr>
          <w:ilvl w:val="8"/>
          <w:numId w:val="20"/>
        </w:numPr>
      </w:pPr>
      <w:bookmarkStart w:id="35" w:name="_Hlk517870277"/>
      <w:r>
        <w:rPr>
          <w:rFonts w:hint="eastAsia"/>
        </w:rPr>
        <w:t>为有序推进“一杆多用”智慧灯杆共建共享，节省城市空间与土地资源，提升城市环境品质，助力我省智慧城市和智慧灯杆建设，规范智慧灯杆的规划、设计、施工和验收，特制定本标准。</w:t>
      </w:r>
    </w:p>
    <w:p>
      <w:pPr>
        <w:pStyle w:val="49"/>
        <w:numPr>
          <w:ilvl w:val="8"/>
          <w:numId w:val="20"/>
        </w:numPr>
      </w:pPr>
      <w:r>
        <w:rPr>
          <w:rFonts w:hint="eastAsia"/>
        </w:rPr>
        <w:t>本标准适用于江西省内城市道路、公路、园区等场所的新建/改建/扩建的智慧灯杆项目的设计、施工、验收、运行和维护。</w:t>
      </w:r>
    </w:p>
    <w:p>
      <w:pPr>
        <w:pStyle w:val="49"/>
        <w:numPr>
          <w:ilvl w:val="8"/>
          <w:numId w:val="20"/>
        </w:numPr>
      </w:pPr>
      <w:r>
        <w:rPr>
          <w:rFonts w:hint="eastAsia"/>
        </w:rPr>
        <w:t>智慧灯杆的设计、施工、验收、运行和维护，应符合现行国家、行业及江西省相关标准、规范规定。</w:t>
      </w:r>
    </w:p>
    <w:p>
      <w:pPr>
        <w:pStyle w:val="49"/>
        <w:numPr>
          <w:ilvl w:val="8"/>
          <w:numId w:val="20"/>
        </w:numPr>
        <w:tabs>
          <w:tab w:val="center" w:pos="4201"/>
          <w:tab w:val="right" w:leader="dot" w:pos="9298"/>
        </w:tabs>
      </w:pPr>
      <w:r>
        <w:rPr>
          <w:rFonts w:hint="eastAsia"/>
        </w:rPr>
        <w:t>智慧灯杆应采用“基础杆+挂载设备”结构，基础杆设计应采用垂直结构，挂载设备及连接件应采用模块化、标准化设计，便于设备的安装、更换、拆卸、维护，挂载设备按照实际需求配置，降低建设成本。</w:t>
      </w:r>
    </w:p>
    <w:p>
      <w:pPr>
        <w:pStyle w:val="85"/>
        <w:numPr>
          <w:ilvl w:val="0"/>
          <w:numId w:val="20"/>
        </w:numPr>
        <w:spacing w:before="312" w:after="312"/>
        <w:outlineLvl w:val="0"/>
      </w:pPr>
      <w:r>
        <w:rPr>
          <w:rFonts w:hint="eastAsia"/>
        </w:rPr>
        <w:br w:type="page"/>
      </w:r>
      <w:bookmarkStart w:id="36" w:name="_Toc1742"/>
      <w:bookmarkStart w:id="37" w:name="_Toc7583"/>
      <w:bookmarkStart w:id="38" w:name="_Toc23977"/>
      <w:bookmarkStart w:id="39" w:name="_Toc22767"/>
      <w:bookmarkStart w:id="40" w:name="_Toc26074"/>
      <w:bookmarkStart w:id="41" w:name="_Toc974"/>
      <w:bookmarkStart w:id="42" w:name="_Toc7707"/>
      <w:bookmarkStart w:id="43" w:name="_Toc2397"/>
      <w:bookmarkStart w:id="44" w:name="_Toc8065"/>
      <w:bookmarkStart w:id="45" w:name="_Toc8861"/>
      <w:r>
        <w:rPr>
          <w:rFonts w:hint="eastAsia"/>
        </w:rPr>
        <w:t>术语</w:t>
      </w:r>
      <w:bookmarkStart w:id="46" w:name="_Toc510542209"/>
      <w:bookmarkEnd w:id="46"/>
      <w:bookmarkStart w:id="47" w:name="_Toc510542151"/>
      <w:bookmarkEnd w:id="47"/>
      <w:r>
        <w:rPr>
          <w:rFonts w:hint="eastAsia"/>
        </w:rPr>
        <w:t>和符号</w:t>
      </w:r>
      <w:bookmarkEnd w:id="36"/>
      <w:bookmarkEnd w:id="37"/>
      <w:bookmarkEnd w:id="38"/>
      <w:bookmarkEnd w:id="39"/>
      <w:bookmarkEnd w:id="40"/>
      <w:bookmarkEnd w:id="41"/>
      <w:bookmarkEnd w:id="42"/>
      <w:bookmarkEnd w:id="43"/>
      <w:bookmarkEnd w:id="44"/>
      <w:bookmarkEnd w:id="45"/>
    </w:p>
    <w:p>
      <w:pPr>
        <w:pStyle w:val="53"/>
        <w:numPr>
          <w:ilvl w:val="1"/>
          <w:numId w:val="20"/>
        </w:numPr>
        <w:spacing w:before="156" w:after="156"/>
        <w:outlineLvl w:val="1"/>
      </w:pPr>
      <w:bookmarkStart w:id="48" w:name="_Toc27717"/>
      <w:bookmarkStart w:id="49" w:name="_Toc32436"/>
      <w:bookmarkStart w:id="50" w:name="_Toc15065"/>
      <w:bookmarkStart w:id="51" w:name="_Toc31283"/>
      <w:bookmarkStart w:id="52" w:name="_Toc7302"/>
      <w:bookmarkStart w:id="53" w:name="_Toc14381"/>
      <w:bookmarkStart w:id="54" w:name="_Toc31305"/>
      <w:bookmarkStart w:id="55" w:name="_Toc5241"/>
      <w:bookmarkStart w:id="56" w:name="_Toc3653"/>
      <w:bookmarkStart w:id="57" w:name="_Toc22682"/>
      <w:r>
        <w:rPr>
          <w:rFonts w:hint="eastAsia"/>
        </w:rPr>
        <w:t>术语</w:t>
      </w:r>
      <w:bookmarkEnd w:id="48"/>
      <w:bookmarkEnd w:id="49"/>
      <w:bookmarkEnd w:id="50"/>
      <w:bookmarkEnd w:id="51"/>
      <w:bookmarkEnd w:id="52"/>
      <w:bookmarkEnd w:id="53"/>
      <w:bookmarkEnd w:id="54"/>
      <w:bookmarkEnd w:id="55"/>
      <w:bookmarkEnd w:id="56"/>
      <w:bookmarkEnd w:id="57"/>
    </w:p>
    <w:p>
      <w:pPr>
        <w:pStyle w:val="49"/>
        <w:numPr>
          <w:ilvl w:val="2"/>
          <w:numId w:val="20"/>
        </w:numPr>
        <w:tabs>
          <w:tab w:val="center" w:pos="4201"/>
          <w:tab w:val="right" w:leader="dot" w:pos="9298"/>
        </w:tabs>
        <w:rPr>
          <w:rFonts w:ascii="黑体" w:eastAsia="黑体"/>
          <w:szCs w:val="21"/>
        </w:rPr>
      </w:pPr>
      <w:bookmarkStart w:id="58" w:name="_Toc474831891"/>
      <w:bookmarkEnd w:id="58"/>
      <w:bookmarkStart w:id="59" w:name="_Toc515867238"/>
      <w:bookmarkEnd w:id="59"/>
      <w:bookmarkStart w:id="60" w:name="_Toc474831978"/>
      <w:bookmarkEnd w:id="60"/>
      <w:bookmarkStart w:id="61" w:name="_Toc515867925"/>
      <w:bookmarkEnd w:id="61"/>
      <w:bookmarkStart w:id="62" w:name="_Toc515867239"/>
      <w:bookmarkStart w:id="63" w:name="_Toc515867926"/>
      <w:r>
        <w:rPr>
          <w:rFonts w:hint="eastAsia" w:ascii="黑体" w:eastAsia="黑体"/>
          <w:szCs w:val="21"/>
        </w:rPr>
        <w:t xml:space="preserve">智慧灯杆 </w:t>
      </w:r>
      <w:bookmarkEnd w:id="62"/>
      <w:bookmarkEnd w:id="63"/>
      <w:r>
        <w:rPr>
          <w:rFonts w:hint="eastAsia" w:ascii="黑体" w:eastAsia="黑体"/>
          <w:szCs w:val="21"/>
        </w:rPr>
        <w:t>Smart lighting pole</w:t>
      </w:r>
    </w:p>
    <w:p>
      <w:pPr>
        <w:pStyle w:val="26"/>
        <w:rPr>
          <w:rFonts w:ascii="黑体"/>
          <w:szCs w:val="21"/>
        </w:rPr>
      </w:pPr>
      <w:r>
        <w:rPr>
          <w:rFonts w:hint="eastAsia"/>
          <w:szCs w:val="21"/>
        </w:rPr>
        <w:t>以杆为载体，</w:t>
      </w:r>
      <w:r>
        <w:rPr>
          <w:szCs w:val="21"/>
        </w:rPr>
        <w:t>通过</w:t>
      </w:r>
      <w:r>
        <w:rPr>
          <w:rFonts w:hint="eastAsia"/>
          <w:szCs w:val="21"/>
        </w:rPr>
        <w:t>挂载各类</w:t>
      </w:r>
      <w:r>
        <w:rPr>
          <w:szCs w:val="21"/>
        </w:rPr>
        <w:t>设备提供</w:t>
      </w:r>
      <w:r>
        <w:rPr>
          <w:rFonts w:hint="eastAsia"/>
          <w:szCs w:val="21"/>
        </w:rPr>
        <w:t>智慧照明、移动通信、</w:t>
      </w:r>
      <w:r>
        <w:rPr>
          <w:szCs w:val="21"/>
        </w:rPr>
        <w:t>城市监测、</w:t>
      </w:r>
      <w:r>
        <w:rPr>
          <w:rFonts w:hint="eastAsia"/>
          <w:szCs w:val="21"/>
        </w:rPr>
        <w:t>交通管理、</w:t>
      </w:r>
      <w:r>
        <w:rPr>
          <w:szCs w:val="21"/>
        </w:rPr>
        <w:t>信息交互和</w:t>
      </w:r>
      <w:r>
        <w:rPr>
          <w:rFonts w:hint="eastAsia"/>
          <w:szCs w:val="21"/>
        </w:rPr>
        <w:t>城市公共服务等功能的多功能道路灯杆，简称“智慧灯杆”。</w:t>
      </w:r>
      <w:bookmarkStart w:id="64" w:name="_Toc515867240"/>
      <w:bookmarkEnd w:id="64"/>
      <w:bookmarkStart w:id="65" w:name="_Toc515867927"/>
      <w:bookmarkEnd w:id="65"/>
      <w:bookmarkStart w:id="66" w:name="_Toc474831979"/>
      <w:bookmarkStart w:id="67" w:name="_Toc474831892"/>
      <w:bookmarkStart w:id="68" w:name="_Toc516382267"/>
      <w:bookmarkStart w:id="69" w:name="_Toc475103487"/>
    </w:p>
    <w:bookmarkEnd w:id="66"/>
    <w:bookmarkEnd w:id="67"/>
    <w:bookmarkEnd w:id="68"/>
    <w:bookmarkEnd w:id="69"/>
    <w:p>
      <w:pPr>
        <w:pStyle w:val="49"/>
        <w:numPr>
          <w:ilvl w:val="2"/>
          <w:numId w:val="20"/>
        </w:numPr>
        <w:tabs>
          <w:tab w:val="center" w:pos="4201"/>
          <w:tab w:val="right" w:leader="dot" w:pos="9298"/>
        </w:tabs>
        <w:rPr>
          <w:rFonts w:ascii="黑体" w:eastAsia="黑体"/>
          <w:szCs w:val="21"/>
        </w:rPr>
      </w:pPr>
      <w:bookmarkStart w:id="70" w:name="_Toc474831991"/>
      <w:bookmarkStart w:id="71" w:name="_Toc474831904"/>
      <w:bookmarkStart w:id="72" w:name="_Toc475103491"/>
      <w:bookmarkStart w:id="73" w:name="_Toc474831896"/>
      <w:bookmarkStart w:id="74" w:name="_Toc475103489"/>
      <w:bookmarkStart w:id="75" w:name="_Toc474831983"/>
      <w:r>
        <w:rPr>
          <w:rFonts w:hint="eastAsia" w:ascii="黑体" w:eastAsia="黑体"/>
          <w:szCs w:val="21"/>
        </w:rPr>
        <w:t>智慧照明 Intelligent lighting</w:t>
      </w:r>
    </w:p>
    <w:p>
      <w:pPr>
        <w:spacing w:line="360" w:lineRule="auto"/>
        <w:ind w:firstLine="420" w:firstLineChars="200"/>
        <w:rPr>
          <w:szCs w:val="21"/>
          <w:u w:val="single" w:color="C0504D"/>
          <w:shd w:val="clear" w:color="FFFFFF" w:fill="D9D9D9"/>
        </w:rPr>
      </w:pPr>
      <w:r>
        <w:rPr>
          <w:rFonts w:hint="eastAsia"/>
        </w:rPr>
        <w:t>对智慧灯杆的照明系统进行精细化管控，实现远程开灯、关灯、调光及照明设备状态监测，并根据经纬度、时区等设置定时任务，控制所有路灯或指定路灯的开灯、关灯、调光、接收故障告警等。</w:t>
      </w:r>
    </w:p>
    <w:p>
      <w:pPr>
        <w:pStyle w:val="49"/>
        <w:numPr>
          <w:ilvl w:val="2"/>
          <w:numId w:val="20"/>
        </w:numPr>
        <w:tabs>
          <w:tab w:val="center" w:pos="4201"/>
          <w:tab w:val="right" w:leader="dot" w:pos="9298"/>
        </w:tabs>
        <w:rPr>
          <w:rFonts w:ascii="黑体" w:eastAsia="黑体"/>
          <w:szCs w:val="21"/>
        </w:rPr>
      </w:pPr>
      <w:r>
        <w:rPr>
          <w:rFonts w:hint="eastAsia" w:ascii="黑体" w:eastAsia="黑体"/>
          <w:szCs w:val="21"/>
        </w:rPr>
        <w:t>视频采集 V</w:t>
      </w:r>
      <w:r>
        <w:rPr>
          <w:rFonts w:ascii="黑体" w:eastAsia="黑体"/>
          <w:szCs w:val="21"/>
        </w:rPr>
        <w:t>ideo capture</w:t>
      </w:r>
    </w:p>
    <w:p>
      <w:pPr>
        <w:pStyle w:val="26"/>
        <w:rPr>
          <w:szCs w:val="21"/>
        </w:rPr>
      </w:pPr>
      <w:r>
        <w:rPr>
          <w:rFonts w:hint="eastAsia"/>
          <w:szCs w:val="21"/>
        </w:rPr>
        <w:t>通过摄像机、传输及储存设备把模拟</w:t>
      </w:r>
      <w:r>
        <w:rPr>
          <w:rFonts w:hint="eastAsia"/>
        </w:rPr>
        <w:fldChar w:fldCharType="begin"/>
      </w:r>
      <w:r>
        <w:instrText xml:space="preserve"> HYPERLINK "https://baike.baidu.com/item/%E8%A7%86%E9%A2%91%E8%BD%AC%E6%8D%A2/5348270" \t "https://baike.baidu.com/item/_blank" </w:instrText>
      </w:r>
      <w:r>
        <w:rPr>
          <w:rFonts w:hint="eastAsia"/>
        </w:rPr>
        <w:fldChar w:fldCharType="separate"/>
      </w:r>
      <w:r>
        <w:rPr>
          <w:rFonts w:hint="eastAsia"/>
          <w:szCs w:val="21"/>
        </w:rPr>
        <w:t>视频转换</w:t>
      </w:r>
      <w:r>
        <w:rPr>
          <w:rFonts w:hint="eastAsia"/>
          <w:szCs w:val="21"/>
        </w:rPr>
        <w:fldChar w:fldCharType="end"/>
      </w:r>
      <w:r>
        <w:rPr>
          <w:rFonts w:hint="eastAsia"/>
          <w:szCs w:val="21"/>
        </w:rPr>
        <w:t>成</w:t>
      </w:r>
      <w:r>
        <w:fldChar w:fldCharType="begin"/>
      </w:r>
      <w:r>
        <w:instrText xml:space="preserve"> HYPERLINK "https://baike.baidu.com/item/%E6%95%B0%E5%AD%97%E8%A7%86%E9%A2%91/4658097" \t "https://baike.baidu.com/item/_blank" </w:instrText>
      </w:r>
      <w:r>
        <w:fldChar w:fldCharType="separate"/>
      </w:r>
      <w:r>
        <w:rPr>
          <w:rFonts w:hint="eastAsia"/>
          <w:szCs w:val="21"/>
        </w:rPr>
        <w:t>数字视频</w:t>
      </w:r>
      <w:r>
        <w:rPr>
          <w:rFonts w:hint="eastAsia"/>
          <w:szCs w:val="21"/>
        </w:rPr>
        <w:fldChar w:fldCharType="end"/>
      </w:r>
      <w:r>
        <w:rPr>
          <w:rFonts w:hint="eastAsia"/>
          <w:szCs w:val="21"/>
        </w:rPr>
        <w:t>，并按数字视频文件的格式保存下来，可在远端查看或供事后回溯。</w:t>
      </w:r>
      <w:bookmarkStart w:id="76" w:name="_Toc515867935"/>
      <w:bookmarkEnd w:id="76"/>
      <w:bookmarkStart w:id="77" w:name="_Toc515867248"/>
      <w:bookmarkEnd w:id="77"/>
    </w:p>
    <w:p>
      <w:pPr>
        <w:pStyle w:val="49"/>
        <w:numPr>
          <w:ilvl w:val="2"/>
          <w:numId w:val="20"/>
        </w:numPr>
        <w:tabs>
          <w:tab w:val="center" w:pos="4201"/>
          <w:tab w:val="right" w:leader="dot" w:pos="9298"/>
        </w:tabs>
        <w:rPr>
          <w:rFonts w:ascii="黑体" w:eastAsia="黑体"/>
          <w:szCs w:val="21"/>
        </w:rPr>
      </w:pPr>
      <w:r>
        <w:rPr>
          <w:rFonts w:hint="eastAsia" w:ascii="黑体" w:eastAsia="黑体"/>
          <w:szCs w:val="21"/>
        </w:rPr>
        <w:t>移动通信基站 M</w:t>
      </w:r>
      <w:r>
        <w:rPr>
          <w:rFonts w:ascii="黑体" w:eastAsia="黑体"/>
          <w:szCs w:val="21"/>
        </w:rPr>
        <w:t>obile communications</w:t>
      </w:r>
      <w:r>
        <w:rPr>
          <w:rFonts w:hint="eastAsia" w:ascii="黑体" w:eastAsia="黑体"/>
          <w:szCs w:val="21"/>
        </w:rPr>
        <w:t xml:space="preserve"> base station</w:t>
      </w:r>
    </w:p>
    <w:bookmarkEnd w:id="70"/>
    <w:bookmarkEnd w:id="71"/>
    <w:bookmarkEnd w:id="72"/>
    <w:p>
      <w:pPr>
        <w:pStyle w:val="26"/>
        <w:rPr>
          <w:szCs w:val="21"/>
        </w:rPr>
      </w:pPr>
      <w:bookmarkStart w:id="78" w:name="_Toc515867252"/>
      <w:bookmarkEnd w:id="78"/>
      <w:bookmarkStart w:id="79" w:name="_Toc515867939"/>
      <w:bookmarkEnd w:id="79"/>
      <w:r>
        <w:rPr>
          <w:rFonts w:hint="eastAsia"/>
          <w:szCs w:val="21"/>
        </w:rPr>
        <w:t>无线电台站的一种形式，是在一定的无线电覆盖区中，为移动终端提供无线电信号接入和传送的节点，如4G基站、5G基站等。通常情况下，一个移动通信基站由无线电信号发射和接收设备、电源设备、传输设备及天线、馈线、光纤等组成。</w:t>
      </w:r>
    </w:p>
    <w:p>
      <w:pPr>
        <w:pStyle w:val="49"/>
        <w:numPr>
          <w:ilvl w:val="2"/>
          <w:numId w:val="20"/>
        </w:numPr>
        <w:tabs>
          <w:tab w:val="center" w:pos="4201"/>
          <w:tab w:val="right" w:leader="dot" w:pos="9298"/>
        </w:tabs>
        <w:rPr>
          <w:rFonts w:ascii="黑体" w:eastAsia="黑体"/>
          <w:szCs w:val="21"/>
        </w:rPr>
      </w:pPr>
      <w:r>
        <w:rPr>
          <w:rFonts w:hint="eastAsia" w:ascii="黑体" w:eastAsia="黑体"/>
          <w:szCs w:val="21"/>
        </w:rPr>
        <w:t>信息设备 I</w:t>
      </w:r>
      <w:r>
        <w:rPr>
          <w:rFonts w:ascii="黑体" w:eastAsia="黑体"/>
          <w:szCs w:val="21"/>
        </w:rPr>
        <w:t>nformation equipment</w:t>
      </w:r>
    </w:p>
    <w:p>
      <w:pPr>
        <w:pStyle w:val="26"/>
        <w:rPr>
          <w:szCs w:val="21"/>
        </w:rPr>
      </w:pPr>
      <w:r>
        <w:rPr>
          <w:rFonts w:hint="eastAsia"/>
          <w:szCs w:val="21"/>
        </w:rPr>
        <w:t>泛指所有能够处理信息、信号、绘图、图像、动画、录像及声音的器材。</w:t>
      </w:r>
      <w:bookmarkEnd w:id="73"/>
      <w:bookmarkEnd w:id="74"/>
      <w:bookmarkEnd w:id="75"/>
      <w:bookmarkStart w:id="80" w:name="_Toc474831903"/>
      <w:bookmarkEnd w:id="80"/>
      <w:bookmarkStart w:id="81" w:name="_Toc515867254"/>
      <w:bookmarkEnd w:id="81"/>
      <w:bookmarkStart w:id="82" w:name="_Toc474831994"/>
      <w:bookmarkEnd w:id="82"/>
      <w:bookmarkStart w:id="83" w:name="_Toc474831988"/>
      <w:bookmarkEnd w:id="83"/>
      <w:bookmarkStart w:id="84" w:name="_Toc474831901"/>
      <w:bookmarkEnd w:id="84"/>
      <w:bookmarkStart w:id="85" w:name="_Toc474831909"/>
      <w:bookmarkEnd w:id="85"/>
      <w:bookmarkStart w:id="86" w:name="_Toc474831990"/>
      <w:bookmarkEnd w:id="86"/>
      <w:bookmarkStart w:id="87" w:name="_Toc474831899"/>
      <w:bookmarkEnd w:id="87"/>
      <w:bookmarkStart w:id="88" w:name="_Toc474831986"/>
      <w:bookmarkEnd w:id="88"/>
      <w:bookmarkStart w:id="89" w:name="_Toc474831996"/>
      <w:bookmarkEnd w:id="89"/>
      <w:bookmarkStart w:id="90" w:name="_Toc474831905"/>
      <w:bookmarkEnd w:id="90"/>
      <w:bookmarkStart w:id="91" w:name="_Toc474831907"/>
      <w:bookmarkEnd w:id="91"/>
      <w:bookmarkStart w:id="92" w:name="_Toc515867941"/>
      <w:bookmarkEnd w:id="92"/>
      <w:bookmarkStart w:id="93" w:name="_Toc474831992"/>
      <w:bookmarkEnd w:id="93"/>
    </w:p>
    <w:p>
      <w:pPr>
        <w:pStyle w:val="49"/>
        <w:numPr>
          <w:ilvl w:val="2"/>
          <w:numId w:val="20"/>
        </w:numPr>
        <w:tabs>
          <w:tab w:val="center" w:pos="4201"/>
          <w:tab w:val="right" w:leader="dot" w:pos="9298"/>
        </w:tabs>
        <w:rPr>
          <w:rFonts w:ascii="黑体" w:eastAsia="黑体"/>
          <w:szCs w:val="21"/>
        </w:rPr>
      </w:pPr>
      <w:r>
        <w:rPr>
          <w:rFonts w:hint="eastAsia" w:ascii="黑体" w:eastAsia="黑体"/>
          <w:szCs w:val="21"/>
        </w:rPr>
        <w:t>交通流检测 T</w:t>
      </w:r>
      <w:r>
        <w:rPr>
          <w:rFonts w:ascii="黑体" w:eastAsia="黑体"/>
          <w:szCs w:val="21"/>
        </w:rPr>
        <w:t>raffic flow detection</w:t>
      </w:r>
    </w:p>
    <w:p>
      <w:pPr>
        <w:pStyle w:val="26"/>
        <w:rPr>
          <w:szCs w:val="21"/>
        </w:rPr>
      </w:pPr>
      <w:r>
        <w:rPr>
          <w:rFonts w:hint="eastAsia"/>
          <w:szCs w:val="21"/>
        </w:rPr>
        <w:t>通过安装交通流检测器采集城市交通信息，可实时传递交通状态信息，如车流量、车道平均速度、车道拥堵情况等。</w:t>
      </w:r>
    </w:p>
    <w:p>
      <w:pPr>
        <w:pStyle w:val="49"/>
        <w:numPr>
          <w:ilvl w:val="2"/>
          <w:numId w:val="20"/>
        </w:numPr>
        <w:tabs>
          <w:tab w:val="center" w:pos="4201"/>
          <w:tab w:val="right" w:leader="dot" w:pos="9298"/>
        </w:tabs>
        <w:rPr>
          <w:rFonts w:ascii="黑体" w:eastAsia="黑体"/>
          <w:szCs w:val="21"/>
        </w:rPr>
      </w:pPr>
      <w:r>
        <w:rPr>
          <w:rFonts w:hint="eastAsia" w:ascii="黑体" w:eastAsia="黑体"/>
          <w:szCs w:val="21"/>
        </w:rPr>
        <w:t>环境监测 E</w:t>
      </w:r>
      <w:r>
        <w:rPr>
          <w:rFonts w:ascii="黑体" w:eastAsia="黑体"/>
          <w:szCs w:val="21"/>
        </w:rPr>
        <w:t>nvironmental monitoring</w:t>
      </w:r>
    </w:p>
    <w:p>
      <w:pPr>
        <w:pStyle w:val="26"/>
        <w:rPr>
          <w:rFonts w:hint="eastAsia"/>
          <w:szCs w:val="21"/>
        </w:rPr>
      </w:pPr>
      <w:r>
        <w:rPr>
          <w:rFonts w:hint="eastAsia"/>
          <w:szCs w:val="21"/>
        </w:rPr>
        <w:t>通过传感器对反映环境质量的指标进行监视和测定，以确定环境污染状况和环境质量的高低，相关指标包括</w:t>
      </w:r>
      <w:r>
        <w:rPr>
          <w:szCs w:val="21"/>
        </w:rPr>
        <w:t>PM2.5</w:t>
      </w:r>
      <w:r>
        <w:rPr>
          <w:rFonts w:hint="eastAsia"/>
          <w:szCs w:val="21"/>
        </w:rPr>
        <w:t>、P</w:t>
      </w:r>
      <w:r>
        <w:rPr>
          <w:szCs w:val="21"/>
        </w:rPr>
        <w:t>M10</w:t>
      </w:r>
      <w:r>
        <w:rPr>
          <w:rFonts w:hint="eastAsia"/>
          <w:szCs w:val="21"/>
        </w:rPr>
        <w:t>、二氧化碳、二氧化硫、噪声、扬尘、臭氧等。</w:t>
      </w:r>
      <w:bookmarkStart w:id="94" w:name="_Toc515867947"/>
      <w:bookmarkEnd w:id="94"/>
      <w:bookmarkStart w:id="95" w:name="_Toc515867260"/>
      <w:bookmarkEnd w:id="95"/>
    </w:p>
    <w:p>
      <w:pPr>
        <w:pStyle w:val="26"/>
        <w:rPr>
          <w:rFonts w:hint="eastAsia"/>
          <w:szCs w:val="21"/>
        </w:rPr>
      </w:pPr>
    </w:p>
    <w:p>
      <w:pPr>
        <w:pStyle w:val="26"/>
        <w:rPr>
          <w:rFonts w:hint="eastAsia"/>
          <w:szCs w:val="21"/>
        </w:rPr>
      </w:pPr>
    </w:p>
    <w:p>
      <w:pPr>
        <w:pStyle w:val="49"/>
        <w:numPr>
          <w:ilvl w:val="2"/>
          <w:numId w:val="20"/>
        </w:numPr>
        <w:tabs>
          <w:tab w:val="center" w:pos="4201"/>
          <w:tab w:val="right" w:leader="dot" w:pos="9298"/>
        </w:tabs>
        <w:rPr>
          <w:rFonts w:ascii="黑体" w:eastAsia="黑体"/>
          <w:szCs w:val="21"/>
        </w:rPr>
      </w:pPr>
      <w:r>
        <w:rPr>
          <w:rFonts w:hint="eastAsia" w:ascii="黑体" w:eastAsia="黑体"/>
          <w:szCs w:val="21"/>
        </w:rPr>
        <w:t>气象监测 M</w:t>
      </w:r>
      <w:r>
        <w:rPr>
          <w:rFonts w:ascii="黑体" w:eastAsia="黑体"/>
          <w:szCs w:val="21"/>
        </w:rPr>
        <w:t>eteorological monitoring</w:t>
      </w:r>
    </w:p>
    <w:p>
      <w:pPr>
        <w:pStyle w:val="26"/>
        <w:rPr>
          <w:szCs w:val="21"/>
        </w:rPr>
      </w:pPr>
      <w:r>
        <w:rPr>
          <w:rFonts w:hint="eastAsia"/>
          <w:szCs w:val="21"/>
        </w:rPr>
        <w:t>通过气象传感器监测城市气象参数，如温度、湿度、风向、风速、降雨量、气压、能见度、紫外辐射、路面温度、积涝等。</w:t>
      </w:r>
    </w:p>
    <w:p>
      <w:pPr>
        <w:pStyle w:val="49"/>
        <w:numPr>
          <w:ilvl w:val="2"/>
          <w:numId w:val="20"/>
        </w:numPr>
        <w:tabs>
          <w:tab w:val="center" w:pos="4201"/>
          <w:tab w:val="right" w:leader="dot" w:pos="9298"/>
        </w:tabs>
        <w:rPr>
          <w:rFonts w:ascii="黑体" w:eastAsia="黑体"/>
          <w:szCs w:val="21"/>
        </w:rPr>
      </w:pPr>
      <w:r>
        <w:rPr>
          <w:rFonts w:hint="eastAsia" w:ascii="黑体" w:eastAsia="黑体"/>
          <w:szCs w:val="21"/>
        </w:rPr>
        <w:t>一键呼叫 O</w:t>
      </w:r>
      <w:r>
        <w:rPr>
          <w:rFonts w:ascii="黑体" w:eastAsia="黑体"/>
          <w:szCs w:val="21"/>
        </w:rPr>
        <w:t>ne-button</w:t>
      </w:r>
      <w:r>
        <w:rPr>
          <w:rFonts w:hint="eastAsia" w:ascii="黑体" w:eastAsia="黑体"/>
          <w:szCs w:val="21"/>
        </w:rPr>
        <w:t xml:space="preserve"> c</w:t>
      </w:r>
      <w:r>
        <w:rPr>
          <w:rFonts w:ascii="黑体" w:eastAsia="黑体"/>
          <w:szCs w:val="21"/>
        </w:rPr>
        <w:t>all</w:t>
      </w:r>
    </w:p>
    <w:p>
      <w:pPr>
        <w:pStyle w:val="26"/>
        <w:rPr>
          <w:szCs w:val="21"/>
        </w:rPr>
      </w:pPr>
      <w:r>
        <w:rPr>
          <w:rFonts w:hint="eastAsia"/>
          <w:szCs w:val="21"/>
        </w:rPr>
        <w:t>一键式紧急呼叫设备，可在紧急状态下快速传递报警信息。</w:t>
      </w:r>
      <w:bookmarkStart w:id="96" w:name="_Toc515867262"/>
      <w:bookmarkEnd w:id="96"/>
      <w:bookmarkStart w:id="97" w:name="_Toc515867949"/>
      <w:bookmarkEnd w:id="97"/>
    </w:p>
    <w:p>
      <w:pPr>
        <w:pStyle w:val="49"/>
        <w:numPr>
          <w:ilvl w:val="2"/>
          <w:numId w:val="20"/>
        </w:numPr>
        <w:tabs>
          <w:tab w:val="center" w:pos="4201"/>
          <w:tab w:val="right" w:leader="dot" w:pos="9298"/>
        </w:tabs>
        <w:rPr>
          <w:rFonts w:ascii="黑体" w:eastAsia="黑体"/>
          <w:szCs w:val="21"/>
        </w:rPr>
      </w:pPr>
      <w:r>
        <w:rPr>
          <w:rFonts w:hint="eastAsia" w:ascii="黑体" w:eastAsia="黑体"/>
          <w:szCs w:val="21"/>
        </w:rPr>
        <w:t>信息发布屏 Information release</w:t>
      </w:r>
    </w:p>
    <w:p>
      <w:pPr>
        <w:pStyle w:val="26"/>
        <w:rPr>
          <w:szCs w:val="21"/>
        </w:rPr>
      </w:pPr>
      <w:r>
        <w:rPr>
          <w:rFonts w:hint="eastAsia"/>
          <w:szCs w:val="21"/>
        </w:rPr>
        <w:t>多媒体信息发布系统的一种形式，通过显示屏可远程发布信息，如异常天气警报、公益广告、天气情况、环境信息等。</w:t>
      </w:r>
    </w:p>
    <w:p>
      <w:pPr>
        <w:pStyle w:val="49"/>
        <w:numPr>
          <w:ilvl w:val="2"/>
          <w:numId w:val="20"/>
        </w:numPr>
        <w:tabs>
          <w:tab w:val="center" w:pos="4201"/>
          <w:tab w:val="right" w:leader="dot" w:pos="9298"/>
        </w:tabs>
        <w:rPr>
          <w:rFonts w:ascii="黑体" w:eastAsia="黑体"/>
          <w:szCs w:val="21"/>
        </w:rPr>
      </w:pPr>
      <w:r>
        <w:rPr>
          <w:rFonts w:hint="eastAsia" w:ascii="黑体" w:eastAsia="黑体"/>
          <w:szCs w:val="21"/>
        </w:rPr>
        <w:t xml:space="preserve">公共广播 Public broadcasting </w:t>
      </w:r>
    </w:p>
    <w:p>
      <w:pPr>
        <w:pStyle w:val="26"/>
        <w:rPr>
          <w:szCs w:val="21"/>
        </w:rPr>
      </w:pPr>
      <w:r>
        <w:rPr>
          <w:rFonts w:hint="eastAsia"/>
          <w:szCs w:val="21"/>
        </w:rPr>
        <w:t xml:space="preserve">公共广播又称公共播送服务或公共媒体，公共广播系统的控制功能较多，如选区广播与全呼广播功能、强制切换功能和优先广播功能等，可远程控制播放政府公告、应急指挥信息等内容。 </w:t>
      </w:r>
    </w:p>
    <w:p>
      <w:pPr>
        <w:pStyle w:val="49"/>
        <w:numPr>
          <w:ilvl w:val="2"/>
          <w:numId w:val="20"/>
        </w:numPr>
        <w:tabs>
          <w:tab w:val="center" w:pos="4201"/>
          <w:tab w:val="right" w:leader="dot" w:pos="9298"/>
        </w:tabs>
        <w:rPr>
          <w:rFonts w:ascii="黑体" w:eastAsia="黑体"/>
          <w:szCs w:val="21"/>
        </w:rPr>
      </w:pPr>
      <w:r>
        <w:rPr>
          <w:rFonts w:hint="eastAsia" w:ascii="黑体" w:eastAsia="黑体"/>
          <w:szCs w:val="21"/>
        </w:rPr>
        <w:t>多媒体交互终端 M</w:t>
      </w:r>
      <w:r>
        <w:rPr>
          <w:rFonts w:ascii="黑体" w:eastAsia="黑体"/>
          <w:szCs w:val="21"/>
        </w:rPr>
        <w:t>ultimedia interactive terminal</w:t>
      </w:r>
    </w:p>
    <w:p>
      <w:pPr>
        <w:pStyle w:val="26"/>
        <w:rPr>
          <w:szCs w:val="21"/>
        </w:rPr>
      </w:pPr>
      <w:r>
        <w:rPr>
          <w:rFonts w:hint="eastAsia"/>
          <w:szCs w:val="21"/>
        </w:rPr>
        <w:t>多媒体终端是能综合各种不同媒体为一体的新型交互终端。作为通信网与用户之间直接的接口，通信终端是通信网的能力和性能的最终体现者，通过触摸显示屏，可实现信息查询、电动车充电等交互操作。</w:t>
      </w:r>
    </w:p>
    <w:p>
      <w:pPr>
        <w:pStyle w:val="49"/>
        <w:numPr>
          <w:ilvl w:val="2"/>
          <w:numId w:val="20"/>
        </w:numPr>
        <w:tabs>
          <w:tab w:val="center" w:pos="4201"/>
          <w:tab w:val="right" w:leader="dot" w:pos="9298"/>
        </w:tabs>
        <w:rPr>
          <w:rFonts w:ascii="黑体" w:eastAsia="黑体"/>
          <w:szCs w:val="21"/>
        </w:rPr>
      </w:pPr>
      <w:r>
        <w:rPr>
          <w:rFonts w:hint="eastAsia" w:ascii="黑体" w:eastAsia="黑体"/>
          <w:szCs w:val="21"/>
        </w:rPr>
        <w:t>公共WLAN Public WLAN</w:t>
      </w:r>
    </w:p>
    <w:p>
      <w:pPr>
        <w:pStyle w:val="26"/>
        <w:rPr>
          <w:szCs w:val="21"/>
        </w:rPr>
      </w:pPr>
      <w:r>
        <w:rPr>
          <w:rFonts w:hint="eastAsia"/>
          <w:szCs w:val="21"/>
        </w:rPr>
        <w:t>使用高速宽带无线技术覆盖城市行政区域，提供可随时随地接入的无线网络，提供利用无线终端或无线技术获取信息的服务，并实现无线公共接入、无线定位、视频服务、无线支付等功能。</w:t>
      </w:r>
      <w:bookmarkStart w:id="98" w:name="_Toc515867943"/>
      <w:bookmarkEnd w:id="98"/>
      <w:bookmarkStart w:id="99" w:name="_Toc515867256"/>
      <w:bookmarkEnd w:id="99"/>
    </w:p>
    <w:p>
      <w:pPr>
        <w:pStyle w:val="49"/>
        <w:numPr>
          <w:ilvl w:val="2"/>
          <w:numId w:val="20"/>
        </w:numPr>
        <w:tabs>
          <w:tab w:val="center" w:pos="4201"/>
          <w:tab w:val="right" w:leader="dot" w:pos="9298"/>
        </w:tabs>
        <w:rPr>
          <w:rFonts w:ascii="黑体" w:eastAsia="黑体"/>
          <w:szCs w:val="21"/>
        </w:rPr>
      </w:pPr>
      <w:r>
        <w:rPr>
          <w:rFonts w:hint="eastAsia" w:ascii="黑体" w:eastAsia="黑体"/>
          <w:szCs w:val="21"/>
        </w:rPr>
        <w:t>充电桩 Electric car charging</w:t>
      </w:r>
    </w:p>
    <w:p>
      <w:pPr>
        <w:pStyle w:val="26"/>
        <w:rPr>
          <w:szCs w:val="21"/>
        </w:rPr>
      </w:pPr>
      <w:bookmarkStart w:id="100" w:name="_Toc515867953"/>
      <w:bookmarkEnd w:id="100"/>
      <w:bookmarkStart w:id="101" w:name="_Toc515867266"/>
      <w:bookmarkEnd w:id="101"/>
      <w:r>
        <w:rPr>
          <w:rFonts w:hint="eastAsia"/>
        </w:rPr>
        <w:t>采用传导方式为具有车载充电机的电动车提供电能的专业装置。</w:t>
      </w:r>
    </w:p>
    <w:bookmarkEnd w:id="35"/>
    <w:p>
      <w:pPr>
        <w:pStyle w:val="49"/>
        <w:numPr>
          <w:ilvl w:val="2"/>
          <w:numId w:val="20"/>
        </w:numPr>
        <w:tabs>
          <w:tab w:val="center" w:pos="4201"/>
          <w:tab w:val="right" w:leader="dot" w:pos="9298"/>
        </w:tabs>
        <w:rPr>
          <w:rFonts w:ascii="黑体" w:eastAsia="黑体"/>
          <w:szCs w:val="21"/>
        </w:rPr>
      </w:pPr>
      <w:bookmarkStart w:id="102" w:name="_Toc510542211"/>
      <w:bookmarkStart w:id="103" w:name="_Toc510542153"/>
      <w:r>
        <w:rPr>
          <w:rFonts w:hint="eastAsia" w:ascii="黑体" w:eastAsia="黑体"/>
          <w:szCs w:val="21"/>
        </w:rPr>
        <w:t>强电 Heavy current</w:t>
      </w:r>
    </w:p>
    <w:p>
      <w:pPr>
        <w:pStyle w:val="26"/>
        <w:rPr>
          <w:rFonts w:ascii="黑体"/>
          <w:szCs w:val="21"/>
        </w:rPr>
      </w:pPr>
      <w:r>
        <w:rPr>
          <w:rFonts w:hint="eastAsia"/>
          <w:szCs w:val="21"/>
        </w:rPr>
        <w:t>本标准中的强电是指220V或380V交流低压控制系统。</w:t>
      </w:r>
    </w:p>
    <w:p>
      <w:pPr>
        <w:pStyle w:val="49"/>
        <w:numPr>
          <w:ilvl w:val="2"/>
          <w:numId w:val="20"/>
        </w:numPr>
        <w:tabs>
          <w:tab w:val="center" w:pos="4201"/>
          <w:tab w:val="right" w:leader="dot" w:pos="9298"/>
        </w:tabs>
        <w:rPr>
          <w:rFonts w:ascii="黑体" w:eastAsia="黑体"/>
          <w:szCs w:val="21"/>
        </w:rPr>
      </w:pPr>
      <w:r>
        <w:rPr>
          <w:rFonts w:hint="eastAsia" w:ascii="黑体" w:eastAsia="黑体"/>
          <w:szCs w:val="21"/>
        </w:rPr>
        <w:t>弱电 Weak current</w:t>
      </w:r>
    </w:p>
    <w:p>
      <w:pPr>
        <w:pStyle w:val="26"/>
        <w:rPr>
          <w:rFonts w:ascii="黑体" w:eastAsia="黑体"/>
          <w:szCs w:val="21"/>
        </w:rPr>
      </w:pPr>
      <w:r>
        <w:rPr>
          <w:szCs w:val="21"/>
        </w:rPr>
        <w:t>本</w:t>
      </w:r>
      <w:r>
        <w:rPr>
          <w:rFonts w:hint="eastAsia"/>
          <w:szCs w:val="21"/>
        </w:rPr>
        <w:t>标准</w:t>
      </w:r>
      <w:r>
        <w:rPr>
          <w:szCs w:val="21"/>
        </w:rPr>
        <w:t>中的弱电是指</w:t>
      </w:r>
      <w:r>
        <w:rPr>
          <w:rFonts w:hint="eastAsia"/>
          <w:szCs w:val="21"/>
        </w:rPr>
        <w:t>48V及以下的直流电源。</w:t>
      </w:r>
    </w:p>
    <w:p>
      <w:pPr>
        <w:pStyle w:val="49"/>
        <w:numPr>
          <w:ilvl w:val="2"/>
          <w:numId w:val="20"/>
        </w:numPr>
        <w:tabs>
          <w:tab w:val="center" w:pos="4201"/>
          <w:tab w:val="right" w:leader="dot" w:pos="9298"/>
        </w:tabs>
        <w:rPr>
          <w:rFonts w:ascii="黑体" w:hAnsi="黑体" w:eastAsia="黑体"/>
          <w:szCs w:val="21"/>
        </w:rPr>
      </w:pPr>
      <w:r>
        <w:rPr>
          <w:rFonts w:hint="eastAsia" w:ascii="黑体" w:hAnsi="黑体" w:eastAsia="黑体"/>
          <w:szCs w:val="21"/>
        </w:rPr>
        <w:t>光纤 Optical fiber</w:t>
      </w:r>
    </w:p>
    <w:p>
      <w:pPr>
        <w:pStyle w:val="26"/>
        <w:rPr>
          <w:szCs w:val="21"/>
        </w:rPr>
      </w:pPr>
      <w:r>
        <w:rPr>
          <w:szCs w:val="21"/>
        </w:rPr>
        <w:t>光纤是光导</w:t>
      </w:r>
      <w:r>
        <w:fldChar w:fldCharType="begin"/>
      </w:r>
      <w:r>
        <w:instrText xml:space="preserve"> HYPERLINK "https://baike.baidu.com/item/%E7%BA%A4%E7%BB%B4" \t "_blank" </w:instrText>
      </w:r>
      <w:r>
        <w:fldChar w:fldCharType="separate"/>
      </w:r>
      <w:r>
        <w:rPr>
          <w:szCs w:val="21"/>
        </w:rPr>
        <w:t>纤维</w:t>
      </w:r>
      <w:r>
        <w:rPr>
          <w:szCs w:val="21"/>
        </w:rPr>
        <w:fldChar w:fldCharType="end"/>
      </w:r>
      <w:r>
        <w:rPr>
          <w:szCs w:val="21"/>
        </w:rPr>
        <w:t>的简写，是一种由</w:t>
      </w:r>
      <w:r>
        <w:fldChar w:fldCharType="begin"/>
      </w:r>
      <w:r>
        <w:instrText xml:space="preserve"> HYPERLINK "https://baike.baidu.com/item/%E7%8E%BB%E7%92%83/287" \t "_blank" </w:instrText>
      </w:r>
      <w:r>
        <w:fldChar w:fldCharType="separate"/>
      </w:r>
      <w:r>
        <w:rPr>
          <w:szCs w:val="21"/>
        </w:rPr>
        <w:t>玻璃</w:t>
      </w:r>
      <w:r>
        <w:rPr>
          <w:szCs w:val="21"/>
        </w:rPr>
        <w:fldChar w:fldCharType="end"/>
      </w:r>
      <w:r>
        <w:rPr>
          <w:szCs w:val="21"/>
        </w:rPr>
        <w:t>或</w:t>
      </w:r>
      <w:r>
        <w:fldChar w:fldCharType="begin"/>
      </w:r>
      <w:r>
        <w:instrText xml:space="preserve"> HYPERLINK "https://baike.baidu.com/item/%E5%A1%91%E6%96%99/573005" \t "_blank" </w:instrText>
      </w:r>
      <w:r>
        <w:fldChar w:fldCharType="separate"/>
      </w:r>
      <w:r>
        <w:rPr>
          <w:szCs w:val="21"/>
        </w:rPr>
        <w:t>塑料</w:t>
      </w:r>
      <w:r>
        <w:rPr>
          <w:szCs w:val="21"/>
        </w:rPr>
        <w:fldChar w:fldCharType="end"/>
      </w:r>
      <w:r>
        <w:rPr>
          <w:szCs w:val="21"/>
        </w:rPr>
        <w:t>制成的</w:t>
      </w:r>
      <w:r>
        <w:fldChar w:fldCharType="begin"/>
      </w:r>
      <w:r>
        <w:instrText xml:space="preserve"> HYPERLINK "https://baike.baidu.com/item/%E7%BA%A4%E7%BB%B4/3242959" \t "_blank" </w:instrText>
      </w:r>
      <w:r>
        <w:fldChar w:fldCharType="separate"/>
      </w:r>
      <w:r>
        <w:rPr>
          <w:szCs w:val="21"/>
        </w:rPr>
        <w:t>纤维</w:t>
      </w:r>
      <w:r>
        <w:rPr>
          <w:szCs w:val="21"/>
        </w:rPr>
        <w:fldChar w:fldCharType="end"/>
      </w:r>
      <w:r>
        <w:rPr>
          <w:szCs w:val="21"/>
        </w:rPr>
        <w:t>，可作为光传导工具。</w:t>
      </w:r>
    </w:p>
    <w:p>
      <w:pPr>
        <w:rPr>
          <w:rFonts w:ascii="黑体" w:hAnsi="黑体" w:eastAsia="黑体"/>
          <w:szCs w:val="21"/>
        </w:rPr>
      </w:pPr>
      <w:r>
        <w:rPr>
          <w:rFonts w:hint="eastAsia" w:ascii="黑体" w:hAnsi="黑体" w:eastAsia="黑体"/>
          <w:szCs w:val="21"/>
        </w:rPr>
        <w:br w:type="page"/>
      </w:r>
    </w:p>
    <w:p>
      <w:pPr>
        <w:pStyle w:val="49"/>
        <w:numPr>
          <w:ilvl w:val="2"/>
          <w:numId w:val="20"/>
        </w:numPr>
        <w:tabs>
          <w:tab w:val="center" w:pos="4201"/>
          <w:tab w:val="right" w:leader="dot" w:pos="9298"/>
        </w:tabs>
        <w:rPr>
          <w:rFonts w:ascii="黑体" w:hAnsi="黑体" w:eastAsia="黑体"/>
          <w:szCs w:val="21"/>
        </w:rPr>
      </w:pPr>
      <w:r>
        <w:rPr>
          <w:rFonts w:hint="eastAsia" w:ascii="黑体" w:hAnsi="黑体" w:eastAsia="黑体"/>
          <w:szCs w:val="21"/>
        </w:rPr>
        <w:t>模块化 Modularization</w:t>
      </w:r>
    </w:p>
    <w:p>
      <w:pPr>
        <w:pStyle w:val="26"/>
        <w:rPr>
          <w:szCs w:val="21"/>
        </w:rPr>
      </w:pPr>
      <w:r>
        <w:rPr>
          <w:rFonts w:hint="eastAsia"/>
          <w:szCs w:val="21"/>
        </w:rPr>
        <w:t>在系统的结构中，模块是可组合、分解和更换的相对独立的单元。每一个模块完成一个特定的子功能，所有的模块按某种方法组装起来形成一个整体，完成整个系统所要求的功能。</w:t>
      </w:r>
    </w:p>
    <w:p>
      <w:pPr>
        <w:pStyle w:val="49"/>
        <w:numPr>
          <w:ilvl w:val="2"/>
          <w:numId w:val="20"/>
        </w:numPr>
        <w:tabs>
          <w:tab w:val="center" w:pos="4201"/>
          <w:tab w:val="right" w:leader="dot" w:pos="9298"/>
        </w:tabs>
        <w:rPr>
          <w:rFonts w:ascii="黑体" w:hAnsi="黑体" w:eastAsia="黑体"/>
          <w:szCs w:val="21"/>
        </w:rPr>
      </w:pPr>
      <w:r>
        <w:rPr>
          <w:rFonts w:hint="eastAsia" w:ascii="黑体" w:hAnsi="黑体" w:eastAsia="黑体"/>
          <w:szCs w:val="21"/>
        </w:rPr>
        <w:t>基础杆 Basic pole</w:t>
      </w:r>
    </w:p>
    <w:p>
      <w:pPr>
        <w:pStyle w:val="26"/>
        <w:rPr>
          <w:szCs w:val="21"/>
        </w:rPr>
      </w:pPr>
      <w:r>
        <w:rPr>
          <w:rFonts w:hint="eastAsia"/>
          <w:szCs w:val="21"/>
        </w:rPr>
        <w:t>智慧灯杆的基本结构，包括杆体、土建基础。</w:t>
      </w:r>
    </w:p>
    <w:p>
      <w:pPr>
        <w:pStyle w:val="49"/>
        <w:numPr>
          <w:ilvl w:val="2"/>
          <w:numId w:val="20"/>
        </w:numPr>
        <w:tabs>
          <w:tab w:val="center" w:pos="4201"/>
          <w:tab w:val="right" w:leader="dot" w:pos="9298"/>
        </w:tabs>
        <w:rPr>
          <w:rFonts w:ascii="黑体" w:hAnsi="黑体" w:eastAsia="黑体"/>
          <w:szCs w:val="21"/>
        </w:rPr>
      </w:pPr>
      <w:r>
        <w:rPr>
          <w:rFonts w:hint="eastAsia" w:ascii="黑体" w:hAnsi="黑体" w:eastAsia="黑体"/>
          <w:szCs w:val="21"/>
        </w:rPr>
        <w:t>其他挂载设备 Additional equipment</w:t>
      </w:r>
    </w:p>
    <w:p>
      <w:pPr>
        <w:pStyle w:val="26"/>
        <w:rPr>
          <w:szCs w:val="21"/>
        </w:rPr>
      </w:pPr>
      <w:r>
        <w:rPr>
          <w:rFonts w:hint="eastAsia"/>
          <w:szCs w:val="21"/>
        </w:rPr>
        <w:t>除基础杆外需在智慧灯杆上挂载的其他设备。</w:t>
      </w:r>
    </w:p>
    <w:p>
      <w:pPr>
        <w:pStyle w:val="49"/>
        <w:numPr>
          <w:ilvl w:val="2"/>
          <w:numId w:val="20"/>
        </w:numPr>
        <w:tabs>
          <w:tab w:val="center" w:pos="4201"/>
          <w:tab w:val="right" w:leader="dot" w:pos="9298"/>
        </w:tabs>
        <w:rPr>
          <w:rFonts w:ascii="黑体" w:hAnsi="黑体" w:eastAsia="黑体"/>
          <w:szCs w:val="21"/>
        </w:rPr>
      </w:pPr>
      <w:r>
        <w:rPr>
          <w:rFonts w:hint="eastAsia" w:ascii="黑体" w:hAnsi="黑体" w:eastAsia="黑体"/>
          <w:szCs w:val="21"/>
        </w:rPr>
        <w:t>连接件 Connecting component</w:t>
      </w:r>
    </w:p>
    <w:p>
      <w:pPr>
        <w:pStyle w:val="26"/>
        <w:rPr>
          <w:szCs w:val="21"/>
        </w:rPr>
      </w:pPr>
      <w:r>
        <w:rPr>
          <w:rFonts w:hint="eastAsia"/>
          <w:szCs w:val="21"/>
        </w:rPr>
        <w:t>用于支撑挂载设备安装、固定在基础杆上的安装连接件，包括悬臂、支撑杆、拉杆、抱箍座、夹板等。</w:t>
      </w:r>
    </w:p>
    <w:p>
      <w:pPr>
        <w:pStyle w:val="49"/>
        <w:numPr>
          <w:ilvl w:val="2"/>
          <w:numId w:val="20"/>
        </w:numPr>
        <w:tabs>
          <w:tab w:val="center" w:pos="4201"/>
          <w:tab w:val="right" w:leader="dot" w:pos="9298"/>
        </w:tabs>
        <w:rPr>
          <w:rFonts w:ascii="黑体" w:hAnsi="黑体" w:eastAsia="黑体"/>
          <w:szCs w:val="21"/>
        </w:rPr>
      </w:pPr>
      <w:r>
        <w:rPr>
          <w:rFonts w:hint="eastAsia" w:ascii="黑体" w:hAnsi="黑体" w:eastAsia="黑体"/>
          <w:szCs w:val="21"/>
        </w:rPr>
        <w:t>改造智慧灯杆 Refitted smart pole</w:t>
      </w:r>
    </w:p>
    <w:p>
      <w:pPr>
        <w:pStyle w:val="26"/>
        <w:rPr>
          <w:szCs w:val="21"/>
        </w:rPr>
      </w:pPr>
      <w:r>
        <w:rPr>
          <w:rFonts w:hint="eastAsia"/>
          <w:szCs w:val="21"/>
        </w:rPr>
        <w:t>对于满足改造条件的杆体，在原有杆体上直接新增挂载设备，不改变原有杆体结构的建设方式。</w:t>
      </w:r>
    </w:p>
    <w:p>
      <w:pPr>
        <w:pStyle w:val="49"/>
        <w:numPr>
          <w:ilvl w:val="2"/>
          <w:numId w:val="20"/>
        </w:numPr>
        <w:tabs>
          <w:tab w:val="center" w:pos="4201"/>
          <w:tab w:val="right" w:leader="dot" w:pos="9298"/>
        </w:tabs>
        <w:rPr>
          <w:rFonts w:ascii="黑体" w:hAnsi="黑体" w:eastAsia="黑体"/>
          <w:szCs w:val="21"/>
        </w:rPr>
      </w:pPr>
      <w:r>
        <w:rPr>
          <w:rFonts w:hint="eastAsia" w:ascii="黑体" w:hAnsi="黑体" w:eastAsia="黑体"/>
          <w:szCs w:val="21"/>
        </w:rPr>
        <w:t>改建智慧灯杆 Replacing smart pole</w:t>
      </w:r>
    </w:p>
    <w:p>
      <w:pPr>
        <w:pStyle w:val="26"/>
        <w:rPr>
          <w:szCs w:val="21"/>
        </w:rPr>
      </w:pPr>
      <w:r>
        <w:rPr>
          <w:rFonts w:hint="eastAsia"/>
          <w:szCs w:val="21"/>
        </w:rPr>
        <w:t>原有杆体不满足改造条件，用智慧灯杆替换原有杆体的建设方式。</w:t>
      </w:r>
    </w:p>
    <w:p>
      <w:pPr>
        <w:pStyle w:val="49"/>
        <w:numPr>
          <w:ilvl w:val="2"/>
          <w:numId w:val="20"/>
        </w:numPr>
        <w:tabs>
          <w:tab w:val="center" w:pos="4201"/>
          <w:tab w:val="right" w:leader="dot" w:pos="9298"/>
        </w:tabs>
        <w:rPr>
          <w:rFonts w:ascii="黑体" w:hAnsi="黑体" w:eastAsia="黑体"/>
          <w:szCs w:val="21"/>
        </w:rPr>
      </w:pPr>
      <w:r>
        <w:rPr>
          <w:rFonts w:hint="eastAsia" w:ascii="黑体" w:hAnsi="黑体" w:eastAsia="黑体"/>
          <w:szCs w:val="21"/>
        </w:rPr>
        <w:t xml:space="preserve">综合机箱 </w:t>
      </w:r>
      <w:r>
        <w:rPr>
          <w:rFonts w:ascii="黑体" w:hAnsi="黑体" w:eastAsia="黑体"/>
          <w:szCs w:val="21"/>
        </w:rPr>
        <w:t>Integrated chassis</w:t>
      </w:r>
    </w:p>
    <w:p>
      <w:pPr>
        <w:pStyle w:val="26"/>
        <w:rPr>
          <w:szCs w:val="21"/>
        </w:rPr>
      </w:pPr>
      <w:r>
        <w:rPr>
          <w:rFonts w:hint="eastAsia"/>
          <w:szCs w:val="21"/>
        </w:rPr>
        <w:t>综合机箱为集中放置供电设备、光缆交接设备、各业务需求的接入设备、控制设备等提供运行环境的综合箱体，可为智慧灯杆及其挂载设备提供集中供电、集中传输接入等服务。</w:t>
      </w:r>
    </w:p>
    <w:p>
      <w:pPr>
        <w:numPr>
          <w:ilvl w:val="2"/>
          <w:numId w:val="20"/>
        </w:numPr>
        <w:tabs>
          <w:tab w:val="center" w:pos="4201"/>
          <w:tab w:val="right" w:leader="dot" w:pos="9298"/>
        </w:tabs>
        <w:autoSpaceDE w:val="0"/>
        <w:autoSpaceDN w:val="0"/>
        <w:spacing w:line="360" w:lineRule="auto"/>
        <w:rPr>
          <w:rFonts w:ascii="黑体" w:hAnsi="黑体" w:eastAsia="黑体"/>
          <w:szCs w:val="21"/>
        </w:rPr>
      </w:pPr>
      <w:r>
        <w:rPr>
          <w:rFonts w:hint="eastAsia" w:ascii="黑体" w:hAnsi="黑体" w:eastAsia="黑体"/>
          <w:szCs w:val="21"/>
        </w:rPr>
        <w:t xml:space="preserve">综合机房 </w:t>
      </w:r>
      <w:r>
        <w:rPr>
          <w:rFonts w:ascii="黑体" w:hAnsi="黑体" w:eastAsia="黑体"/>
          <w:szCs w:val="21"/>
        </w:rPr>
        <w:t xml:space="preserve">Integrated </w:t>
      </w:r>
      <w:r>
        <w:rPr>
          <w:rFonts w:hint="eastAsia" w:ascii="黑体" w:hAnsi="黑体" w:eastAsia="黑体"/>
          <w:szCs w:val="21"/>
        </w:rPr>
        <w:t>room</w:t>
      </w:r>
    </w:p>
    <w:p>
      <w:pPr>
        <w:pStyle w:val="26"/>
        <w:rPr>
          <w:szCs w:val="21"/>
        </w:rPr>
      </w:pPr>
      <w:r>
        <w:rPr>
          <w:rFonts w:hint="eastAsia"/>
          <w:szCs w:val="21"/>
        </w:rPr>
        <w:t>负责接收处理智慧灯杆系统平台信息、处置报警事件、管理控制系统设备的中央控制室，通常划分为值守区和设备区。</w:t>
      </w:r>
    </w:p>
    <w:p>
      <w:pPr>
        <w:numPr>
          <w:ilvl w:val="2"/>
          <w:numId w:val="20"/>
        </w:numPr>
        <w:tabs>
          <w:tab w:val="center" w:pos="4201"/>
          <w:tab w:val="right" w:leader="dot" w:pos="9298"/>
        </w:tabs>
        <w:autoSpaceDE w:val="0"/>
        <w:autoSpaceDN w:val="0"/>
        <w:spacing w:line="360" w:lineRule="auto"/>
        <w:rPr>
          <w:rFonts w:ascii="黑体" w:hAnsi="黑体" w:eastAsia="黑体"/>
          <w:szCs w:val="21"/>
        </w:rPr>
      </w:pPr>
      <w:r>
        <w:rPr>
          <w:rFonts w:hint="eastAsia" w:ascii="黑体" w:hAnsi="黑体" w:eastAsia="黑体"/>
          <w:szCs w:val="21"/>
        </w:rPr>
        <w:t>智慧灯杆系统平台 Smart pole system platform</w:t>
      </w:r>
    </w:p>
    <w:p>
      <w:pPr>
        <w:pStyle w:val="26"/>
        <w:rPr>
          <w:szCs w:val="21"/>
        </w:rPr>
      </w:pPr>
      <w:r>
        <w:rPr>
          <w:rFonts w:hint="eastAsia"/>
          <w:szCs w:val="21"/>
        </w:rPr>
        <w:t>智慧灯杆系统平台是可对杆件和相关设备进行集中管理和控制，具备远程控制、数据采集、功能集成、系统管理运维、公共服务与指挥调度等功能的软件系统。</w:t>
      </w:r>
    </w:p>
    <w:p>
      <w:pPr>
        <w:numPr>
          <w:ilvl w:val="2"/>
          <w:numId w:val="20"/>
        </w:numPr>
        <w:tabs>
          <w:tab w:val="center" w:pos="4201"/>
          <w:tab w:val="right" w:leader="dot" w:pos="9298"/>
        </w:tabs>
        <w:autoSpaceDE w:val="0"/>
        <w:autoSpaceDN w:val="0"/>
        <w:spacing w:line="360" w:lineRule="auto"/>
        <w:rPr>
          <w:rFonts w:ascii="黑体" w:hAnsi="黑体" w:eastAsia="黑体"/>
          <w:szCs w:val="21"/>
        </w:rPr>
      </w:pPr>
      <w:r>
        <w:rPr>
          <w:rFonts w:hint="eastAsia" w:ascii="黑体" w:hAnsi="黑体" w:eastAsia="黑体"/>
          <w:szCs w:val="21"/>
        </w:rPr>
        <w:t>U unit</w:t>
      </w:r>
    </w:p>
    <w:p>
      <w:pPr>
        <w:pStyle w:val="26"/>
        <w:rPr>
          <w:szCs w:val="21"/>
        </w:rPr>
      </w:pPr>
      <w:r>
        <w:rPr>
          <w:rFonts w:hint="eastAsia"/>
          <w:szCs w:val="21"/>
        </w:rPr>
        <w:t>U是一种表示服务器外部尺寸的单位，是unit的缩略语，详细尺寸为宽48.26cm（19英寸）与高4.445cm（1.75英寸）。</w:t>
      </w:r>
    </w:p>
    <w:p>
      <w:bookmarkStart w:id="104" w:name="_Toc25289"/>
      <w:bookmarkStart w:id="105" w:name="_Toc6169"/>
      <w:bookmarkStart w:id="106" w:name="_Toc25855"/>
      <w:bookmarkStart w:id="107" w:name="_Toc6419"/>
      <w:bookmarkStart w:id="108" w:name="_Toc16624"/>
      <w:bookmarkStart w:id="109" w:name="_Toc20508"/>
      <w:bookmarkStart w:id="110" w:name="_Toc10448"/>
      <w:bookmarkStart w:id="111" w:name="_Toc13976"/>
      <w:r>
        <w:rPr>
          <w:rFonts w:hint="eastAsia"/>
        </w:rPr>
        <w:br w:type="page"/>
      </w:r>
    </w:p>
    <w:p>
      <w:pPr>
        <w:pStyle w:val="53"/>
        <w:numPr>
          <w:ilvl w:val="1"/>
          <w:numId w:val="20"/>
        </w:numPr>
        <w:spacing w:before="156" w:after="156"/>
        <w:outlineLvl w:val="1"/>
      </w:pPr>
      <w:bookmarkStart w:id="112" w:name="_Toc8649"/>
      <w:bookmarkStart w:id="113" w:name="_Toc927"/>
      <w:r>
        <w:rPr>
          <w:rFonts w:hint="eastAsia"/>
        </w:rPr>
        <w:t>符号</w:t>
      </w:r>
      <w:bookmarkEnd w:id="104"/>
      <w:bookmarkEnd w:id="105"/>
      <w:bookmarkEnd w:id="106"/>
      <w:bookmarkEnd w:id="107"/>
      <w:bookmarkEnd w:id="108"/>
      <w:bookmarkEnd w:id="109"/>
      <w:bookmarkEnd w:id="110"/>
      <w:bookmarkEnd w:id="111"/>
      <w:bookmarkEnd w:id="112"/>
      <w:bookmarkEnd w:id="113"/>
    </w:p>
    <w:p>
      <w:pPr>
        <w:pStyle w:val="26"/>
        <w:rPr>
          <w:szCs w:val="21"/>
        </w:rPr>
      </w:pPr>
      <w:r>
        <w:rPr>
          <w:szCs w:val="21"/>
        </w:rPr>
        <w:t xml:space="preserve"> wk—风荷载标准值（kN/m</w:t>
      </w:r>
      <w:r>
        <w:rPr>
          <w:szCs w:val="21"/>
          <w:vertAlign w:val="superscript"/>
        </w:rPr>
        <w:t>2</w:t>
      </w:r>
      <w:r>
        <w:rPr>
          <w:szCs w:val="21"/>
        </w:rPr>
        <w:t>）；</w:t>
      </w:r>
    </w:p>
    <w:p>
      <w:pPr>
        <w:pStyle w:val="26"/>
        <w:rPr>
          <w:szCs w:val="21"/>
        </w:rPr>
      </w:pPr>
      <w:r>
        <w:rPr>
          <w:szCs w:val="21"/>
        </w:rPr>
        <w:t>βz—高处z处的风振系统；</w:t>
      </w:r>
    </w:p>
    <w:p>
      <w:pPr>
        <w:pStyle w:val="26"/>
        <w:rPr>
          <w:szCs w:val="21"/>
        </w:rPr>
      </w:pPr>
      <w:r>
        <w:rPr>
          <w:szCs w:val="21"/>
        </w:rPr>
        <w:t>μs—风荷载体型系数；</w:t>
      </w:r>
    </w:p>
    <w:p>
      <w:pPr>
        <w:pStyle w:val="26"/>
        <w:rPr>
          <w:szCs w:val="21"/>
        </w:rPr>
      </w:pPr>
      <w:r>
        <w:rPr>
          <w:szCs w:val="21"/>
        </w:rPr>
        <w:t>μz—风压高度变化系数；</w:t>
      </w:r>
    </w:p>
    <w:p>
      <w:pPr>
        <w:pStyle w:val="26"/>
        <w:rPr>
          <w:szCs w:val="21"/>
        </w:rPr>
      </w:pPr>
      <w:r>
        <w:rPr>
          <w:szCs w:val="21"/>
        </w:rPr>
        <w:t>w0—基本风压（kN/m</w:t>
      </w:r>
      <w:r>
        <w:rPr>
          <w:szCs w:val="21"/>
          <w:vertAlign w:val="superscript"/>
        </w:rPr>
        <w:t>2</w:t>
      </w:r>
      <w:r>
        <w:rPr>
          <w:szCs w:val="21"/>
        </w:rPr>
        <w:t>）。</w:t>
      </w:r>
    </w:p>
    <w:p>
      <w:pPr>
        <w:pStyle w:val="26"/>
        <w:rPr>
          <w:szCs w:val="21"/>
        </w:rPr>
      </w:pPr>
    </w:p>
    <w:p/>
    <w:p/>
    <w:p>
      <w:bookmarkStart w:id="114" w:name="_Toc20414"/>
      <w:bookmarkStart w:id="115" w:name="_Toc14532"/>
      <w:bookmarkStart w:id="116" w:name="_Toc19673"/>
      <w:bookmarkStart w:id="117" w:name="_Toc7441"/>
      <w:bookmarkStart w:id="118" w:name="_Toc24308"/>
      <w:bookmarkStart w:id="119" w:name="_Toc27054"/>
      <w:bookmarkStart w:id="120" w:name="_Toc23021"/>
      <w:r>
        <w:rPr>
          <w:rFonts w:hint="eastAsia"/>
        </w:rPr>
        <w:br w:type="page"/>
      </w:r>
      <w:bookmarkStart w:id="121" w:name="_Toc12904"/>
      <w:bookmarkEnd w:id="121"/>
    </w:p>
    <w:p>
      <w:pPr>
        <w:pStyle w:val="85"/>
        <w:numPr>
          <w:ilvl w:val="0"/>
          <w:numId w:val="20"/>
        </w:numPr>
        <w:spacing w:before="312" w:after="312"/>
        <w:outlineLvl w:val="0"/>
      </w:pPr>
      <w:bookmarkStart w:id="122" w:name="_Toc13250"/>
      <w:bookmarkStart w:id="123" w:name="_Toc12103"/>
      <w:bookmarkStart w:id="124" w:name="_Toc9781"/>
      <w:r>
        <w:rPr>
          <w:rFonts w:hint="eastAsia"/>
        </w:rPr>
        <w:t>基本规定</w:t>
      </w:r>
      <w:bookmarkEnd w:id="114"/>
      <w:bookmarkEnd w:id="115"/>
      <w:bookmarkEnd w:id="116"/>
      <w:bookmarkEnd w:id="117"/>
      <w:bookmarkEnd w:id="118"/>
      <w:bookmarkEnd w:id="119"/>
      <w:bookmarkEnd w:id="120"/>
      <w:bookmarkEnd w:id="122"/>
      <w:bookmarkEnd w:id="123"/>
      <w:bookmarkEnd w:id="124"/>
    </w:p>
    <w:p>
      <w:pPr>
        <w:pStyle w:val="53"/>
        <w:numPr>
          <w:ilvl w:val="1"/>
          <w:numId w:val="20"/>
        </w:numPr>
        <w:spacing w:before="156" w:after="156"/>
        <w:outlineLvl w:val="1"/>
      </w:pPr>
      <w:bookmarkStart w:id="125" w:name="_Toc7652"/>
      <w:bookmarkStart w:id="126" w:name="_Toc2073"/>
      <w:bookmarkStart w:id="127" w:name="_Toc27434"/>
      <w:bookmarkStart w:id="128" w:name="_Toc18290"/>
      <w:bookmarkStart w:id="129" w:name="_Toc9986"/>
      <w:bookmarkStart w:id="130" w:name="_Toc2301"/>
      <w:bookmarkStart w:id="131" w:name="_Toc13391"/>
      <w:bookmarkStart w:id="132" w:name="_Toc26109"/>
      <w:bookmarkStart w:id="133" w:name="_Toc12124"/>
      <w:bookmarkStart w:id="134" w:name="_Toc26606"/>
      <w:r>
        <w:rPr>
          <w:rFonts w:hint="eastAsia"/>
        </w:rPr>
        <w:t>总体要求</w:t>
      </w:r>
      <w:bookmarkEnd w:id="125"/>
      <w:bookmarkEnd w:id="126"/>
      <w:bookmarkEnd w:id="127"/>
      <w:bookmarkEnd w:id="128"/>
      <w:bookmarkEnd w:id="129"/>
      <w:bookmarkEnd w:id="130"/>
      <w:bookmarkEnd w:id="131"/>
      <w:bookmarkEnd w:id="132"/>
      <w:bookmarkEnd w:id="133"/>
    </w:p>
    <w:p>
      <w:pPr>
        <w:pStyle w:val="49"/>
        <w:numPr>
          <w:ilvl w:val="2"/>
          <w:numId w:val="20"/>
        </w:numPr>
        <w:tabs>
          <w:tab w:val="center" w:pos="4201"/>
          <w:tab w:val="right" w:leader="dot" w:pos="9298"/>
        </w:tabs>
      </w:pPr>
      <w:r>
        <w:rPr>
          <w:rFonts w:hint="eastAsia"/>
        </w:rPr>
        <w:t>智慧灯杆可承载智慧城市所需的多种接入设备，能够提供智慧照明、视频采集、移动通信、交通管理、环境监测、气象监测、一键呼叫、公共广播、信息发布、多媒体交互、公共WLAN、电动车充电等功能。</w:t>
      </w:r>
    </w:p>
    <w:p>
      <w:pPr>
        <w:pStyle w:val="49"/>
        <w:numPr>
          <w:ilvl w:val="2"/>
          <w:numId w:val="20"/>
        </w:numPr>
        <w:tabs>
          <w:tab w:val="center" w:pos="4201"/>
          <w:tab w:val="right" w:leader="dot" w:pos="9298"/>
        </w:tabs>
      </w:pPr>
      <w:r>
        <w:rPr>
          <w:rFonts w:hint="eastAsia"/>
        </w:rPr>
        <w:t>智慧灯杆及其挂载设备、综合机箱等应进行系统设计，色彩、风格、造型等应与道路环境景观整体协调。</w:t>
      </w:r>
    </w:p>
    <w:p>
      <w:pPr>
        <w:pStyle w:val="49"/>
        <w:numPr>
          <w:ilvl w:val="2"/>
          <w:numId w:val="20"/>
        </w:numPr>
        <w:tabs>
          <w:tab w:val="center" w:pos="4201"/>
          <w:tab w:val="right" w:leader="dot" w:pos="9298"/>
        </w:tabs>
      </w:pPr>
      <w:r>
        <w:rPr>
          <w:rFonts w:hint="eastAsia"/>
        </w:rPr>
        <w:t>智慧灯杆、综合机箱及配套设施应合理预留一定的荷载、接口、机箱仓位和管孔等，满足未来使用需要。</w:t>
      </w:r>
    </w:p>
    <w:p>
      <w:pPr>
        <w:pStyle w:val="49"/>
        <w:numPr>
          <w:ilvl w:val="2"/>
          <w:numId w:val="20"/>
        </w:numPr>
        <w:tabs>
          <w:tab w:val="center" w:pos="4201"/>
          <w:tab w:val="right" w:leader="dot" w:pos="9298"/>
        </w:tabs>
      </w:pPr>
      <w:r>
        <w:rPr>
          <w:rFonts w:hint="eastAsia"/>
        </w:rPr>
        <w:t>智慧灯杆系统宜广泛采用新材料、新工艺和新技术，减小智慧灯杆杆径和综合机箱箱体体积，提高设施的安全性及安装、维护和管理的便捷性。</w:t>
      </w:r>
    </w:p>
    <w:p>
      <w:pPr>
        <w:pStyle w:val="49"/>
        <w:numPr>
          <w:ilvl w:val="2"/>
          <w:numId w:val="20"/>
        </w:numPr>
        <w:tabs>
          <w:tab w:val="center" w:pos="4201"/>
          <w:tab w:val="right" w:leader="dot" w:pos="9298"/>
        </w:tabs>
      </w:pPr>
      <w:r>
        <w:rPr>
          <w:rFonts w:hint="eastAsia"/>
        </w:rPr>
        <w:t>智慧灯杆的杆体及各挂载设备应具有专属并唯一的标识和编码，以方便对设备的统一管理，结合GIS（地理信息系统），便于设备查找时准确定位、识别。</w:t>
      </w:r>
    </w:p>
    <w:bookmarkEnd w:id="134"/>
    <w:p>
      <w:pPr>
        <w:pStyle w:val="53"/>
        <w:numPr>
          <w:ilvl w:val="1"/>
          <w:numId w:val="20"/>
        </w:numPr>
        <w:spacing w:before="156" w:after="156"/>
        <w:outlineLvl w:val="1"/>
      </w:pPr>
      <w:bookmarkStart w:id="135" w:name="_Toc22971"/>
      <w:bookmarkStart w:id="136" w:name="_Toc20923"/>
      <w:bookmarkStart w:id="137" w:name="_Toc19402"/>
      <w:bookmarkStart w:id="138" w:name="_Toc1400"/>
      <w:bookmarkStart w:id="139" w:name="_Toc29303"/>
      <w:bookmarkStart w:id="140" w:name="_Toc14509"/>
      <w:bookmarkStart w:id="141" w:name="_Toc200"/>
      <w:bookmarkStart w:id="142" w:name="_Toc24363"/>
      <w:bookmarkStart w:id="143" w:name="_Toc30381"/>
      <w:bookmarkStart w:id="144" w:name="_Toc19460"/>
      <w:r>
        <w:rPr>
          <w:rFonts w:hint="eastAsia"/>
        </w:rPr>
        <w:t>系统组成</w:t>
      </w:r>
      <w:bookmarkEnd w:id="135"/>
      <w:bookmarkEnd w:id="136"/>
      <w:bookmarkEnd w:id="137"/>
      <w:bookmarkEnd w:id="138"/>
      <w:bookmarkEnd w:id="139"/>
      <w:bookmarkEnd w:id="140"/>
      <w:bookmarkEnd w:id="141"/>
      <w:bookmarkEnd w:id="142"/>
      <w:bookmarkEnd w:id="143"/>
      <w:bookmarkEnd w:id="144"/>
    </w:p>
    <w:p>
      <w:pPr>
        <w:pStyle w:val="49"/>
        <w:numPr>
          <w:ilvl w:val="2"/>
          <w:numId w:val="20"/>
        </w:numPr>
      </w:pPr>
      <w:r>
        <w:rPr>
          <w:rFonts w:hint="eastAsia"/>
        </w:rPr>
        <w:t>智慧灯杆应包含杆体</w:t>
      </w:r>
      <w:r>
        <w:t>、</w:t>
      </w:r>
      <w:r>
        <w:rPr>
          <w:rFonts w:hint="eastAsia"/>
        </w:rPr>
        <w:t>挂载设备、配套设施、</w:t>
      </w:r>
      <w:r>
        <w:t>系统平台</w:t>
      </w:r>
      <w:r>
        <w:rPr>
          <w:rFonts w:hint="eastAsia"/>
        </w:rPr>
        <w:t>。其中：</w:t>
      </w:r>
    </w:p>
    <w:p>
      <w:pPr>
        <w:pStyle w:val="49"/>
        <w:numPr>
          <w:ilvl w:val="0"/>
          <w:numId w:val="0"/>
        </w:numPr>
        <w:tabs>
          <w:tab w:val="center" w:pos="4201"/>
          <w:tab w:val="right" w:leader="dot" w:pos="9298"/>
        </w:tabs>
        <w:ind w:firstLine="420" w:firstLineChars="200"/>
      </w:pPr>
      <w:r>
        <w:rPr>
          <w:rFonts w:hint="eastAsia"/>
        </w:rPr>
        <w:t>——杆体</w:t>
      </w:r>
      <w:r>
        <w:t>由杆、</w:t>
      </w:r>
      <w:r>
        <w:rPr>
          <w:rFonts w:hint="eastAsia"/>
        </w:rPr>
        <w:t>土建基础</w:t>
      </w:r>
      <w:r>
        <w:t>等部分组成；</w:t>
      </w:r>
    </w:p>
    <w:p>
      <w:pPr>
        <w:pStyle w:val="49"/>
        <w:numPr>
          <w:ilvl w:val="0"/>
          <w:numId w:val="0"/>
        </w:numPr>
        <w:tabs>
          <w:tab w:val="center" w:pos="4201"/>
          <w:tab w:val="right" w:leader="dot" w:pos="9298"/>
        </w:tabs>
        <w:ind w:firstLine="420" w:firstLineChars="200"/>
      </w:pPr>
      <w:r>
        <w:rPr>
          <w:rFonts w:hint="eastAsia"/>
        </w:rPr>
        <w:t>——挂载设备由各类功能模块及连接件组成，如照明模块</w:t>
      </w:r>
      <w:r>
        <w:t>、交安模块、</w:t>
      </w:r>
      <w:r>
        <w:rPr>
          <w:rFonts w:hint="eastAsia"/>
        </w:rPr>
        <w:t>视频采集模块</w:t>
      </w:r>
      <w:r>
        <w:t>、通信</w:t>
      </w:r>
      <w:r>
        <w:rPr>
          <w:rFonts w:hint="eastAsia"/>
        </w:rPr>
        <w:t>模块</w:t>
      </w:r>
      <w:r>
        <w:t>、</w:t>
      </w:r>
      <w:r>
        <w:rPr>
          <w:rFonts w:hint="eastAsia"/>
        </w:rPr>
        <w:t>信息发布模块、充电桩模块等；</w:t>
      </w:r>
    </w:p>
    <w:p>
      <w:pPr>
        <w:pStyle w:val="26"/>
        <w:tabs>
          <w:tab w:val="left" w:pos="0"/>
        </w:tabs>
        <w:jc w:val="left"/>
      </w:pPr>
      <w:r>
        <w:rPr>
          <w:rFonts w:hint="eastAsia"/>
        </w:rPr>
        <w:t>——配套设施即为满足智慧灯杆的正常使用需要而配套建设的各种服务性设施，如电力管线、通讯管线、综合机箱等；</w:t>
      </w:r>
    </w:p>
    <w:p>
      <w:pPr>
        <w:spacing w:line="360" w:lineRule="auto"/>
        <w:ind w:firstLine="420" w:firstLineChars="200"/>
        <w:rPr>
          <w:rFonts w:ascii="仿宋" w:hAnsi="仿宋" w:eastAsia="仿宋"/>
          <w:sz w:val="28"/>
          <w:szCs w:val="28"/>
        </w:rPr>
      </w:pPr>
      <w:r>
        <w:rPr>
          <w:rFonts w:hint="eastAsia"/>
        </w:rPr>
        <w:t>——系统平台将各挂载设备子系统集成到统一总平台中，具备对各挂载设备的业务汇聚和分配、远程集中管理、控制、运行监测、数据分析、查询、定位等功能，实现对现场设备运行状况的实时监控，保障设备安全运行。</w:t>
      </w:r>
    </w:p>
    <w:p>
      <w:pPr>
        <w:pStyle w:val="53"/>
        <w:numPr>
          <w:ilvl w:val="1"/>
          <w:numId w:val="20"/>
        </w:numPr>
        <w:spacing w:before="156" w:after="156"/>
        <w:outlineLvl w:val="1"/>
      </w:pPr>
      <w:bookmarkStart w:id="145" w:name="_Toc13350"/>
      <w:bookmarkStart w:id="146" w:name="_Toc15260"/>
      <w:bookmarkStart w:id="147" w:name="_Toc21501"/>
      <w:bookmarkStart w:id="148" w:name="_Toc6479"/>
      <w:bookmarkStart w:id="149" w:name="_Toc24303"/>
      <w:bookmarkStart w:id="150" w:name="_Toc21333"/>
      <w:bookmarkStart w:id="151" w:name="_Toc6289"/>
      <w:bookmarkStart w:id="152" w:name="_Toc14253"/>
      <w:bookmarkStart w:id="153" w:name="_Toc21985"/>
      <w:bookmarkStart w:id="154" w:name="_Toc22539"/>
      <w:bookmarkStart w:id="155" w:name="_Hlk517870961"/>
      <w:r>
        <w:rPr>
          <w:rFonts w:hint="eastAsia"/>
        </w:rPr>
        <w:t>结构类型</w:t>
      </w:r>
      <w:bookmarkEnd w:id="145"/>
      <w:bookmarkEnd w:id="146"/>
      <w:bookmarkEnd w:id="147"/>
      <w:bookmarkEnd w:id="148"/>
      <w:bookmarkEnd w:id="149"/>
      <w:bookmarkEnd w:id="150"/>
      <w:bookmarkEnd w:id="151"/>
      <w:bookmarkEnd w:id="152"/>
      <w:bookmarkEnd w:id="153"/>
      <w:bookmarkEnd w:id="154"/>
    </w:p>
    <w:p>
      <w:pPr>
        <w:pStyle w:val="26"/>
        <w:numPr>
          <w:ilvl w:val="2"/>
          <w:numId w:val="20"/>
        </w:numPr>
        <w:tabs>
          <w:tab w:val="clear" w:pos="0"/>
        </w:tabs>
        <w:ind w:firstLineChars="0"/>
        <w:rPr>
          <w:szCs w:val="21"/>
        </w:rPr>
      </w:pPr>
      <w:r>
        <w:rPr>
          <w:rFonts w:hint="eastAsia"/>
          <w:szCs w:val="21"/>
        </w:rPr>
        <w:t>智慧灯杆依据其结构类型通常可分为固定式、滑槽式、机架式，以及其他组合式。</w:t>
      </w:r>
    </w:p>
    <w:p>
      <w:pPr>
        <w:pStyle w:val="26"/>
        <w:rPr>
          <w:szCs w:val="21"/>
        </w:rPr>
      </w:pPr>
      <w:r>
        <w:rPr>
          <w:rFonts w:hint="eastAsia"/>
          <w:szCs w:val="21"/>
        </w:rPr>
        <w:t xml:space="preserve"> 固定式：设备一次性安装在智慧灯杆的指定位置，可通过杆体预留接口扩展设备，建设完成后设备位置不能改变；该杆体结构造型简单，成本造价较低，适用于城市大面积新建布设、功能需求较明确的市区主干道沿线等。</w:t>
      </w:r>
    </w:p>
    <w:p>
      <w:pPr>
        <w:pStyle w:val="26"/>
        <w:rPr>
          <w:szCs w:val="21"/>
        </w:rPr>
      </w:pPr>
      <w:r>
        <w:rPr>
          <w:rFonts w:hint="eastAsia"/>
          <w:szCs w:val="21"/>
        </w:rPr>
        <w:t>滑槽式：</w:t>
      </w:r>
      <w:r>
        <w:rPr>
          <w:rFonts w:ascii="Segoe UI" w:hAnsi="Segoe UI" w:cs="Segoe UI"/>
        </w:rPr>
        <w:t>以单杆或双杆铝制杆体为主，在杆体设计多个滑槽，设备通过连接件灵活安装在滑槽上，可灵活选择安装位置，无须开螺丝孔，由于铝制材料强度偏低，且造价偏高，应根据需求，综合评估其安全性进行选用。</w:t>
      </w:r>
    </w:p>
    <w:p>
      <w:pPr>
        <w:pStyle w:val="26"/>
        <w:rPr>
          <w:szCs w:val="21"/>
        </w:rPr>
      </w:pPr>
      <w:r>
        <w:rPr>
          <w:rFonts w:hint="eastAsia"/>
          <w:szCs w:val="21"/>
        </w:rPr>
        <w:t>机架式：可按需通过标准机架单元和安装背板灵活安装多种设备，易于安装维护，造价低；机架式单元会影响杆件的美观度，适用于工业区等对功能模块有增减需求、造型要求不高的区域。</w:t>
      </w:r>
    </w:p>
    <w:p>
      <w:pPr>
        <w:pStyle w:val="26"/>
        <w:numPr>
          <w:ilvl w:val="2"/>
          <w:numId w:val="20"/>
        </w:numPr>
        <w:tabs>
          <w:tab w:val="clear" w:pos="0"/>
        </w:tabs>
        <w:ind w:firstLineChars="0"/>
        <w:rPr>
          <w:color w:val="000000"/>
          <w:szCs w:val="21"/>
        </w:rPr>
      </w:pPr>
      <w:r>
        <w:rPr>
          <w:rFonts w:hint="eastAsia" w:cs="宋体"/>
          <w:color w:val="000000"/>
          <w:szCs w:val="21"/>
        </w:rPr>
        <w:t>智慧灯杆的结构类型</w:t>
      </w:r>
      <w:r>
        <w:rPr>
          <w:rFonts w:hint="eastAsia"/>
          <w:color w:val="000000"/>
          <w:szCs w:val="21"/>
        </w:rPr>
        <w:t>应综合考虑实际应用场景及经济合理性需求，应用</w:t>
      </w:r>
      <w:r>
        <w:rPr>
          <w:color w:val="000000"/>
          <w:szCs w:val="21"/>
        </w:rPr>
        <w:t>场景</w:t>
      </w:r>
      <w:r>
        <w:rPr>
          <w:rFonts w:hint="eastAsia"/>
          <w:color w:val="000000"/>
          <w:szCs w:val="21"/>
        </w:rPr>
        <w:t>及推荐结构类型可参考</w:t>
      </w:r>
      <w:r>
        <w:rPr>
          <w:color w:val="000000"/>
          <w:szCs w:val="21"/>
        </w:rPr>
        <w:t>表3.3.2</w:t>
      </w:r>
      <w:r>
        <w:rPr>
          <w:rFonts w:hint="eastAsia"/>
          <w:color w:val="000000"/>
          <w:szCs w:val="21"/>
        </w:rPr>
        <w:t>：</w:t>
      </w:r>
    </w:p>
    <w:p>
      <w:pPr>
        <w:pStyle w:val="26"/>
        <w:jc w:val="center"/>
        <w:rPr>
          <w:rFonts w:ascii="黑体" w:hAnsi="Times New Roman" w:eastAsia="黑体"/>
          <w:color w:val="000000"/>
          <w:szCs w:val="21"/>
        </w:rPr>
      </w:pPr>
      <w:r>
        <w:rPr>
          <w:rFonts w:hint="eastAsia" w:ascii="黑体" w:hAnsi="Times New Roman" w:eastAsia="黑体"/>
          <w:color w:val="000000"/>
          <w:szCs w:val="21"/>
        </w:rPr>
        <w:t>表</w:t>
      </w:r>
      <w:r>
        <w:rPr>
          <w:rFonts w:ascii="黑体" w:hAnsi="Times New Roman" w:eastAsia="黑体"/>
          <w:color w:val="000000"/>
          <w:szCs w:val="21"/>
        </w:rPr>
        <w:t>3</w:t>
      </w:r>
      <w:r>
        <w:rPr>
          <w:rFonts w:hint="eastAsia" w:ascii="黑体" w:hAnsi="Times New Roman" w:eastAsia="黑体"/>
          <w:color w:val="000000"/>
          <w:szCs w:val="21"/>
        </w:rPr>
        <w:t>,</w:t>
      </w:r>
      <w:r>
        <w:rPr>
          <w:rFonts w:ascii="黑体" w:hAnsi="Times New Roman" w:eastAsia="黑体"/>
          <w:color w:val="000000"/>
          <w:szCs w:val="21"/>
        </w:rPr>
        <w:t>3.2</w:t>
      </w:r>
      <w:r>
        <w:rPr>
          <w:rFonts w:hint="eastAsia" w:ascii="黑体" w:hAnsi="Times New Roman" w:eastAsia="黑体"/>
          <w:color w:val="000000"/>
          <w:szCs w:val="21"/>
        </w:rPr>
        <w:t xml:space="preserve"> 智慧灯杆应用场景及推荐结构类型</w:t>
      </w:r>
    </w:p>
    <w:tbl>
      <w:tblPr>
        <w:tblStyle w:val="37"/>
        <w:tblW w:w="7920" w:type="dxa"/>
        <w:jc w:val="center"/>
        <w:tblLayout w:type="autofit"/>
        <w:tblCellMar>
          <w:top w:w="0" w:type="dxa"/>
          <w:left w:w="108" w:type="dxa"/>
          <w:bottom w:w="0" w:type="dxa"/>
          <w:right w:w="108" w:type="dxa"/>
        </w:tblCellMar>
      </w:tblPr>
      <w:tblGrid>
        <w:gridCol w:w="1039"/>
        <w:gridCol w:w="739"/>
        <w:gridCol w:w="739"/>
        <w:gridCol w:w="739"/>
        <w:gridCol w:w="738"/>
        <w:gridCol w:w="738"/>
        <w:gridCol w:w="738"/>
        <w:gridCol w:w="752"/>
        <w:gridCol w:w="738"/>
        <w:gridCol w:w="738"/>
        <w:gridCol w:w="222"/>
      </w:tblGrid>
      <w:tr>
        <w:tblPrEx>
          <w:tblCellMar>
            <w:top w:w="0" w:type="dxa"/>
            <w:left w:w="108" w:type="dxa"/>
            <w:bottom w:w="0" w:type="dxa"/>
            <w:right w:w="108" w:type="dxa"/>
          </w:tblCellMar>
        </w:tblPrEx>
        <w:trPr>
          <w:gridAfter w:val="1"/>
          <w:wAfter w:w="36" w:type="dxa"/>
          <w:trHeight w:val="285" w:hRule="atLeast"/>
          <w:jc w:val="center"/>
        </w:trPr>
        <w:tc>
          <w:tcPr>
            <w:tcW w:w="10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结构类型</w:t>
            </w:r>
          </w:p>
        </w:tc>
        <w:tc>
          <w:tcPr>
            <w:tcW w:w="6809" w:type="dxa"/>
            <w:gridSpan w:val="9"/>
            <w:tcBorders>
              <w:top w:val="single" w:color="auto" w:sz="4" w:space="0"/>
              <w:left w:val="nil"/>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应用场景建议</w:t>
            </w:r>
          </w:p>
        </w:tc>
      </w:tr>
      <w:tr>
        <w:tblPrEx>
          <w:tblCellMar>
            <w:top w:w="0" w:type="dxa"/>
            <w:left w:w="108" w:type="dxa"/>
            <w:bottom w:w="0" w:type="dxa"/>
            <w:right w:w="108" w:type="dxa"/>
          </w:tblCellMar>
        </w:tblPrEx>
        <w:trPr>
          <w:gridAfter w:val="1"/>
          <w:wAfter w:w="36" w:type="dxa"/>
          <w:trHeight w:val="600" w:hRule="atLeast"/>
          <w:jc w:val="center"/>
        </w:trPr>
        <w:tc>
          <w:tcPr>
            <w:tcW w:w="10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rPr>
            </w:pPr>
          </w:p>
        </w:tc>
        <w:tc>
          <w:tcPr>
            <w:tcW w:w="75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商业步行街</w:t>
            </w:r>
          </w:p>
        </w:tc>
        <w:tc>
          <w:tcPr>
            <w:tcW w:w="757"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公园</w:t>
            </w:r>
          </w:p>
        </w:tc>
        <w:tc>
          <w:tcPr>
            <w:tcW w:w="757"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小区</w:t>
            </w:r>
          </w:p>
        </w:tc>
        <w:tc>
          <w:tcPr>
            <w:tcW w:w="756"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风景区</w:t>
            </w:r>
          </w:p>
        </w:tc>
        <w:tc>
          <w:tcPr>
            <w:tcW w:w="756"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大流量道路</w:t>
            </w:r>
          </w:p>
        </w:tc>
        <w:tc>
          <w:tcPr>
            <w:tcW w:w="756"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一般道路</w:t>
            </w:r>
          </w:p>
        </w:tc>
        <w:tc>
          <w:tcPr>
            <w:tcW w:w="758"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高、快速路</w:t>
            </w:r>
          </w:p>
        </w:tc>
        <w:tc>
          <w:tcPr>
            <w:tcW w:w="756"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交叉路口</w:t>
            </w:r>
          </w:p>
        </w:tc>
        <w:tc>
          <w:tcPr>
            <w:tcW w:w="756" w:type="dxa"/>
            <w:tcBorders>
              <w:top w:val="nil"/>
              <w:left w:val="nil"/>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工业园区</w:t>
            </w:r>
          </w:p>
        </w:tc>
      </w:tr>
      <w:tr>
        <w:tblPrEx>
          <w:tblCellMar>
            <w:top w:w="0" w:type="dxa"/>
            <w:left w:w="108" w:type="dxa"/>
            <w:bottom w:w="0" w:type="dxa"/>
            <w:right w:w="108" w:type="dxa"/>
          </w:tblCellMar>
        </w:tblPrEx>
        <w:trPr>
          <w:gridAfter w:val="1"/>
          <w:wAfter w:w="36" w:type="dxa"/>
          <w:trHeight w:val="312" w:hRule="atLeast"/>
          <w:jc w:val="center"/>
        </w:trPr>
        <w:tc>
          <w:tcPr>
            <w:tcW w:w="1075"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固定式</w:t>
            </w:r>
          </w:p>
        </w:tc>
        <w:tc>
          <w:tcPr>
            <w:tcW w:w="757"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w:t>
            </w:r>
          </w:p>
        </w:tc>
        <w:tc>
          <w:tcPr>
            <w:tcW w:w="757"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w:t>
            </w:r>
          </w:p>
        </w:tc>
        <w:tc>
          <w:tcPr>
            <w:tcW w:w="757"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w:t>
            </w:r>
          </w:p>
        </w:tc>
        <w:tc>
          <w:tcPr>
            <w:tcW w:w="756"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w:t>
            </w:r>
          </w:p>
        </w:tc>
        <w:tc>
          <w:tcPr>
            <w:tcW w:w="756"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w:t>
            </w:r>
          </w:p>
        </w:tc>
        <w:tc>
          <w:tcPr>
            <w:tcW w:w="756"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w:t>
            </w:r>
          </w:p>
        </w:tc>
        <w:tc>
          <w:tcPr>
            <w:tcW w:w="758"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w:t>
            </w:r>
          </w:p>
        </w:tc>
        <w:tc>
          <w:tcPr>
            <w:tcW w:w="756"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w:t>
            </w:r>
          </w:p>
        </w:tc>
        <w:tc>
          <w:tcPr>
            <w:tcW w:w="756"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w:t>
            </w:r>
          </w:p>
        </w:tc>
      </w:tr>
      <w:tr>
        <w:tblPrEx>
          <w:tblCellMar>
            <w:top w:w="0" w:type="dxa"/>
            <w:left w:w="108" w:type="dxa"/>
            <w:bottom w:w="0" w:type="dxa"/>
            <w:right w:w="108" w:type="dxa"/>
          </w:tblCellMar>
        </w:tblPrEx>
        <w:trPr>
          <w:trHeight w:val="285" w:hRule="atLeast"/>
          <w:jc w:val="center"/>
        </w:trPr>
        <w:tc>
          <w:tcPr>
            <w:tcW w:w="1075"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rPr>
            </w:pPr>
          </w:p>
        </w:tc>
        <w:tc>
          <w:tcPr>
            <w:tcW w:w="757"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rPr>
            </w:pPr>
          </w:p>
        </w:tc>
        <w:tc>
          <w:tcPr>
            <w:tcW w:w="757"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rPr>
            </w:pPr>
          </w:p>
        </w:tc>
        <w:tc>
          <w:tcPr>
            <w:tcW w:w="757"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rPr>
            </w:pPr>
          </w:p>
        </w:tc>
        <w:tc>
          <w:tcPr>
            <w:tcW w:w="756"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rPr>
            </w:pPr>
          </w:p>
        </w:tc>
        <w:tc>
          <w:tcPr>
            <w:tcW w:w="756"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rPr>
            </w:pPr>
          </w:p>
        </w:tc>
        <w:tc>
          <w:tcPr>
            <w:tcW w:w="756"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rPr>
            </w:pPr>
          </w:p>
        </w:tc>
        <w:tc>
          <w:tcPr>
            <w:tcW w:w="758"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rPr>
            </w:pPr>
          </w:p>
        </w:tc>
        <w:tc>
          <w:tcPr>
            <w:tcW w:w="756"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rPr>
            </w:pPr>
          </w:p>
        </w:tc>
        <w:tc>
          <w:tcPr>
            <w:tcW w:w="756"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rPr>
            </w:pPr>
          </w:p>
        </w:tc>
        <w:tc>
          <w:tcPr>
            <w:tcW w:w="36" w:type="dxa"/>
            <w:tcBorders>
              <w:top w:val="nil"/>
              <w:left w:val="nil"/>
              <w:bottom w:val="nil"/>
              <w:right w:val="nil"/>
            </w:tcBorders>
            <w:noWrap/>
            <w:vAlign w:val="bottom"/>
          </w:tcPr>
          <w:p>
            <w:pPr>
              <w:widowControl/>
              <w:jc w:val="center"/>
              <w:rPr>
                <w:rFonts w:ascii="等线" w:hAnsi="等线" w:eastAsia="等线" w:cs="宋体"/>
                <w:color w:val="000000"/>
                <w:kern w:val="0"/>
                <w:sz w:val="22"/>
              </w:rPr>
            </w:pPr>
          </w:p>
        </w:tc>
      </w:tr>
      <w:tr>
        <w:tblPrEx>
          <w:tblCellMar>
            <w:top w:w="0" w:type="dxa"/>
            <w:left w:w="108" w:type="dxa"/>
            <w:bottom w:w="0" w:type="dxa"/>
            <w:right w:w="108" w:type="dxa"/>
          </w:tblCellMar>
        </w:tblPrEx>
        <w:trPr>
          <w:trHeight w:val="285" w:hRule="atLeast"/>
          <w:jc w:val="center"/>
        </w:trPr>
        <w:tc>
          <w:tcPr>
            <w:tcW w:w="1075"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滑槽式</w:t>
            </w:r>
          </w:p>
        </w:tc>
        <w:tc>
          <w:tcPr>
            <w:tcW w:w="757"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w:t>
            </w:r>
          </w:p>
        </w:tc>
        <w:tc>
          <w:tcPr>
            <w:tcW w:w="757"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w:t>
            </w:r>
          </w:p>
        </w:tc>
        <w:tc>
          <w:tcPr>
            <w:tcW w:w="757"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w:t>
            </w:r>
          </w:p>
        </w:tc>
        <w:tc>
          <w:tcPr>
            <w:tcW w:w="756"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w:t>
            </w:r>
          </w:p>
        </w:tc>
        <w:tc>
          <w:tcPr>
            <w:tcW w:w="756"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w:t>
            </w:r>
          </w:p>
        </w:tc>
        <w:tc>
          <w:tcPr>
            <w:tcW w:w="756"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w:t>
            </w:r>
          </w:p>
        </w:tc>
        <w:tc>
          <w:tcPr>
            <w:tcW w:w="758"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w:t>
            </w:r>
          </w:p>
        </w:tc>
        <w:tc>
          <w:tcPr>
            <w:tcW w:w="756"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w:t>
            </w:r>
          </w:p>
        </w:tc>
        <w:tc>
          <w:tcPr>
            <w:tcW w:w="756"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w:t>
            </w:r>
          </w:p>
        </w:tc>
        <w:tc>
          <w:tcPr>
            <w:tcW w:w="36" w:type="dxa"/>
            <w:vAlign w:val="center"/>
          </w:tcPr>
          <w:p>
            <w:pPr>
              <w:widowControl/>
              <w:jc w:val="left"/>
              <w:rPr>
                <w:rFonts w:eastAsia="Times New Roman"/>
                <w:color w:val="000000"/>
                <w:kern w:val="0"/>
                <w:sz w:val="20"/>
                <w:szCs w:val="20"/>
              </w:rPr>
            </w:pPr>
          </w:p>
        </w:tc>
      </w:tr>
      <w:tr>
        <w:tblPrEx>
          <w:tblCellMar>
            <w:top w:w="0" w:type="dxa"/>
            <w:left w:w="108" w:type="dxa"/>
            <w:bottom w:w="0" w:type="dxa"/>
            <w:right w:w="108" w:type="dxa"/>
          </w:tblCellMar>
        </w:tblPrEx>
        <w:trPr>
          <w:trHeight w:val="285" w:hRule="atLeast"/>
          <w:jc w:val="center"/>
        </w:trPr>
        <w:tc>
          <w:tcPr>
            <w:tcW w:w="1075"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rPr>
            </w:pPr>
          </w:p>
        </w:tc>
        <w:tc>
          <w:tcPr>
            <w:tcW w:w="757"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rPr>
            </w:pPr>
          </w:p>
        </w:tc>
        <w:tc>
          <w:tcPr>
            <w:tcW w:w="757"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rPr>
            </w:pPr>
          </w:p>
        </w:tc>
        <w:tc>
          <w:tcPr>
            <w:tcW w:w="757"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rPr>
            </w:pPr>
          </w:p>
        </w:tc>
        <w:tc>
          <w:tcPr>
            <w:tcW w:w="756"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rPr>
            </w:pPr>
          </w:p>
        </w:tc>
        <w:tc>
          <w:tcPr>
            <w:tcW w:w="756"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rPr>
            </w:pPr>
          </w:p>
        </w:tc>
        <w:tc>
          <w:tcPr>
            <w:tcW w:w="756"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rPr>
            </w:pPr>
          </w:p>
        </w:tc>
        <w:tc>
          <w:tcPr>
            <w:tcW w:w="758"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rPr>
            </w:pPr>
          </w:p>
        </w:tc>
        <w:tc>
          <w:tcPr>
            <w:tcW w:w="756"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rPr>
            </w:pPr>
          </w:p>
        </w:tc>
        <w:tc>
          <w:tcPr>
            <w:tcW w:w="756"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rPr>
            </w:pPr>
          </w:p>
        </w:tc>
        <w:tc>
          <w:tcPr>
            <w:tcW w:w="36" w:type="dxa"/>
            <w:tcBorders>
              <w:top w:val="nil"/>
              <w:left w:val="nil"/>
              <w:bottom w:val="nil"/>
              <w:right w:val="nil"/>
            </w:tcBorders>
            <w:noWrap/>
            <w:vAlign w:val="bottom"/>
          </w:tcPr>
          <w:p>
            <w:pPr>
              <w:widowControl/>
              <w:jc w:val="center"/>
              <w:rPr>
                <w:rFonts w:ascii="等线" w:hAnsi="等线" w:eastAsia="等线" w:cs="宋体"/>
                <w:color w:val="000000"/>
                <w:kern w:val="0"/>
                <w:sz w:val="22"/>
              </w:rPr>
            </w:pPr>
          </w:p>
        </w:tc>
      </w:tr>
      <w:tr>
        <w:tblPrEx>
          <w:tblCellMar>
            <w:top w:w="0" w:type="dxa"/>
            <w:left w:w="108" w:type="dxa"/>
            <w:bottom w:w="0" w:type="dxa"/>
            <w:right w:w="108" w:type="dxa"/>
          </w:tblCellMar>
        </w:tblPrEx>
        <w:trPr>
          <w:trHeight w:val="270" w:hRule="atLeast"/>
          <w:jc w:val="center"/>
        </w:trPr>
        <w:tc>
          <w:tcPr>
            <w:tcW w:w="1075"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机架式</w:t>
            </w:r>
          </w:p>
        </w:tc>
        <w:tc>
          <w:tcPr>
            <w:tcW w:w="757"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w:t>
            </w:r>
          </w:p>
        </w:tc>
        <w:tc>
          <w:tcPr>
            <w:tcW w:w="757"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w:t>
            </w:r>
          </w:p>
        </w:tc>
        <w:tc>
          <w:tcPr>
            <w:tcW w:w="757"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w:t>
            </w:r>
          </w:p>
        </w:tc>
        <w:tc>
          <w:tcPr>
            <w:tcW w:w="756"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w:t>
            </w:r>
          </w:p>
        </w:tc>
        <w:tc>
          <w:tcPr>
            <w:tcW w:w="756"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w:t>
            </w:r>
          </w:p>
        </w:tc>
        <w:tc>
          <w:tcPr>
            <w:tcW w:w="756"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w:t>
            </w:r>
          </w:p>
        </w:tc>
        <w:tc>
          <w:tcPr>
            <w:tcW w:w="758"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w:t>
            </w:r>
          </w:p>
        </w:tc>
        <w:tc>
          <w:tcPr>
            <w:tcW w:w="756"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w:t>
            </w:r>
          </w:p>
        </w:tc>
        <w:tc>
          <w:tcPr>
            <w:tcW w:w="756" w:type="dxa"/>
            <w:vMerge w:val="restart"/>
            <w:tcBorders>
              <w:top w:val="nil"/>
              <w:left w:val="single" w:color="auto" w:sz="4" w:space="0"/>
              <w:bottom w:val="single" w:color="auto" w:sz="4" w:space="0"/>
              <w:right w:val="single" w:color="auto"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w:t>
            </w:r>
          </w:p>
        </w:tc>
        <w:tc>
          <w:tcPr>
            <w:tcW w:w="36" w:type="dxa"/>
            <w:vAlign w:val="center"/>
          </w:tcPr>
          <w:p>
            <w:pPr>
              <w:widowControl/>
              <w:jc w:val="left"/>
              <w:rPr>
                <w:rFonts w:eastAsia="Times New Roman"/>
                <w:color w:val="000000"/>
                <w:kern w:val="0"/>
                <w:sz w:val="20"/>
                <w:szCs w:val="20"/>
              </w:rPr>
            </w:pPr>
          </w:p>
        </w:tc>
      </w:tr>
      <w:tr>
        <w:tblPrEx>
          <w:tblCellMar>
            <w:top w:w="0" w:type="dxa"/>
            <w:left w:w="108" w:type="dxa"/>
            <w:bottom w:w="0" w:type="dxa"/>
            <w:right w:w="108" w:type="dxa"/>
          </w:tblCellMar>
        </w:tblPrEx>
        <w:trPr>
          <w:trHeight w:val="285" w:hRule="atLeast"/>
          <w:jc w:val="center"/>
        </w:trPr>
        <w:tc>
          <w:tcPr>
            <w:tcW w:w="1075"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rPr>
            </w:pPr>
          </w:p>
        </w:tc>
        <w:tc>
          <w:tcPr>
            <w:tcW w:w="757"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rPr>
            </w:pPr>
          </w:p>
        </w:tc>
        <w:tc>
          <w:tcPr>
            <w:tcW w:w="757"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rPr>
            </w:pPr>
          </w:p>
        </w:tc>
        <w:tc>
          <w:tcPr>
            <w:tcW w:w="757"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rPr>
            </w:pPr>
          </w:p>
        </w:tc>
        <w:tc>
          <w:tcPr>
            <w:tcW w:w="756"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rPr>
            </w:pPr>
          </w:p>
        </w:tc>
        <w:tc>
          <w:tcPr>
            <w:tcW w:w="756"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rPr>
            </w:pPr>
          </w:p>
        </w:tc>
        <w:tc>
          <w:tcPr>
            <w:tcW w:w="756"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rPr>
            </w:pPr>
          </w:p>
        </w:tc>
        <w:tc>
          <w:tcPr>
            <w:tcW w:w="758"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rPr>
            </w:pPr>
          </w:p>
        </w:tc>
        <w:tc>
          <w:tcPr>
            <w:tcW w:w="756"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rPr>
            </w:pPr>
          </w:p>
        </w:tc>
        <w:tc>
          <w:tcPr>
            <w:tcW w:w="756"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等线" w:eastAsia="等线" w:cs="宋体"/>
                <w:color w:val="000000"/>
                <w:kern w:val="0"/>
                <w:sz w:val="22"/>
              </w:rPr>
            </w:pPr>
          </w:p>
        </w:tc>
        <w:tc>
          <w:tcPr>
            <w:tcW w:w="36" w:type="dxa"/>
            <w:tcBorders>
              <w:top w:val="nil"/>
              <w:left w:val="nil"/>
              <w:bottom w:val="nil"/>
              <w:right w:val="nil"/>
            </w:tcBorders>
            <w:noWrap/>
            <w:vAlign w:val="bottom"/>
          </w:tcPr>
          <w:p>
            <w:pPr>
              <w:widowControl/>
              <w:jc w:val="center"/>
              <w:rPr>
                <w:rFonts w:ascii="等线" w:hAnsi="等线" w:eastAsia="等线" w:cs="宋体"/>
                <w:color w:val="000000"/>
                <w:kern w:val="0"/>
                <w:sz w:val="22"/>
              </w:rPr>
            </w:pPr>
          </w:p>
        </w:tc>
      </w:tr>
      <w:tr>
        <w:tblPrEx>
          <w:tblCellMar>
            <w:top w:w="0" w:type="dxa"/>
            <w:left w:w="108" w:type="dxa"/>
            <w:bottom w:w="0" w:type="dxa"/>
            <w:right w:w="108" w:type="dxa"/>
          </w:tblCellMar>
        </w:tblPrEx>
        <w:trPr>
          <w:trHeight w:val="270" w:hRule="atLeast"/>
          <w:jc w:val="center"/>
        </w:trPr>
        <w:tc>
          <w:tcPr>
            <w:tcW w:w="7884" w:type="dxa"/>
            <w:gridSpan w:val="10"/>
            <w:tcBorders>
              <w:top w:val="single" w:color="auto" w:sz="4" w:space="0"/>
              <w:left w:val="single" w:color="auto" w:sz="4" w:space="0"/>
              <w:bottom w:val="single" w:color="auto" w:sz="4" w:space="0"/>
              <w:right w:val="single" w:color="000000" w:sz="4" w:space="0"/>
            </w:tcBorders>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注：●为建议选择类型，○为可选择类型，—为不建议选择类型</w:t>
            </w:r>
          </w:p>
        </w:tc>
        <w:tc>
          <w:tcPr>
            <w:tcW w:w="36" w:type="dxa"/>
            <w:vAlign w:val="center"/>
          </w:tcPr>
          <w:p>
            <w:pPr>
              <w:widowControl/>
              <w:jc w:val="left"/>
              <w:rPr>
                <w:rFonts w:eastAsia="Times New Roman"/>
                <w:color w:val="000000"/>
                <w:kern w:val="0"/>
                <w:sz w:val="20"/>
                <w:szCs w:val="20"/>
              </w:rPr>
            </w:pPr>
          </w:p>
        </w:tc>
      </w:tr>
      <w:bookmarkEnd w:id="102"/>
      <w:bookmarkEnd w:id="103"/>
      <w:bookmarkEnd w:id="155"/>
    </w:tbl>
    <w:p>
      <w:pPr>
        <w:pStyle w:val="53"/>
        <w:numPr>
          <w:ilvl w:val="1"/>
          <w:numId w:val="20"/>
        </w:numPr>
        <w:spacing w:before="156" w:after="156"/>
        <w:outlineLvl w:val="1"/>
      </w:pPr>
      <w:bookmarkStart w:id="156" w:name="_Toc9155"/>
      <w:bookmarkStart w:id="157" w:name="_Toc95"/>
      <w:bookmarkStart w:id="158" w:name="_Toc21478"/>
      <w:bookmarkStart w:id="159" w:name="_Toc23860"/>
      <w:bookmarkStart w:id="160" w:name="_Toc510542230"/>
      <w:bookmarkStart w:id="161" w:name="_Toc510542172"/>
      <w:bookmarkStart w:id="162" w:name="_Toc510542231"/>
      <w:bookmarkStart w:id="163" w:name="_Toc510542173"/>
      <w:r>
        <w:rPr>
          <w:rFonts w:hint="eastAsia"/>
        </w:rPr>
        <w:t>编码标识</w:t>
      </w:r>
      <w:bookmarkEnd w:id="156"/>
      <w:bookmarkEnd w:id="157"/>
      <w:bookmarkEnd w:id="158"/>
    </w:p>
    <w:p>
      <w:pPr>
        <w:pStyle w:val="26"/>
        <w:numPr>
          <w:ilvl w:val="2"/>
          <w:numId w:val="20"/>
        </w:numPr>
        <w:tabs>
          <w:tab w:val="clear" w:pos="4201"/>
          <w:tab w:val="clear" w:pos="9298"/>
        </w:tabs>
        <w:ind w:firstLineChars="0"/>
        <w:jc w:val="left"/>
      </w:pPr>
      <w:r>
        <w:rPr>
          <w:rFonts w:hint="eastAsia"/>
        </w:rPr>
        <w:t>智慧灯杆系统内设备编码应在全网和整体系统中具有唯一性，编码规则可参考《数字化城市管理信息系统第1部分：单元网格》GB/T30428.1、《数字华城市管理信息系统第2部分：管理部件和事件》GB/T30428.2统一编码。</w:t>
      </w:r>
    </w:p>
    <w:p>
      <w:pPr>
        <w:pStyle w:val="26"/>
        <w:numPr>
          <w:ilvl w:val="2"/>
          <w:numId w:val="20"/>
        </w:numPr>
        <w:tabs>
          <w:tab w:val="clear" w:pos="4201"/>
          <w:tab w:val="clear" w:pos="9298"/>
        </w:tabs>
        <w:spacing w:before="156" w:beforeLines="50"/>
        <w:ind w:firstLineChars="0"/>
        <w:jc w:val="left"/>
      </w:pPr>
      <w:r>
        <w:rPr>
          <w:rFonts w:hint="eastAsia"/>
        </w:rPr>
        <w:t>智慧灯杆系统内设备编码规则应包括设备类型信息，以方便识别，设备编码位数应能承载亿级的设备数量，以保证每个设备编码在系统中能够达到唯一性。</w:t>
      </w:r>
    </w:p>
    <w:p>
      <w:pPr>
        <w:pStyle w:val="26"/>
        <w:numPr>
          <w:ilvl w:val="2"/>
          <w:numId w:val="20"/>
        </w:numPr>
        <w:tabs>
          <w:tab w:val="clear" w:pos="4201"/>
          <w:tab w:val="clear" w:pos="9298"/>
        </w:tabs>
        <w:spacing w:before="156" w:beforeLines="50"/>
        <w:ind w:firstLineChars="0"/>
        <w:jc w:val="left"/>
      </w:pPr>
      <w:r>
        <w:rPr>
          <w:rFonts w:hint="eastAsia"/>
        </w:rPr>
        <w:t>灯杆编号应包含地区、道路信息，以方便挂载设备能够通过灯杆编号快速定位到相应位置，可参考《数字化城市管理信息系统》GBT30428.1按以下规则统一编码：灯杆类型（1位）+区编码（1位）+道路编码（4位）+流水号（3位）。</w:t>
      </w:r>
    </w:p>
    <w:p>
      <w:pPr>
        <w:pStyle w:val="26"/>
      </w:pPr>
    </w:p>
    <w:p>
      <w:pPr>
        <w:pStyle w:val="85"/>
        <w:numPr>
          <w:ilvl w:val="0"/>
          <w:numId w:val="20"/>
        </w:numPr>
        <w:spacing w:before="312" w:after="312"/>
        <w:outlineLvl w:val="0"/>
      </w:pPr>
      <w:r>
        <w:rPr>
          <w:rFonts w:hint="eastAsia"/>
        </w:rPr>
        <w:br w:type="page"/>
      </w:r>
      <w:bookmarkStart w:id="164" w:name="_Toc21779"/>
      <w:bookmarkStart w:id="165" w:name="_Toc32487"/>
      <w:bookmarkStart w:id="166" w:name="_Toc17122"/>
      <w:bookmarkStart w:id="167" w:name="_Toc5411"/>
      <w:bookmarkStart w:id="168" w:name="_Toc31776"/>
      <w:bookmarkStart w:id="169" w:name="_Toc2221"/>
      <w:bookmarkStart w:id="170" w:name="_Toc20442"/>
      <w:bookmarkStart w:id="171" w:name="_Toc13753"/>
      <w:bookmarkStart w:id="172" w:name="_Toc3785"/>
      <w:r>
        <w:rPr>
          <w:rFonts w:hint="eastAsia"/>
        </w:rPr>
        <w:t>杆体</w:t>
      </w:r>
      <w:bookmarkEnd w:id="159"/>
      <w:bookmarkEnd w:id="164"/>
      <w:bookmarkEnd w:id="165"/>
      <w:bookmarkEnd w:id="166"/>
      <w:bookmarkEnd w:id="167"/>
      <w:bookmarkEnd w:id="168"/>
      <w:bookmarkEnd w:id="169"/>
      <w:bookmarkEnd w:id="170"/>
      <w:bookmarkEnd w:id="171"/>
      <w:bookmarkEnd w:id="172"/>
    </w:p>
    <w:p>
      <w:pPr>
        <w:pStyle w:val="53"/>
        <w:numPr>
          <w:ilvl w:val="1"/>
          <w:numId w:val="20"/>
        </w:numPr>
        <w:spacing w:before="156" w:after="156"/>
        <w:outlineLvl w:val="1"/>
      </w:pPr>
      <w:bookmarkStart w:id="173" w:name="_Toc5280"/>
      <w:bookmarkStart w:id="174" w:name="_Toc20515"/>
      <w:bookmarkStart w:id="175" w:name="_Toc3153"/>
      <w:bookmarkStart w:id="176" w:name="_Toc2589"/>
      <w:bookmarkStart w:id="177" w:name="_Toc29755"/>
      <w:bookmarkStart w:id="178" w:name="_Toc20132"/>
      <w:bookmarkStart w:id="179" w:name="_Toc17492"/>
      <w:bookmarkStart w:id="180" w:name="_Toc21021"/>
      <w:bookmarkStart w:id="181" w:name="_Toc9801"/>
      <w:bookmarkStart w:id="182" w:name="_Toc25861"/>
      <w:r>
        <w:rPr>
          <w:rFonts w:hint="eastAsia"/>
        </w:rPr>
        <w:t>总体要求</w:t>
      </w:r>
      <w:bookmarkEnd w:id="173"/>
      <w:bookmarkEnd w:id="174"/>
      <w:bookmarkEnd w:id="175"/>
      <w:bookmarkEnd w:id="176"/>
      <w:bookmarkEnd w:id="177"/>
      <w:bookmarkEnd w:id="178"/>
      <w:bookmarkEnd w:id="179"/>
      <w:bookmarkEnd w:id="180"/>
      <w:bookmarkEnd w:id="181"/>
      <w:bookmarkEnd w:id="182"/>
    </w:p>
    <w:p>
      <w:pPr>
        <w:pStyle w:val="26"/>
        <w:numPr>
          <w:ilvl w:val="2"/>
          <w:numId w:val="20"/>
        </w:numPr>
        <w:tabs>
          <w:tab w:val="clear" w:pos="0"/>
        </w:tabs>
        <w:ind w:firstLineChars="0"/>
        <w:rPr>
          <w:color w:val="000000"/>
          <w:szCs w:val="21"/>
        </w:rPr>
      </w:pPr>
      <w:bookmarkStart w:id="183" w:name="_Toc516382285"/>
      <w:r>
        <w:rPr>
          <w:rFonts w:hint="eastAsia"/>
          <w:color w:val="000000"/>
          <w:szCs w:val="21"/>
        </w:rPr>
        <w:t>智慧灯杆的设计应符</w:t>
      </w:r>
      <w:r>
        <w:rPr>
          <w:rFonts w:hint="eastAsia"/>
          <w:szCs w:val="21"/>
        </w:rPr>
        <w:t>合《灯杆：第一部分一般要求》QBT5093-1和《建筑结构可靠性设计统一标准》GB 50068中相关规定，使用年限应为25年，安全等级符合二级标准。</w:t>
      </w:r>
    </w:p>
    <w:p>
      <w:pPr>
        <w:pStyle w:val="26"/>
        <w:numPr>
          <w:ilvl w:val="2"/>
          <w:numId w:val="20"/>
        </w:numPr>
        <w:tabs>
          <w:tab w:val="clear" w:pos="0"/>
        </w:tabs>
        <w:ind w:firstLineChars="0"/>
        <w:rPr>
          <w:szCs w:val="21"/>
        </w:rPr>
      </w:pPr>
      <w:r>
        <w:rPr>
          <w:rFonts w:hint="eastAsia"/>
          <w:szCs w:val="21"/>
        </w:rPr>
        <w:t>智慧灯杆应参考现有路灯杆</w:t>
      </w:r>
      <w:r>
        <w:rPr>
          <w:szCs w:val="21"/>
        </w:rPr>
        <w:t>、监控杆</w:t>
      </w:r>
      <w:r>
        <w:rPr>
          <w:rFonts w:hint="eastAsia"/>
          <w:szCs w:val="21"/>
        </w:rPr>
        <w:t>、</w:t>
      </w:r>
      <w:r>
        <w:rPr>
          <w:szCs w:val="21"/>
        </w:rPr>
        <w:t>通信杆</w:t>
      </w:r>
      <w:r>
        <w:rPr>
          <w:rFonts w:hint="eastAsia"/>
          <w:szCs w:val="21"/>
        </w:rPr>
        <w:t>、交通杆等城市杆件标准进行设计，并综合考虑挂载设备的工作环境、安装空间、承重、整体安全性、稳定性、通信、用电等因素，技术参数指标需满足杆体所挂载设备正常工作需求。</w:t>
      </w:r>
    </w:p>
    <w:p>
      <w:pPr>
        <w:pStyle w:val="26"/>
        <w:numPr>
          <w:ilvl w:val="2"/>
          <w:numId w:val="20"/>
        </w:numPr>
        <w:tabs>
          <w:tab w:val="clear" w:pos="0"/>
        </w:tabs>
        <w:ind w:firstLineChars="0"/>
        <w:jc w:val="left"/>
        <w:rPr>
          <w:szCs w:val="21"/>
          <w:u w:val="single" w:color="4F81BD"/>
        </w:rPr>
      </w:pPr>
      <w:r>
        <w:rPr>
          <w:rFonts w:hint="eastAsia"/>
          <w:szCs w:val="21"/>
        </w:rPr>
        <w:t>智慧灯杆可在满足总体功能性指标设计前提下，根据应用环境（如城区主干道、次干道、公园等）和景观美化的要求进行外观设计，并严格控制非功能性反光、眩光材质使用；在进行智慧灯杆外观设计时宜采用符合江西地方特点的外观设计风格（如红色基因文化风格、绿色生态环保风格、青色陶瓷文化风格等）。</w:t>
      </w:r>
    </w:p>
    <w:bookmarkEnd w:id="183"/>
    <w:p>
      <w:pPr>
        <w:pStyle w:val="53"/>
        <w:numPr>
          <w:ilvl w:val="1"/>
          <w:numId w:val="20"/>
        </w:numPr>
        <w:spacing w:before="156" w:after="156"/>
        <w:outlineLvl w:val="1"/>
      </w:pPr>
      <w:bookmarkStart w:id="184" w:name="_Toc516577361"/>
      <w:bookmarkStart w:id="185" w:name="_Toc10467"/>
      <w:bookmarkStart w:id="186" w:name="_Toc18568"/>
      <w:bookmarkStart w:id="187" w:name="_Toc1292"/>
      <w:bookmarkStart w:id="188" w:name="_Toc10897"/>
      <w:bookmarkStart w:id="189" w:name="_Toc1617"/>
      <w:bookmarkStart w:id="190" w:name="_Toc14412"/>
      <w:bookmarkStart w:id="191" w:name="_Toc15030"/>
      <w:bookmarkStart w:id="192" w:name="_Toc4510"/>
      <w:bookmarkStart w:id="193" w:name="_Toc26621"/>
      <w:bookmarkStart w:id="194" w:name="_Toc18931"/>
      <w:r>
        <w:rPr>
          <w:rFonts w:hint="eastAsia"/>
        </w:rPr>
        <w:t>杆体高度</w:t>
      </w:r>
      <w:bookmarkEnd w:id="184"/>
      <w:r>
        <w:rPr>
          <w:rFonts w:hint="eastAsia"/>
        </w:rPr>
        <w:t>要求</w:t>
      </w:r>
      <w:bookmarkEnd w:id="185"/>
      <w:bookmarkEnd w:id="186"/>
      <w:bookmarkEnd w:id="187"/>
      <w:bookmarkEnd w:id="188"/>
      <w:bookmarkEnd w:id="189"/>
      <w:bookmarkEnd w:id="190"/>
      <w:bookmarkEnd w:id="191"/>
      <w:bookmarkEnd w:id="192"/>
      <w:bookmarkEnd w:id="193"/>
      <w:bookmarkEnd w:id="194"/>
    </w:p>
    <w:p>
      <w:pPr>
        <w:pStyle w:val="26"/>
        <w:numPr>
          <w:ilvl w:val="2"/>
          <w:numId w:val="20"/>
        </w:numPr>
        <w:tabs>
          <w:tab w:val="clear" w:pos="0"/>
        </w:tabs>
        <w:ind w:firstLineChars="0"/>
        <w:rPr>
          <w:szCs w:val="21"/>
        </w:rPr>
      </w:pPr>
      <w:r>
        <w:rPr>
          <w:rFonts w:hint="eastAsia"/>
          <w:szCs w:val="21"/>
        </w:rPr>
        <w:t>智慧灯杆的高度应充分考虑挂载设备的安装需求，并应符合《城市道路照明设计标准》CJJ 45规定。</w:t>
      </w:r>
    </w:p>
    <w:p>
      <w:pPr>
        <w:pStyle w:val="26"/>
        <w:numPr>
          <w:ilvl w:val="2"/>
          <w:numId w:val="20"/>
        </w:numPr>
        <w:tabs>
          <w:tab w:val="clear" w:pos="0"/>
        </w:tabs>
        <w:ind w:firstLineChars="0"/>
        <w:rPr>
          <w:szCs w:val="21"/>
        </w:rPr>
      </w:pPr>
      <w:r>
        <w:rPr>
          <w:rFonts w:hint="eastAsia"/>
          <w:szCs w:val="21"/>
        </w:rPr>
        <w:t>智慧灯杆的高度在满足挂载设备的安装需求前提下，应综合考虑周边环境、净空高度</w:t>
      </w:r>
      <w:r>
        <w:rPr>
          <w:rFonts w:hint="eastAsia"/>
          <w:color w:val="000000"/>
          <w:szCs w:val="21"/>
        </w:rPr>
        <w:t>等</w:t>
      </w:r>
      <w:r>
        <w:rPr>
          <w:rFonts w:hint="eastAsia"/>
          <w:szCs w:val="21"/>
        </w:rPr>
        <w:t>因素设计，以达到功能性和环境协调一致。</w:t>
      </w:r>
    </w:p>
    <w:p>
      <w:pPr>
        <w:pStyle w:val="53"/>
        <w:numPr>
          <w:ilvl w:val="1"/>
          <w:numId w:val="20"/>
        </w:numPr>
        <w:spacing w:before="156" w:after="156"/>
        <w:outlineLvl w:val="1"/>
      </w:pPr>
      <w:bookmarkStart w:id="195" w:name="_Toc30238"/>
      <w:bookmarkStart w:id="196" w:name="_Toc25388"/>
      <w:bookmarkStart w:id="197" w:name="_Toc28945"/>
      <w:bookmarkStart w:id="198" w:name="_Toc10535"/>
      <w:bookmarkStart w:id="199" w:name="_Toc19119"/>
      <w:bookmarkStart w:id="200" w:name="_Toc5848"/>
      <w:bookmarkStart w:id="201" w:name="_Toc20722"/>
      <w:bookmarkStart w:id="202" w:name="_Toc16006"/>
      <w:bookmarkStart w:id="203" w:name="_Toc6294"/>
      <w:bookmarkStart w:id="204" w:name="_Toc14923"/>
      <w:r>
        <w:rPr>
          <w:rFonts w:hint="eastAsia"/>
        </w:rPr>
        <w:t>杆体结构要求</w:t>
      </w:r>
      <w:bookmarkEnd w:id="195"/>
      <w:bookmarkEnd w:id="196"/>
      <w:bookmarkEnd w:id="197"/>
      <w:bookmarkEnd w:id="198"/>
      <w:bookmarkEnd w:id="199"/>
      <w:bookmarkEnd w:id="200"/>
      <w:bookmarkEnd w:id="201"/>
      <w:bookmarkEnd w:id="202"/>
      <w:bookmarkEnd w:id="203"/>
      <w:bookmarkEnd w:id="204"/>
    </w:p>
    <w:p>
      <w:pPr>
        <w:pStyle w:val="26"/>
        <w:numPr>
          <w:ilvl w:val="2"/>
          <w:numId w:val="20"/>
        </w:numPr>
        <w:tabs>
          <w:tab w:val="clear" w:pos="0"/>
        </w:tabs>
        <w:ind w:firstLineChars="0"/>
        <w:rPr>
          <w:color w:val="000000"/>
          <w:szCs w:val="21"/>
        </w:rPr>
      </w:pPr>
      <w:bookmarkStart w:id="205" w:name="_Hlk516739308"/>
      <w:r>
        <w:rPr>
          <w:rFonts w:hint="eastAsia"/>
          <w:color w:val="000000"/>
          <w:szCs w:val="21"/>
        </w:rPr>
        <w:t>智慧灯杆的结构设计应符合《高耸结构设计规范》GB 50135、《钢结构设计标准》GB 50017、《建筑物结构荷载规范》GB 50009等相关规范的规定。安装有交通设施的智慧灯杆，结构设计应符合《城市道路交通标志和标线设置规范》GB51038-2015、《道路交通信号灯设置与安装规范》GB14886-2016的相关规定。</w:t>
      </w:r>
    </w:p>
    <w:p>
      <w:pPr>
        <w:pStyle w:val="26"/>
        <w:numPr>
          <w:ilvl w:val="2"/>
          <w:numId w:val="20"/>
        </w:numPr>
        <w:tabs>
          <w:tab w:val="clear" w:pos="0"/>
        </w:tabs>
        <w:ind w:firstLineChars="0"/>
        <w:rPr>
          <w:rFonts w:cs="宋体"/>
          <w:color w:val="000000"/>
          <w:szCs w:val="21"/>
        </w:rPr>
      </w:pPr>
      <w:r>
        <w:rPr>
          <w:rFonts w:hint="eastAsia" w:cs="宋体"/>
          <w:color w:val="000000"/>
          <w:szCs w:val="21"/>
        </w:rPr>
        <w:t>智慧灯杆的地基基础设计应符合《高耸结构设计规范》GB 50135、《工程测量规范(附条文解释)》GB 50026、《建筑地基基础设计规范》GB 50007和《城市道路照明工程施工及验收规程》CJJ89的相关要求。</w:t>
      </w:r>
    </w:p>
    <w:p>
      <w:pPr>
        <w:pStyle w:val="26"/>
        <w:numPr>
          <w:ilvl w:val="2"/>
          <w:numId w:val="20"/>
        </w:numPr>
        <w:tabs>
          <w:tab w:val="clear" w:pos="0"/>
        </w:tabs>
        <w:ind w:firstLineChars="0"/>
        <w:rPr>
          <w:szCs w:val="21"/>
        </w:rPr>
      </w:pPr>
      <w:r>
        <w:rPr>
          <w:rFonts w:hint="eastAsia"/>
          <w:szCs w:val="21"/>
        </w:rPr>
        <w:t>智慧灯杆的材质选用应满足安全和功能要求，并保证足够的强度、刚度和稳定性，杆体</w:t>
      </w:r>
      <w:r>
        <w:rPr>
          <w:szCs w:val="21"/>
        </w:rPr>
        <w:t>厚度应</w:t>
      </w:r>
      <w:r>
        <w:rPr>
          <w:rFonts w:hint="eastAsia"/>
          <w:szCs w:val="21"/>
        </w:rPr>
        <w:t>综合</w:t>
      </w:r>
      <w:r>
        <w:rPr>
          <w:szCs w:val="21"/>
        </w:rPr>
        <w:t>考虑其</w:t>
      </w:r>
      <w:r>
        <w:rPr>
          <w:rFonts w:hint="eastAsia"/>
          <w:szCs w:val="21"/>
        </w:rPr>
        <w:t>高度</w:t>
      </w:r>
      <w:r>
        <w:rPr>
          <w:szCs w:val="21"/>
        </w:rPr>
        <w:t>、结构、</w:t>
      </w:r>
      <w:r>
        <w:rPr>
          <w:rFonts w:hint="eastAsia"/>
          <w:szCs w:val="21"/>
        </w:rPr>
        <w:t>荷载等因素</w:t>
      </w:r>
      <w:r>
        <w:rPr>
          <w:szCs w:val="21"/>
        </w:rPr>
        <w:t>进行测算</w:t>
      </w:r>
      <w:r>
        <w:rPr>
          <w:rFonts w:hint="eastAsia"/>
          <w:szCs w:val="21"/>
        </w:rPr>
        <w:t>。</w:t>
      </w:r>
    </w:p>
    <w:p>
      <w:pPr>
        <w:pStyle w:val="26"/>
        <w:numPr>
          <w:ilvl w:val="2"/>
          <w:numId w:val="20"/>
        </w:numPr>
        <w:tabs>
          <w:tab w:val="clear" w:pos="0"/>
        </w:tabs>
        <w:ind w:firstLineChars="0"/>
        <w:rPr>
          <w:szCs w:val="21"/>
        </w:rPr>
      </w:pPr>
      <w:r>
        <w:rPr>
          <w:rFonts w:hint="eastAsia"/>
          <w:szCs w:val="21"/>
        </w:rPr>
        <w:t>采用碳素结构钢、低合金结构钢或不锈钢时，钢材性能应符合《优质碳素结构钢》GB/T 699中第5章与第6章、《碳素结构钢》GB/T 700中第5章、《低合金高强度结构钢》GB/T 1591中第5章与第6章、《不锈钢棒》GB/T 1220中第6章与第7章的相关规定，钢结构智慧灯杆整体安全性验算及测试应符合《钢结构设计标准》GB 50017的相关要求；采用高强铝合金等新型材料时，应符合杆体强度及稳定性要求和相应的标准规定。</w:t>
      </w:r>
    </w:p>
    <w:p>
      <w:pPr>
        <w:pStyle w:val="26"/>
        <w:numPr>
          <w:ilvl w:val="2"/>
          <w:numId w:val="20"/>
        </w:numPr>
        <w:tabs>
          <w:tab w:val="clear" w:pos="0"/>
        </w:tabs>
        <w:ind w:firstLineChars="0"/>
        <w:rPr>
          <w:szCs w:val="21"/>
        </w:rPr>
      </w:pPr>
      <w:r>
        <w:rPr>
          <w:rFonts w:hint="eastAsia"/>
          <w:szCs w:val="21"/>
        </w:rPr>
        <w:t>碳素结构钢材质的杆体应采用热浸锌或热浸镀铝进行防腐处理，优先考虑热浸锌，可根据需要进行喷漆或喷塑；热浸锌应符合</w:t>
      </w:r>
      <w:bookmarkStart w:id="206" w:name="_Hlk515833198"/>
      <w:r>
        <w:rPr>
          <w:rFonts w:hint="eastAsia"/>
          <w:szCs w:val="21"/>
        </w:rPr>
        <w:t>《金属覆盖层 钢铁制件热浸镀锌层 技术要求及试验方法》GB/T</w:t>
      </w:r>
      <w:r>
        <w:rPr>
          <w:szCs w:val="21"/>
        </w:rPr>
        <w:t xml:space="preserve"> 13912</w:t>
      </w:r>
      <w:bookmarkEnd w:id="206"/>
      <w:r>
        <w:rPr>
          <w:rFonts w:hint="eastAsia"/>
          <w:szCs w:val="21"/>
        </w:rPr>
        <w:t>的</w:t>
      </w:r>
      <w:r>
        <w:rPr>
          <w:szCs w:val="21"/>
        </w:rPr>
        <w:t>相关</w:t>
      </w:r>
      <w:r>
        <w:rPr>
          <w:rFonts w:hint="eastAsia"/>
          <w:szCs w:val="21"/>
        </w:rPr>
        <w:t>规定；热浸镀铝应符合</w:t>
      </w:r>
      <w:bookmarkStart w:id="207" w:name="_Hlk515833205"/>
      <w:r>
        <w:rPr>
          <w:rFonts w:hint="eastAsia"/>
          <w:szCs w:val="21"/>
        </w:rPr>
        <w:t>《金属覆盖层 钢铁制品热浸镀铝 技术条件》GB/T</w:t>
      </w:r>
      <w:r>
        <w:rPr>
          <w:szCs w:val="21"/>
        </w:rPr>
        <w:t xml:space="preserve"> 18592</w:t>
      </w:r>
      <w:bookmarkEnd w:id="207"/>
      <w:r>
        <w:rPr>
          <w:rFonts w:hint="eastAsia"/>
          <w:szCs w:val="21"/>
        </w:rPr>
        <w:t>的相关规定；喷漆应符合</w:t>
      </w:r>
      <w:bookmarkStart w:id="208" w:name="_Hlk515833212"/>
      <w:r>
        <w:rPr>
          <w:rFonts w:hint="eastAsia"/>
          <w:szCs w:val="21"/>
        </w:rPr>
        <w:t>《灯具油漆涂层》QB</w:t>
      </w:r>
      <w:r>
        <w:rPr>
          <w:szCs w:val="21"/>
        </w:rPr>
        <w:t xml:space="preserve"> 1551</w:t>
      </w:r>
      <w:r>
        <w:rPr>
          <w:rFonts w:hint="eastAsia"/>
          <w:szCs w:val="21"/>
        </w:rPr>
        <w:t>的</w:t>
      </w:r>
      <w:r>
        <w:rPr>
          <w:szCs w:val="21"/>
        </w:rPr>
        <w:t>相关</w:t>
      </w:r>
      <w:r>
        <w:rPr>
          <w:rFonts w:hint="eastAsia"/>
          <w:szCs w:val="21"/>
        </w:rPr>
        <w:t>规定；喷塑应符合《</w:t>
      </w:r>
      <w:r>
        <w:fldChar w:fldCharType="begin"/>
      </w:r>
      <w:r>
        <w:instrText xml:space="preserve"> HYPERLINK "http://www.baidu.com/link?url=9cvCC167YPN0ykZxMhzojdAOXxGtxwKgGYG6WepnJLahMREXbu3tGPk9WsRtdJ5gXKX-CDqbwrjxcKm6g3KPRoVkcuabkV92jj48L6Lykev7YGJwnFznN9pmtXK4Ix7V" \t "https://www.baidu.com/_blank" </w:instrText>
      </w:r>
      <w:r>
        <w:fldChar w:fldCharType="separate"/>
      </w:r>
      <w:r>
        <w:rPr>
          <w:rFonts w:hint="eastAsia"/>
          <w:szCs w:val="21"/>
        </w:rPr>
        <w:t>钢门窗粉末静电喷涂涂层技术条件</w:t>
      </w:r>
      <w:r>
        <w:rPr>
          <w:rFonts w:hint="eastAsia"/>
          <w:szCs w:val="21"/>
        </w:rPr>
        <w:fldChar w:fldCharType="end"/>
      </w:r>
      <w:r>
        <w:rPr>
          <w:rFonts w:hint="eastAsia"/>
          <w:szCs w:val="21"/>
        </w:rPr>
        <w:t>》JG/T</w:t>
      </w:r>
      <w:r>
        <w:rPr>
          <w:szCs w:val="21"/>
        </w:rPr>
        <w:t xml:space="preserve"> 495</w:t>
      </w:r>
      <w:bookmarkEnd w:id="208"/>
      <w:r>
        <w:rPr>
          <w:rFonts w:hint="eastAsia"/>
          <w:szCs w:val="21"/>
        </w:rPr>
        <w:t>的相关规定。</w:t>
      </w:r>
    </w:p>
    <w:p>
      <w:pPr>
        <w:pStyle w:val="26"/>
        <w:numPr>
          <w:ilvl w:val="2"/>
          <w:numId w:val="20"/>
        </w:numPr>
        <w:tabs>
          <w:tab w:val="clear" w:pos="0"/>
        </w:tabs>
        <w:ind w:firstLineChars="0"/>
        <w:rPr>
          <w:szCs w:val="21"/>
        </w:rPr>
      </w:pPr>
      <w:r>
        <w:rPr>
          <w:rFonts w:hint="eastAsia"/>
          <w:szCs w:val="21"/>
        </w:rPr>
        <w:t>杆体采用内外表面热浸锌防腐处理时，应表面光洁、锌层均匀，无漏镀、起皮、流坠、锌瘤、斑点及阴阳面等缺陷；</w:t>
      </w:r>
      <w:r>
        <w:rPr>
          <w:rFonts w:hint="eastAsia" w:ascii="Times New Roman"/>
          <w:szCs w:val="21"/>
        </w:rPr>
        <w:t>经锤击试验锌层不剥离，不凸起，</w:t>
      </w:r>
      <w:r>
        <w:rPr>
          <w:rFonts w:hint="eastAsia"/>
          <w:szCs w:val="21"/>
        </w:rPr>
        <w:t>热浸锌完毕后宜进行钝化处理，</w:t>
      </w:r>
      <w:r>
        <w:rPr>
          <w:szCs w:val="21"/>
        </w:rPr>
        <w:t>48</w:t>
      </w:r>
      <w:r>
        <w:rPr>
          <w:rFonts w:hint="eastAsia"/>
          <w:szCs w:val="21"/>
        </w:rPr>
        <w:t>小时盐雾试验合格，保证杆件25年以上的防腐性能</w:t>
      </w:r>
      <w:bookmarkEnd w:id="205"/>
      <w:r>
        <w:rPr>
          <w:rFonts w:hint="eastAsia"/>
          <w:szCs w:val="21"/>
        </w:rPr>
        <w:t>。</w:t>
      </w:r>
    </w:p>
    <w:p>
      <w:pPr>
        <w:pStyle w:val="26"/>
        <w:numPr>
          <w:ilvl w:val="2"/>
          <w:numId w:val="20"/>
        </w:numPr>
        <w:tabs>
          <w:tab w:val="clear" w:pos="0"/>
        </w:tabs>
        <w:ind w:firstLineChars="0"/>
        <w:rPr>
          <w:szCs w:val="21"/>
        </w:rPr>
      </w:pPr>
      <w:r>
        <w:rPr>
          <w:rFonts w:hint="eastAsia"/>
          <w:szCs w:val="21"/>
        </w:rPr>
        <w:t>智慧灯杆各类绝缘件必须能够耐热、耐潮湿或污秽</w:t>
      </w:r>
      <w:r>
        <w:rPr>
          <w:szCs w:val="21"/>
        </w:rPr>
        <w:t>，</w:t>
      </w:r>
      <w:r>
        <w:rPr>
          <w:rFonts w:hint="eastAsia"/>
          <w:szCs w:val="21"/>
        </w:rPr>
        <w:t>支承、覆盖或包裹带电部分或导电部分（特别是在运行时可能出现电弧和按规定使用时出现特殊高温的受热件）的</w:t>
      </w:r>
      <w:r>
        <w:rPr>
          <w:szCs w:val="21"/>
        </w:rPr>
        <w:t>绝缘件</w:t>
      </w:r>
      <w:r>
        <w:rPr>
          <w:rFonts w:hint="eastAsia"/>
          <w:szCs w:val="21"/>
        </w:rPr>
        <w:t>不得由于受热等影响致使其安全性降低。</w:t>
      </w:r>
    </w:p>
    <w:p>
      <w:pPr>
        <w:pStyle w:val="26"/>
        <w:numPr>
          <w:ilvl w:val="2"/>
          <w:numId w:val="20"/>
        </w:numPr>
        <w:tabs>
          <w:tab w:val="clear" w:pos="0"/>
        </w:tabs>
        <w:ind w:firstLineChars="0"/>
        <w:jc w:val="left"/>
        <w:rPr>
          <w:szCs w:val="21"/>
        </w:rPr>
      </w:pPr>
      <w:r>
        <w:rPr>
          <w:rFonts w:hint="eastAsia"/>
          <w:szCs w:val="21"/>
        </w:rPr>
        <w:t>杆体</w:t>
      </w:r>
      <w:r>
        <w:rPr>
          <w:szCs w:val="21"/>
        </w:rPr>
        <w:t>上</w:t>
      </w:r>
      <w:r>
        <w:rPr>
          <w:rFonts w:hint="eastAsia"/>
          <w:szCs w:val="21"/>
        </w:rPr>
        <w:t>预留设备安装空间，内部预留穿线空间；智慧灯杆杆体内强弱电管线应釆取适当措施隔离，应符合《民用建筑电气设计标准》GB 51348防干扰和屏蔽要求。</w:t>
      </w:r>
    </w:p>
    <w:p>
      <w:pPr>
        <w:pStyle w:val="26"/>
        <w:numPr>
          <w:ilvl w:val="2"/>
          <w:numId w:val="20"/>
        </w:numPr>
        <w:tabs>
          <w:tab w:val="clear" w:pos="0"/>
        </w:tabs>
        <w:ind w:firstLineChars="0"/>
        <w:jc w:val="left"/>
        <w:rPr>
          <w:szCs w:val="21"/>
        </w:rPr>
      </w:pPr>
      <w:r>
        <w:rPr>
          <w:rFonts w:hint="eastAsia"/>
          <w:szCs w:val="21"/>
        </w:rPr>
        <w:t>智慧灯杆在设计上宜考虑在杆体2.5米以下部分进行防粘贴处理，防粘贴层宜采用无色透明材料。</w:t>
      </w:r>
    </w:p>
    <w:p>
      <w:pPr>
        <w:pStyle w:val="26"/>
        <w:numPr>
          <w:ilvl w:val="2"/>
          <w:numId w:val="20"/>
        </w:numPr>
        <w:tabs>
          <w:tab w:val="clear" w:pos="0"/>
        </w:tabs>
        <w:ind w:firstLineChars="0"/>
        <w:jc w:val="left"/>
        <w:rPr>
          <w:rStyle w:val="50"/>
          <w:rFonts w:ascii="黑体" w:hAnsi="黑体" w:eastAsia="黑体" w:cs="黑体"/>
          <w:szCs w:val="21"/>
        </w:rPr>
      </w:pPr>
      <w:r>
        <w:rPr>
          <w:rFonts w:hint="eastAsia"/>
          <w:szCs w:val="21"/>
        </w:rPr>
        <w:t>智慧灯杆底座应预留配套传输线缆引入口，根据本标准6.2和7.5.1要求敷设配套管线。</w:t>
      </w:r>
    </w:p>
    <w:p>
      <w:pPr>
        <w:pStyle w:val="26"/>
        <w:numPr>
          <w:ilvl w:val="2"/>
          <w:numId w:val="20"/>
        </w:numPr>
        <w:tabs>
          <w:tab w:val="clear" w:pos="0"/>
        </w:tabs>
        <w:ind w:firstLineChars="0"/>
        <w:rPr>
          <w:szCs w:val="21"/>
        </w:rPr>
      </w:pPr>
      <w:r>
        <w:rPr>
          <w:rFonts w:hint="eastAsia"/>
          <w:szCs w:val="21"/>
        </w:rPr>
        <w:t>杆体底座设备检修门开口应小于底座直径的4</w:t>
      </w:r>
      <w:r>
        <w:rPr>
          <w:szCs w:val="21"/>
        </w:rPr>
        <w:t>0%</w:t>
      </w:r>
      <w:r>
        <w:rPr>
          <w:rFonts w:hint="eastAsia"/>
          <w:szCs w:val="21"/>
        </w:rPr>
        <w:t>，检修门下缘应离地300mm以上，检修门宜安装智能门锁，锁具应安全可靠、简单易用。</w:t>
      </w:r>
    </w:p>
    <w:p>
      <w:pPr>
        <w:pStyle w:val="26"/>
        <w:numPr>
          <w:ilvl w:val="2"/>
          <w:numId w:val="20"/>
        </w:numPr>
        <w:tabs>
          <w:tab w:val="clear" w:pos="0"/>
        </w:tabs>
        <w:ind w:firstLineChars="0"/>
        <w:rPr>
          <w:szCs w:val="21"/>
        </w:rPr>
      </w:pPr>
      <w:r>
        <w:rPr>
          <w:rFonts w:hint="eastAsia"/>
          <w:szCs w:val="21"/>
        </w:rPr>
        <w:t>智慧灯杆的门孔布设应高于浸水范围，应做到防水防尘良好，门孔、接线端子特殊情况下应高位安装，避免发生门孔、接线端子被水浸没。</w:t>
      </w:r>
    </w:p>
    <w:p>
      <w:bookmarkStart w:id="209" w:name="_Toc1017"/>
      <w:bookmarkStart w:id="210" w:name="_Toc2333"/>
      <w:bookmarkStart w:id="211" w:name="_Toc13643"/>
      <w:bookmarkStart w:id="212" w:name="_Toc31671"/>
      <w:bookmarkStart w:id="213" w:name="_Toc29372"/>
      <w:bookmarkStart w:id="214" w:name="_Toc29731"/>
      <w:bookmarkStart w:id="215" w:name="_Toc20226"/>
      <w:bookmarkStart w:id="216" w:name="_Toc25146"/>
      <w:bookmarkStart w:id="217" w:name="_Toc15483"/>
      <w:bookmarkStart w:id="218" w:name="_Toc14229"/>
      <w:r>
        <w:rPr>
          <w:rFonts w:hint="eastAsia"/>
        </w:rPr>
        <w:br w:type="page"/>
      </w:r>
    </w:p>
    <w:p>
      <w:pPr>
        <w:pStyle w:val="53"/>
        <w:numPr>
          <w:ilvl w:val="1"/>
          <w:numId w:val="20"/>
        </w:numPr>
        <w:spacing w:before="156" w:after="156"/>
        <w:outlineLvl w:val="1"/>
      </w:pPr>
      <w:r>
        <w:rPr>
          <w:rFonts w:hint="eastAsia"/>
        </w:rPr>
        <w:t>设备安装位置</w:t>
      </w:r>
      <w:bookmarkEnd w:id="209"/>
      <w:bookmarkEnd w:id="210"/>
      <w:bookmarkEnd w:id="211"/>
      <w:bookmarkEnd w:id="212"/>
      <w:bookmarkEnd w:id="213"/>
      <w:bookmarkEnd w:id="214"/>
      <w:bookmarkEnd w:id="215"/>
      <w:bookmarkEnd w:id="216"/>
      <w:bookmarkEnd w:id="217"/>
      <w:bookmarkEnd w:id="218"/>
    </w:p>
    <w:p>
      <w:pPr>
        <w:pStyle w:val="26"/>
        <w:numPr>
          <w:ilvl w:val="2"/>
          <w:numId w:val="20"/>
        </w:numPr>
        <w:tabs>
          <w:tab w:val="clear" w:pos="0"/>
        </w:tabs>
        <w:ind w:firstLineChars="0"/>
        <w:rPr>
          <w:szCs w:val="21"/>
        </w:rPr>
      </w:pPr>
      <w:bookmarkStart w:id="219" w:name="_Hlk525852002"/>
      <w:bookmarkEnd w:id="219"/>
      <w:r>
        <w:rPr>
          <w:rFonts w:hint="eastAsia"/>
          <w:szCs w:val="21"/>
        </w:rPr>
        <w:t>智慧灯杆自下而上分为四层，第一层主要搭载充电桩、多媒体交互终端、一键呼叫等功能设备；第二层主要搭载视频采集、信息发布屏、特色主题艺术附挂、公共广播等功能设备；第三层主要搭载交通标志、交通信号灯、交通执法等功能设备；第四层主要搭载智慧照明、移动通信、环境监控、气象检测等功能设备。</w:t>
      </w:r>
    </w:p>
    <w:p>
      <w:pPr>
        <w:pStyle w:val="26"/>
        <w:numPr>
          <w:ilvl w:val="2"/>
          <w:numId w:val="20"/>
        </w:numPr>
        <w:tabs>
          <w:tab w:val="clear" w:pos="0"/>
        </w:tabs>
        <w:ind w:firstLineChars="0"/>
        <w:rPr>
          <w:szCs w:val="21"/>
        </w:rPr>
      </w:pPr>
      <w:r>
        <w:rPr>
          <w:rFonts w:hint="eastAsia"/>
          <w:szCs w:val="21"/>
        </w:rPr>
        <w:t>智慧灯杆挂载设备的安装位置可参考图</w:t>
      </w:r>
      <w:r>
        <w:rPr>
          <w:szCs w:val="21"/>
        </w:rPr>
        <w:t>4.4.2</w:t>
      </w:r>
      <w:r>
        <w:rPr>
          <w:rFonts w:hint="eastAsia"/>
          <w:szCs w:val="21"/>
        </w:rPr>
        <w:t>，具体安装位置应根据实际需求进行调整。</w:t>
      </w:r>
    </w:p>
    <w:p>
      <w:pPr>
        <w:pStyle w:val="26"/>
        <w:ind w:firstLine="0" w:firstLineChars="0"/>
        <w:jc w:val="center"/>
        <w:rPr>
          <w:color w:val="0000FF"/>
          <w:szCs w:val="21"/>
        </w:rPr>
      </w:pPr>
      <w:r>
        <w:rPr>
          <w:rFonts w:hint="eastAsia"/>
          <w:color w:val="0000FF"/>
          <w:szCs w:val="21"/>
        </w:rPr>
        <w:drawing>
          <wp:inline distT="0" distB="0" distL="0" distR="0">
            <wp:extent cx="1948180" cy="3800475"/>
            <wp:effectExtent l="0" t="0" r="13970" b="9525"/>
            <wp:docPr id="1" name="图片 29" descr="C:\Users\47296\Desktop\图片1V2.png图片1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9" descr="C:\Users\47296\Desktop\图片1V2.png图片1V2"/>
                    <pic:cNvPicPr>
                      <a:picLocks noChangeAspect="1" noChangeArrowheads="1"/>
                    </pic:cNvPicPr>
                  </pic:nvPicPr>
                  <pic:blipFill>
                    <a:blip r:embed="rId15" cstate="print"/>
                    <a:srcRect/>
                    <a:stretch>
                      <a:fillRect/>
                    </a:stretch>
                  </pic:blipFill>
                  <pic:spPr>
                    <a:xfrm>
                      <a:off x="0" y="0"/>
                      <a:ext cx="1948180" cy="3800475"/>
                    </a:xfrm>
                    <a:prstGeom prst="rect">
                      <a:avLst/>
                    </a:prstGeom>
                    <a:noFill/>
                    <a:ln w="9525" cmpd="sng">
                      <a:noFill/>
                      <a:miter lim="800000"/>
                      <a:headEnd/>
                      <a:tailEnd/>
                    </a:ln>
                  </pic:spPr>
                </pic:pic>
              </a:graphicData>
            </a:graphic>
          </wp:inline>
        </w:drawing>
      </w:r>
    </w:p>
    <w:p>
      <w:pPr>
        <w:pStyle w:val="144"/>
        <w:tabs>
          <w:tab w:val="left" w:pos="363"/>
        </w:tabs>
        <w:spacing w:before="156" w:after="156"/>
        <w:rPr>
          <w:color w:val="0000FF"/>
        </w:rPr>
      </w:pPr>
      <w:r>
        <w:rPr>
          <w:rFonts w:hint="eastAsia"/>
        </w:rPr>
        <w:t>图</w:t>
      </w:r>
      <w:r>
        <w:t xml:space="preserve">4.4.2 </w:t>
      </w:r>
      <w:r>
        <w:rPr>
          <w:rFonts w:hint="eastAsia"/>
        </w:rPr>
        <w:t>智慧灯杆挂载设备安装位置图</w:t>
      </w:r>
    </w:p>
    <w:p>
      <w:pPr>
        <w:pStyle w:val="53"/>
        <w:numPr>
          <w:ilvl w:val="1"/>
          <w:numId w:val="20"/>
        </w:numPr>
        <w:spacing w:before="156" w:after="156"/>
        <w:outlineLvl w:val="1"/>
      </w:pPr>
      <w:r>
        <w:rPr>
          <w:rFonts w:hint="eastAsia"/>
        </w:rPr>
        <w:br w:type="page"/>
      </w:r>
      <w:bookmarkStart w:id="220" w:name="_Toc12447"/>
      <w:bookmarkStart w:id="221" w:name="_Toc25658"/>
      <w:bookmarkStart w:id="222" w:name="_Toc28437"/>
      <w:bookmarkStart w:id="223" w:name="_Toc13194"/>
      <w:bookmarkStart w:id="224" w:name="_Toc7525"/>
      <w:bookmarkStart w:id="225" w:name="_Toc15463"/>
      <w:bookmarkStart w:id="226" w:name="_Toc22230"/>
      <w:bookmarkStart w:id="227" w:name="_Toc16158"/>
      <w:bookmarkStart w:id="228" w:name="_Toc17236"/>
      <w:bookmarkStart w:id="229" w:name="_Toc31049"/>
      <w:r>
        <w:rPr>
          <w:rFonts w:hint="eastAsia"/>
        </w:rPr>
        <w:t>杆体接口</w:t>
      </w:r>
      <w:bookmarkEnd w:id="220"/>
      <w:bookmarkEnd w:id="221"/>
      <w:bookmarkEnd w:id="222"/>
      <w:bookmarkEnd w:id="223"/>
      <w:bookmarkEnd w:id="224"/>
      <w:bookmarkEnd w:id="225"/>
      <w:bookmarkEnd w:id="226"/>
      <w:bookmarkEnd w:id="227"/>
      <w:bookmarkEnd w:id="228"/>
      <w:bookmarkEnd w:id="229"/>
    </w:p>
    <w:p>
      <w:pPr>
        <w:pStyle w:val="26"/>
        <w:numPr>
          <w:ilvl w:val="2"/>
          <w:numId w:val="20"/>
        </w:numPr>
        <w:tabs>
          <w:tab w:val="clear" w:pos="0"/>
        </w:tabs>
        <w:ind w:firstLineChars="0"/>
        <w:rPr>
          <w:rFonts w:hAnsi="Times New Roman"/>
          <w:szCs w:val="21"/>
        </w:rPr>
      </w:pPr>
      <w:r>
        <w:rPr>
          <w:rFonts w:hint="eastAsia" w:cs="宋体"/>
          <w:szCs w:val="21"/>
        </w:rPr>
        <w:t>基础杆在</w:t>
      </w:r>
      <w:r>
        <w:rPr>
          <w:rFonts w:hint="eastAsia" w:hAnsi="Times New Roman"/>
          <w:szCs w:val="21"/>
        </w:rPr>
        <w:t>设计</w:t>
      </w:r>
      <w:r>
        <w:rPr>
          <w:rFonts w:hAnsi="Times New Roman"/>
          <w:szCs w:val="21"/>
        </w:rPr>
        <w:t>上应充分考虑</w:t>
      </w:r>
      <w:r>
        <w:rPr>
          <w:rFonts w:hint="eastAsia" w:hAnsi="Times New Roman"/>
          <w:szCs w:val="21"/>
        </w:rPr>
        <w:t>功能设备</w:t>
      </w:r>
      <w:r>
        <w:rPr>
          <w:rFonts w:hAnsi="Times New Roman"/>
          <w:szCs w:val="21"/>
        </w:rPr>
        <w:t>的</w:t>
      </w:r>
      <w:r>
        <w:rPr>
          <w:rFonts w:hint="eastAsia" w:hAnsi="Times New Roman"/>
          <w:szCs w:val="21"/>
        </w:rPr>
        <w:t>可</w:t>
      </w:r>
      <w:r>
        <w:rPr>
          <w:rFonts w:hAnsi="Times New Roman"/>
          <w:szCs w:val="21"/>
        </w:rPr>
        <w:t>拓展性，</w:t>
      </w:r>
      <w:r>
        <w:rPr>
          <w:rFonts w:hint="eastAsia" w:hAnsi="Times New Roman"/>
          <w:szCs w:val="21"/>
        </w:rPr>
        <w:t>为挂载设备和配套设施预留接口，后期可在满足杆体荷载要求的条件下便捷加装、更换设备。</w:t>
      </w:r>
    </w:p>
    <w:p>
      <w:pPr>
        <w:pStyle w:val="26"/>
        <w:numPr>
          <w:ilvl w:val="2"/>
          <w:numId w:val="20"/>
        </w:numPr>
        <w:tabs>
          <w:tab w:val="clear" w:pos="0"/>
        </w:tabs>
        <w:ind w:firstLineChars="0"/>
        <w:jc w:val="left"/>
        <w:rPr>
          <w:rFonts w:hAnsi="Times New Roman"/>
          <w:szCs w:val="21"/>
        </w:rPr>
      </w:pPr>
      <w:r>
        <w:rPr>
          <w:rFonts w:hint="eastAsia" w:hAnsi="Times New Roman"/>
          <w:szCs w:val="21"/>
        </w:rPr>
        <w:t>预留孔宜呈圆形，预留孔的直径宜为30mm，如有特殊要求，根据实际情况调整。</w:t>
      </w:r>
    </w:p>
    <w:p>
      <w:pPr>
        <w:pStyle w:val="26"/>
        <w:numPr>
          <w:ilvl w:val="2"/>
          <w:numId w:val="20"/>
        </w:numPr>
        <w:tabs>
          <w:tab w:val="clear" w:pos="0"/>
        </w:tabs>
        <w:ind w:firstLineChars="0"/>
        <w:jc w:val="left"/>
        <w:rPr>
          <w:b/>
          <w:bCs/>
          <w:i/>
          <w:iCs/>
          <w:szCs w:val="21"/>
        </w:rPr>
      </w:pPr>
      <w:r>
        <w:rPr>
          <w:rFonts w:hint="eastAsia" w:hAnsi="Times New Roman"/>
          <w:szCs w:val="21"/>
        </w:rPr>
        <w:t>预留孔应打磨光滑，无毛刺、无锐边，匹配金属盖板并用螺丝紧固连接。</w:t>
      </w:r>
    </w:p>
    <w:p>
      <w:pPr>
        <w:pStyle w:val="26"/>
        <w:numPr>
          <w:ilvl w:val="2"/>
          <w:numId w:val="20"/>
        </w:numPr>
        <w:tabs>
          <w:tab w:val="clear" w:pos="0"/>
        </w:tabs>
        <w:ind w:firstLineChars="0"/>
        <w:jc w:val="left"/>
        <w:rPr>
          <w:color w:val="000000"/>
        </w:rPr>
      </w:pPr>
      <w:r>
        <w:rPr>
          <w:rFonts w:hint="eastAsia" w:hAnsi="Times New Roman"/>
          <w:color w:val="000000"/>
          <w:szCs w:val="21"/>
        </w:rPr>
        <w:t>挂载设备完成接线后，接线孔应进行防水密封处理。</w:t>
      </w:r>
    </w:p>
    <w:p>
      <w:pPr>
        <w:pStyle w:val="53"/>
        <w:numPr>
          <w:ilvl w:val="1"/>
          <w:numId w:val="20"/>
        </w:numPr>
        <w:tabs>
          <w:tab w:val="left" w:pos="420"/>
          <w:tab w:val="clear" w:pos="0"/>
        </w:tabs>
        <w:spacing w:before="156" w:after="156"/>
        <w:outlineLvl w:val="1"/>
      </w:pPr>
      <w:bookmarkStart w:id="230" w:name="_Toc17567"/>
      <w:bookmarkStart w:id="231" w:name="_Toc2117"/>
      <w:bookmarkStart w:id="232" w:name="_Toc11358"/>
      <w:bookmarkStart w:id="233" w:name="_Toc3917"/>
      <w:bookmarkStart w:id="234" w:name="_Toc32094"/>
      <w:bookmarkStart w:id="235" w:name="_Toc12562"/>
      <w:bookmarkStart w:id="236" w:name="_Toc2743"/>
      <w:bookmarkStart w:id="237" w:name="_Toc23525"/>
      <w:bookmarkStart w:id="238" w:name="_Toc29583"/>
      <w:bookmarkStart w:id="239" w:name="_Toc32498"/>
      <w:r>
        <w:rPr>
          <w:rFonts w:hint="eastAsia"/>
        </w:rPr>
        <w:t>安全设计要求</w:t>
      </w:r>
      <w:bookmarkEnd w:id="230"/>
      <w:bookmarkEnd w:id="231"/>
      <w:bookmarkEnd w:id="232"/>
      <w:bookmarkEnd w:id="233"/>
      <w:bookmarkEnd w:id="234"/>
      <w:bookmarkEnd w:id="235"/>
      <w:bookmarkEnd w:id="236"/>
      <w:bookmarkEnd w:id="237"/>
      <w:bookmarkEnd w:id="238"/>
      <w:bookmarkEnd w:id="239"/>
    </w:p>
    <w:p>
      <w:pPr>
        <w:pStyle w:val="52"/>
        <w:numPr>
          <w:ilvl w:val="2"/>
          <w:numId w:val="20"/>
        </w:numPr>
        <w:tabs>
          <w:tab w:val="left" w:pos="420"/>
          <w:tab w:val="clear" w:pos="0"/>
        </w:tabs>
        <w:spacing w:before="156" w:after="156"/>
        <w:outlineLvl w:val="2"/>
      </w:pPr>
      <w:bookmarkStart w:id="240" w:name="_Toc431"/>
      <w:bookmarkStart w:id="241" w:name="_Toc14179"/>
      <w:bookmarkStart w:id="242" w:name="_Toc31606"/>
      <w:bookmarkStart w:id="243" w:name="_Toc641"/>
      <w:bookmarkStart w:id="244" w:name="_Toc6446"/>
      <w:bookmarkStart w:id="245" w:name="_Toc26203"/>
      <w:bookmarkStart w:id="246" w:name="_Toc18456"/>
      <w:bookmarkStart w:id="247" w:name="_Toc30693"/>
      <w:bookmarkStart w:id="248" w:name="_Toc14633"/>
      <w:bookmarkStart w:id="249" w:name="_Toc8643"/>
      <w:r>
        <w:rPr>
          <w:rFonts w:hint="eastAsia"/>
        </w:rPr>
        <w:t>环境安全</w:t>
      </w:r>
      <w:bookmarkEnd w:id="240"/>
      <w:bookmarkEnd w:id="241"/>
      <w:bookmarkEnd w:id="242"/>
      <w:bookmarkEnd w:id="243"/>
      <w:bookmarkEnd w:id="244"/>
      <w:bookmarkEnd w:id="245"/>
      <w:bookmarkEnd w:id="246"/>
      <w:bookmarkEnd w:id="247"/>
      <w:bookmarkEnd w:id="248"/>
      <w:bookmarkEnd w:id="249"/>
    </w:p>
    <w:p>
      <w:pPr>
        <w:pStyle w:val="26"/>
        <w:numPr>
          <w:ilvl w:val="3"/>
          <w:numId w:val="20"/>
        </w:numPr>
        <w:ind w:firstLineChars="0"/>
        <w:rPr>
          <w:szCs w:val="21"/>
        </w:rPr>
      </w:pPr>
      <w:r>
        <w:rPr>
          <w:rFonts w:hint="eastAsia"/>
          <w:szCs w:val="21"/>
        </w:rPr>
        <w:t>温度应至少能够在-</w:t>
      </w:r>
      <w:r>
        <w:rPr>
          <w:szCs w:val="21"/>
        </w:rPr>
        <w:t>20</w:t>
      </w:r>
      <w:r>
        <w:rPr>
          <w:rFonts w:hint="eastAsia"/>
          <w:szCs w:val="21"/>
        </w:rPr>
        <w:t>~</w:t>
      </w:r>
      <w:r>
        <w:rPr>
          <w:szCs w:val="21"/>
        </w:rPr>
        <w:t>75</w:t>
      </w:r>
      <w:r>
        <w:rPr>
          <w:rFonts w:hint="eastAsia"/>
          <w:szCs w:val="21"/>
        </w:rPr>
        <w:t>℃环境下</w:t>
      </w:r>
      <w:r>
        <w:rPr>
          <w:szCs w:val="21"/>
        </w:rPr>
        <w:t>正常</w:t>
      </w:r>
      <w:r>
        <w:rPr>
          <w:rFonts w:hint="eastAsia"/>
          <w:szCs w:val="21"/>
        </w:rPr>
        <w:t>工作。</w:t>
      </w:r>
    </w:p>
    <w:p>
      <w:pPr>
        <w:pStyle w:val="26"/>
        <w:numPr>
          <w:ilvl w:val="3"/>
          <w:numId w:val="20"/>
        </w:numPr>
        <w:ind w:firstLineChars="0"/>
        <w:rPr>
          <w:szCs w:val="21"/>
        </w:rPr>
      </w:pPr>
      <w:r>
        <w:rPr>
          <w:rFonts w:hint="eastAsia"/>
          <w:szCs w:val="21"/>
        </w:rPr>
        <w:t>湿度应</w:t>
      </w:r>
      <w:r>
        <w:rPr>
          <w:szCs w:val="21"/>
        </w:rPr>
        <w:t>至少</w:t>
      </w:r>
      <w:r>
        <w:rPr>
          <w:rFonts w:hint="eastAsia"/>
          <w:szCs w:val="21"/>
        </w:rPr>
        <w:t>能在相对湿度≤95%环境</w:t>
      </w:r>
      <w:r>
        <w:rPr>
          <w:szCs w:val="21"/>
        </w:rPr>
        <w:t>下正常工作</w:t>
      </w:r>
      <w:r>
        <w:rPr>
          <w:rFonts w:hint="eastAsia"/>
          <w:szCs w:val="21"/>
        </w:rPr>
        <w:t>。</w:t>
      </w:r>
    </w:p>
    <w:p>
      <w:pPr>
        <w:pStyle w:val="26"/>
        <w:numPr>
          <w:ilvl w:val="3"/>
          <w:numId w:val="20"/>
        </w:numPr>
        <w:ind w:firstLineChars="0"/>
        <w:rPr>
          <w:szCs w:val="21"/>
        </w:rPr>
      </w:pPr>
      <w:r>
        <w:rPr>
          <w:rFonts w:hint="eastAsia"/>
          <w:szCs w:val="21"/>
        </w:rPr>
        <w:t>杆体防水防尘性应不低于</w:t>
      </w:r>
      <w:r>
        <w:rPr>
          <w:szCs w:val="21"/>
        </w:rPr>
        <w:t>IP</w:t>
      </w:r>
      <w:r>
        <w:rPr>
          <w:rFonts w:hint="eastAsia"/>
          <w:szCs w:val="21"/>
        </w:rPr>
        <w:t>54，并符合</w:t>
      </w:r>
      <w:bookmarkStart w:id="250" w:name="_Hlk515833158"/>
      <w:r>
        <w:rPr>
          <w:rFonts w:hint="eastAsia"/>
          <w:szCs w:val="21"/>
        </w:rPr>
        <w:t>《外壳防护等级（IP代码）》GB</w:t>
      </w:r>
      <w:r>
        <w:rPr>
          <w:szCs w:val="21"/>
        </w:rPr>
        <w:t xml:space="preserve">/T </w:t>
      </w:r>
      <w:r>
        <w:rPr>
          <w:rFonts w:hint="eastAsia"/>
          <w:szCs w:val="21"/>
        </w:rPr>
        <w:t>4208</w:t>
      </w:r>
      <w:bookmarkEnd w:id="250"/>
      <w:r>
        <w:rPr>
          <w:rFonts w:hint="eastAsia"/>
          <w:szCs w:val="21"/>
        </w:rPr>
        <w:t>中</w:t>
      </w:r>
      <w:r>
        <w:rPr>
          <w:szCs w:val="21"/>
        </w:rPr>
        <w:t>相关</w:t>
      </w:r>
      <w:r>
        <w:rPr>
          <w:rFonts w:hint="eastAsia"/>
          <w:szCs w:val="21"/>
        </w:rPr>
        <w:t>规定。</w:t>
      </w:r>
    </w:p>
    <w:p>
      <w:pPr>
        <w:pStyle w:val="26"/>
        <w:numPr>
          <w:ilvl w:val="3"/>
          <w:numId w:val="20"/>
        </w:numPr>
        <w:ind w:firstLineChars="0"/>
        <w:rPr>
          <w:szCs w:val="21"/>
        </w:rPr>
      </w:pPr>
      <w:r>
        <w:rPr>
          <w:rFonts w:hint="eastAsia"/>
          <w:szCs w:val="21"/>
        </w:rPr>
        <w:t>抗震性应符合《建筑抗震设计规范》GB50011中的相关规定，</w:t>
      </w:r>
      <w:r>
        <w:rPr>
          <w:rFonts w:hint="eastAsia"/>
          <w:color w:val="000000"/>
          <w:szCs w:val="21"/>
        </w:rPr>
        <w:t>安远县、会昌县、寻乌县和瑞金市抗震设防烈度7度,设计的基本地震加速度0.10g，省内其它地区抗震设防烈度6度,设计的基本地震加速度0.05g，地震分组为第1组。</w:t>
      </w:r>
    </w:p>
    <w:p>
      <w:pPr>
        <w:pStyle w:val="26"/>
        <w:numPr>
          <w:ilvl w:val="3"/>
          <w:numId w:val="20"/>
        </w:numPr>
        <w:ind w:firstLineChars="0"/>
        <w:rPr>
          <w:szCs w:val="21"/>
        </w:rPr>
      </w:pPr>
      <w:r>
        <w:rPr>
          <w:rFonts w:hint="eastAsia"/>
          <w:szCs w:val="21"/>
        </w:rPr>
        <w:t>防腐性应至少</w:t>
      </w:r>
      <w:r>
        <w:rPr>
          <w:szCs w:val="21"/>
        </w:rPr>
        <w:t>能</w:t>
      </w:r>
      <w:r>
        <w:rPr>
          <w:rFonts w:hint="eastAsia"/>
          <w:szCs w:val="21"/>
        </w:rPr>
        <w:t>在盐雾≤5%Nacl环境下</w:t>
      </w:r>
      <w:r>
        <w:rPr>
          <w:szCs w:val="21"/>
        </w:rPr>
        <w:t>正常工作</w:t>
      </w:r>
      <w:r>
        <w:rPr>
          <w:rFonts w:hint="eastAsia"/>
          <w:szCs w:val="21"/>
        </w:rPr>
        <w:t>。</w:t>
      </w:r>
    </w:p>
    <w:p>
      <w:pPr>
        <w:pStyle w:val="52"/>
        <w:numPr>
          <w:ilvl w:val="2"/>
          <w:numId w:val="20"/>
        </w:numPr>
        <w:tabs>
          <w:tab w:val="left" w:pos="420"/>
          <w:tab w:val="clear" w:pos="0"/>
        </w:tabs>
        <w:spacing w:before="156" w:after="156"/>
        <w:outlineLvl w:val="2"/>
      </w:pPr>
      <w:bookmarkStart w:id="251" w:name="_Toc25331"/>
      <w:bookmarkStart w:id="252" w:name="_Toc27923"/>
      <w:bookmarkStart w:id="253" w:name="_Toc11573"/>
      <w:bookmarkStart w:id="254" w:name="_Toc29643"/>
      <w:bookmarkStart w:id="255" w:name="_Toc32623"/>
      <w:bookmarkStart w:id="256" w:name="_Toc13585"/>
      <w:bookmarkStart w:id="257" w:name="_Toc9689"/>
      <w:bookmarkStart w:id="258" w:name="_Toc3881"/>
      <w:bookmarkStart w:id="259" w:name="_Toc15242"/>
      <w:bookmarkStart w:id="260" w:name="_Toc4434"/>
      <w:r>
        <w:rPr>
          <w:rFonts w:hint="eastAsia"/>
        </w:rPr>
        <w:t>荷载要求</w:t>
      </w:r>
      <w:bookmarkEnd w:id="251"/>
      <w:bookmarkEnd w:id="252"/>
      <w:bookmarkEnd w:id="253"/>
      <w:bookmarkEnd w:id="254"/>
      <w:bookmarkEnd w:id="255"/>
      <w:bookmarkEnd w:id="256"/>
      <w:bookmarkEnd w:id="257"/>
      <w:bookmarkEnd w:id="258"/>
      <w:bookmarkEnd w:id="259"/>
      <w:bookmarkEnd w:id="260"/>
    </w:p>
    <w:p>
      <w:pPr>
        <w:pStyle w:val="26"/>
        <w:numPr>
          <w:ilvl w:val="3"/>
          <w:numId w:val="20"/>
        </w:numPr>
        <w:ind w:firstLineChars="0"/>
        <w:rPr>
          <w:color w:val="000000"/>
          <w:szCs w:val="21"/>
        </w:rPr>
      </w:pPr>
      <w:r>
        <w:rPr>
          <w:rFonts w:hint="eastAsia" w:cs="宋体"/>
          <w:color w:val="000000"/>
          <w:szCs w:val="21"/>
        </w:rPr>
        <w:t>智慧灯杆的抗风设计应根据《建筑结构荷载规范》GB 50009中第8章的相关规定进行测算，底座、杆体、悬臂、设备及其连接配件等在风压组合值作用下的最大应力应小于材料强度设计值。</w:t>
      </w:r>
      <w:r>
        <w:rPr>
          <w:rFonts w:hint="eastAsia"/>
          <w:szCs w:val="21"/>
        </w:rPr>
        <w:t>灯杆荷载应考虑实际安装设备种类及扩容性。</w:t>
      </w:r>
    </w:p>
    <w:p>
      <w:pPr>
        <w:pStyle w:val="26"/>
        <w:numPr>
          <w:ilvl w:val="3"/>
          <w:numId w:val="20"/>
        </w:numPr>
        <w:ind w:firstLineChars="0"/>
        <w:rPr>
          <w:szCs w:val="21"/>
        </w:rPr>
      </w:pPr>
      <w:r>
        <w:rPr>
          <w:rFonts w:hint="eastAsia"/>
          <w:szCs w:val="21"/>
        </w:rPr>
        <w:t>计算主要受力结构时，应按下式计算：</w:t>
      </w:r>
    </w:p>
    <w:p>
      <w:pPr>
        <w:ind w:left="360"/>
        <w:jc w:val="center"/>
        <w:rPr>
          <w:rFonts w:ascii="Calibri" w:hAnsi="Calibri"/>
          <w:i/>
          <w:iCs/>
          <w:szCs w:val="21"/>
          <w:vertAlign w:val="subscript"/>
        </w:rPr>
      </w:pPr>
      <w:r>
        <w:rPr>
          <w:rFonts w:hint="eastAsia"/>
          <w:i/>
          <w:iCs/>
          <w:szCs w:val="21"/>
        </w:rPr>
        <w:t>w</w:t>
      </w:r>
      <w:r>
        <w:rPr>
          <w:i/>
          <w:iCs/>
          <w:szCs w:val="21"/>
          <w:vertAlign w:val="subscript"/>
        </w:rPr>
        <w:t>k</w:t>
      </w:r>
      <w:r>
        <w:rPr>
          <w:rFonts w:ascii="Calibri" w:hAnsi="Calibri"/>
          <w:i/>
          <w:iCs/>
          <w:szCs w:val="21"/>
        </w:rPr>
        <w:t>=</w:t>
      </w:r>
      <w:r>
        <w:rPr>
          <w:rFonts w:hint="eastAsia" w:ascii="Calibri" w:hAnsi="Calibri"/>
          <w:i/>
          <w:iCs/>
          <w:szCs w:val="21"/>
        </w:rPr>
        <w:t>β</w:t>
      </w:r>
      <w:r>
        <w:rPr>
          <w:rFonts w:hint="eastAsia" w:ascii="Calibri" w:hAnsi="Calibri"/>
          <w:i/>
          <w:iCs/>
          <w:szCs w:val="21"/>
          <w:vertAlign w:val="subscript"/>
        </w:rPr>
        <w:t>z</w:t>
      </w:r>
      <w:r>
        <w:rPr>
          <w:rFonts w:hint="eastAsia" w:ascii="Calibri" w:hAnsi="Calibri"/>
          <w:i/>
          <w:iCs/>
          <w:szCs w:val="21"/>
        </w:rPr>
        <w:t>μ</w:t>
      </w:r>
      <w:r>
        <w:rPr>
          <w:rFonts w:hint="eastAsia" w:ascii="Calibri" w:hAnsi="Calibri"/>
          <w:i/>
          <w:iCs/>
          <w:szCs w:val="21"/>
          <w:vertAlign w:val="subscript"/>
        </w:rPr>
        <w:t>s</w:t>
      </w:r>
      <w:r>
        <w:rPr>
          <w:rFonts w:hint="eastAsia" w:ascii="Calibri" w:hAnsi="Calibri"/>
          <w:i/>
          <w:iCs/>
          <w:szCs w:val="21"/>
        </w:rPr>
        <w:t>μ</w:t>
      </w:r>
      <w:r>
        <w:rPr>
          <w:rFonts w:hint="eastAsia" w:ascii="Calibri" w:hAnsi="Calibri"/>
          <w:i/>
          <w:iCs/>
          <w:szCs w:val="21"/>
          <w:vertAlign w:val="subscript"/>
        </w:rPr>
        <w:t>z</w:t>
      </w:r>
      <w:r>
        <w:rPr>
          <w:i/>
          <w:iCs/>
          <w:szCs w:val="21"/>
        </w:rPr>
        <w:t>w</w:t>
      </w:r>
      <w:r>
        <w:rPr>
          <w:i/>
          <w:iCs/>
          <w:szCs w:val="21"/>
          <w:vertAlign w:val="subscript"/>
        </w:rPr>
        <w:t>0</w:t>
      </w:r>
    </w:p>
    <w:p>
      <w:pPr>
        <w:pStyle w:val="26"/>
        <w:numPr>
          <w:ilvl w:val="3"/>
          <w:numId w:val="20"/>
        </w:numPr>
        <w:tabs>
          <w:tab w:val="left" w:pos="0"/>
        </w:tabs>
        <w:ind w:firstLineChars="0"/>
      </w:pPr>
      <w:r>
        <w:rPr>
          <w:rFonts w:hint="eastAsia"/>
        </w:rPr>
        <w:t>如挂载设备对偏转角有要求，需进行偏转角验算。</w:t>
      </w:r>
    </w:p>
    <w:p>
      <w:pPr>
        <w:pStyle w:val="26"/>
        <w:numPr>
          <w:ilvl w:val="3"/>
          <w:numId w:val="20"/>
        </w:numPr>
        <w:tabs>
          <w:tab w:val="left" w:pos="0"/>
        </w:tabs>
        <w:ind w:firstLineChars="0"/>
      </w:pPr>
      <w:r>
        <w:rPr>
          <w:rFonts w:hint="eastAsia"/>
        </w:rPr>
        <w:t>基本风压系数应符合附录E</w:t>
      </w:r>
      <w:r>
        <w:t xml:space="preserve"> </w:t>
      </w:r>
      <w:r>
        <w:rPr>
          <w:rFonts w:hint="eastAsia"/>
        </w:rPr>
        <w:t>江西省主要城市风压基本值的规定，杆体抗风设计相关参数见表</w:t>
      </w:r>
      <w:r>
        <w:t>4.6.2.4</w:t>
      </w:r>
      <w:r>
        <w:rPr>
          <w:rFonts w:hint="eastAsia"/>
        </w:rPr>
        <w:t>。</w:t>
      </w:r>
    </w:p>
    <w:p>
      <w:pPr>
        <w:rPr>
          <w:szCs w:val="21"/>
        </w:rPr>
      </w:pPr>
      <w:r>
        <w:rPr>
          <w:rFonts w:hint="eastAsia"/>
          <w:szCs w:val="21"/>
        </w:rPr>
        <w:br w:type="page"/>
      </w:r>
    </w:p>
    <w:p>
      <w:pPr>
        <w:pStyle w:val="26"/>
        <w:ind w:firstLine="0" w:firstLineChars="0"/>
        <w:jc w:val="center"/>
        <w:rPr>
          <w:szCs w:val="21"/>
        </w:rPr>
      </w:pPr>
      <w:r>
        <w:rPr>
          <w:rFonts w:hint="eastAsia"/>
          <w:szCs w:val="21"/>
        </w:rPr>
        <w:t>表</w:t>
      </w:r>
      <w:r>
        <w:t>4.6.2.4</w:t>
      </w:r>
      <w:r>
        <w:rPr>
          <w:rFonts w:hint="eastAsia"/>
          <w:szCs w:val="21"/>
        </w:rPr>
        <w:t xml:space="preserve"> 杆体抗风设计参数</w:t>
      </w:r>
    </w:p>
    <w:tbl>
      <w:tblPr>
        <w:tblStyle w:val="3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28"/>
        <w:gridCol w:w="2255"/>
        <w:gridCol w:w="2255"/>
        <w:gridCol w:w="1410"/>
        <w:gridCol w:w="1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atLeast"/>
          <w:jc w:val="center"/>
        </w:trPr>
        <w:tc>
          <w:tcPr>
            <w:tcW w:w="1828" w:type="dxa"/>
          </w:tcPr>
          <w:p>
            <w:pPr>
              <w:pStyle w:val="26"/>
              <w:spacing w:line="240" w:lineRule="auto"/>
              <w:ind w:firstLine="0" w:firstLineChars="0"/>
              <w:jc w:val="center"/>
              <w:rPr>
                <w:szCs w:val="21"/>
              </w:rPr>
            </w:pPr>
            <w:r>
              <w:rPr>
                <w:rFonts w:hint="eastAsia"/>
                <w:szCs w:val="21"/>
              </w:rPr>
              <w:t>杆体高度</w:t>
            </w:r>
          </w:p>
          <w:p>
            <w:pPr>
              <w:pStyle w:val="26"/>
              <w:spacing w:line="240" w:lineRule="auto"/>
              <w:ind w:firstLine="0" w:firstLineChars="0"/>
              <w:jc w:val="center"/>
              <w:rPr>
                <w:szCs w:val="21"/>
              </w:rPr>
            </w:pPr>
            <w:r>
              <w:rPr>
                <w:rFonts w:hint="eastAsia"/>
                <w:szCs w:val="21"/>
              </w:rPr>
              <w:t>m</w:t>
            </w:r>
          </w:p>
        </w:tc>
        <w:tc>
          <w:tcPr>
            <w:tcW w:w="2255" w:type="dxa"/>
          </w:tcPr>
          <w:p>
            <w:pPr>
              <w:pStyle w:val="26"/>
              <w:spacing w:line="240" w:lineRule="auto"/>
              <w:ind w:firstLine="0" w:firstLineChars="0"/>
              <w:jc w:val="center"/>
              <w:rPr>
                <w:szCs w:val="21"/>
              </w:rPr>
            </w:pPr>
            <w:r>
              <w:rPr>
                <w:rFonts w:hint="eastAsia"/>
                <w:szCs w:val="21"/>
              </w:rPr>
              <w:t>杆体底径范围</w:t>
            </w:r>
          </w:p>
          <w:p>
            <w:pPr>
              <w:pStyle w:val="26"/>
              <w:spacing w:line="240" w:lineRule="auto"/>
              <w:ind w:firstLine="0" w:firstLineChars="0"/>
              <w:jc w:val="center"/>
              <w:rPr>
                <w:szCs w:val="21"/>
              </w:rPr>
            </w:pPr>
            <w:r>
              <w:rPr>
                <w:rFonts w:hint="eastAsia"/>
                <w:szCs w:val="21"/>
              </w:rPr>
              <w:t>mm</w:t>
            </w:r>
          </w:p>
        </w:tc>
        <w:tc>
          <w:tcPr>
            <w:tcW w:w="2255" w:type="dxa"/>
          </w:tcPr>
          <w:p>
            <w:pPr>
              <w:pStyle w:val="26"/>
              <w:spacing w:line="240" w:lineRule="auto"/>
              <w:ind w:firstLine="0" w:firstLineChars="0"/>
              <w:jc w:val="center"/>
              <w:rPr>
                <w:szCs w:val="21"/>
              </w:rPr>
            </w:pPr>
            <w:r>
              <w:rPr>
                <w:rFonts w:hint="eastAsia"/>
                <w:szCs w:val="21"/>
              </w:rPr>
              <w:t>迎风总面积</w:t>
            </w:r>
          </w:p>
          <w:p>
            <w:pPr>
              <w:pStyle w:val="26"/>
              <w:spacing w:line="240" w:lineRule="auto"/>
              <w:ind w:firstLine="0" w:firstLineChars="0"/>
              <w:jc w:val="center"/>
              <w:rPr>
                <w:szCs w:val="21"/>
              </w:rPr>
            </w:pPr>
            <w:r>
              <w:rPr>
                <w:rFonts w:hint="eastAsia"/>
                <w:szCs w:val="21"/>
              </w:rPr>
              <w:t>m²</w:t>
            </w:r>
          </w:p>
        </w:tc>
        <w:tc>
          <w:tcPr>
            <w:tcW w:w="1410" w:type="dxa"/>
          </w:tcPr>
          <w:p>
            <w:pPr>
              <w:pStyle w:val="26"/>
              <w:spacing w:line="240" w:lineRule="auto"/>
              <w:ind w:firstLine="0" w:firstLineChars="0"/>
              <w:jc w:val="center"/>
              <w:rPr>
                <w:szCs w:val="21"/>
              </w:rPr>
            </w:pPr>
            <w:r>
              <w:rPr>
                <w:rFonts w:hint="eastAsia"/>
                <w:szCs w:val="21"/>
              </w:rPr>
              <w:t>基本风压</w:t>
            </w:r>
          </w:p>
          <w:p>
            <w:pPr>
              <w:pStyle w:val="26"/>
              <w:spacing w:line="240" w:lineRule="auto"/>
              <w:ind w:firstLine="0" w:firstLineChars="0"/>
              <w:jc w:val="center"/>
              <w:rPr>
                <w:szCs w:val="21"/>
              </w:rPr>
            </w:pPr>
            <w:r>
              <w:rPr>
                <w:rFonts w:hint="eastAsia"/>
                <w:szCs w:val="21"/>
              </w:rPr>
              <w:t>KN/m²</w:t>
            </w:r>
          </w:p>
        </w:tc>
        <w:tc>
          <w:tcPr>
            <w:tcW w:w="1269" w:type="dxa"/>
          </w:tcPr>
          <w:p>
            <w:pPr>
              <w:pStyle w:val="26"/>
              <w:spacing w:line="240" w:lineRule="auto"/>
              <w:ind w:firstLine="0" w:firstLineChars="0"/>
              <w:jc w:val="center"/>
              <w:rPr>
                <w:szCs w:val="21"/>
              </w:rPr>
            </w:pPr>
            <w:r>
              <w:rPr>
                <w:rFonts w:hint="eastAsia"/>
                <w:szCs w:val="21"/>
              </w:rPr>
              <w:t>风力等级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6" w:hRule="atLeast"/>
          <w:jc w:val="center"/>
        </w:trPr>
        <w:tc>
          <w:tcPr>
            <w:tcW w:w="1828" w:type="dxa"/>
          </w:tcPr>
          <w:p>
            <w:pPr>
              <w:pStyle w:val="26"/>
              <w:spacing w:line="240" w:lineRule="auto"/>
              <w:ind w:firstLine="0" w:firstLineChars="0"/>
              <w:jc w:val="center"/>
              <w:rPr>
                <w:szCs w:val="21"/>
              </w:rPr>
            </w:pPr>
            <w:r>
              <w:rPr>
                <w:rFonts w:hint="eastAsia"/>
                <w:szCs w:val="21"/>
              </w:rPr>
              <w:t>6</w:t>
            </w:r>
          </w:p>
        </w:tc>
        <w:tc>
          <w:tcPr>
            <w:tcW w:w="2255" w:type="dxa"/>
          </w:tcPr>
          <w:p>
            <w:pPr>
              <w:pStyle w:val="26"/>
              <w:spacing w:line="240" w:lineRule="auto"/>
              <w:ind w:firstLine="0" w:firstLineChars="0"/>
              <w:jc w:val="center"/>
              <w:rPr>
                <w:szCs w:val="21"/>
              </w:rPr>
            </w:pPr>
            <w:r>
              <w:rPr>
                <w:rFonts w:hint="eastAsia"/>
                <w:szCs w:val="21"/>
              </w:rPr>
              <w:t>280</w:t>
            </w:r>
          </w:p>
        </w:tc>
        <w:tc>
          <w:tcPr>
            <w:tcW w:w="2255" w:type="dxa"/>
          </w:tcPr>
          <w:p>
            <w:pPr>
              <w:pStyle w:val="26"/>
              <w:spacing w:line="240" w:lineRule="auto"/>
              <w:ind w:firstLine="0" w:firstLineChars="0"/>
              <w:jc w:val="center"/>
              <w:rPr>
                <w:szCs w:val="21"/>
              </w:rPr>
            </w:pPr>
            <w:r>
              <w:rPr>
                <w:rFonts w:hint="eastAsia"/>
                <w:szCs w:val="21"/>
              </w:rPr>
              <w:t>≤2.0</w:t>
            </w:r>
          </w:p>
        </w:tc>
        <w:tc>
          <w:tcPr>
            <w:tcW w:w="1410" w:type="dxa"/>
            <w:vMerge w:val="restart"/>
            <w:vAlign w:val="center"/>
          </w:tcPr>
          <w:p>
            <w:pPr>
              <w:pStyle w:val="26"/>
              <w:spacing w:line="240" w:lineRule="auto"/>
              <w:ind w:firstLine="0" w:firstLineChars="0"/>
              <w:jc w:val="center"/>
              <w:rPr>
                <w:color w:val="000000"/>
                <w:szCs w:val="21"/>
              </w:rPr>
            </w:pPr>
            <w:r>
              <w:rPr>
                <w:rFonts w:hint="eastAsia" w:cs="宋体"/>
                <w:color w:val="000000"/>
                <w:szCs w:val="21"/>
              </w:rPr>
              <w:t>0.35</w:t>
            </w:r>
          </w:p>
        </w:tc>
        <w:tc>
          <w:tcPr>
            <w:tcW w:w="1269" w:type="dxa"/>
            <w:vMerge w:val="restart"/>
            <w:vAlign w:val="center"/>
          </w:tcPr>
          <w:p>
            <w:pPr>
              <w:pStyle w:val="26"/>
              <w:spacing w:line="240" w:lineRule="auto"/>
              <w:ind w:firstLine="0" w:firstLineChars="0"/>
              <w:jc w:val="center"/>
              <w:rPr>
                <w:szCs w:val="21"/>
              </w:rPr>
            </w:pPr>
            <w:r>
              <w:rPr>
                <w:rFonts w:hint="eastAsia"/>
                <w:szCs w:val="21"/>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6" w:hRule="atLeast"/>
          <w:jc w:val="center"/>
        </w:trPr>
        <w:tc>
          <w:tcPr>
            <w:tcW w:w="1828" w:type="dxa"/>
          </w:tcPr>
          <w:p>
            <w:pPr>
              <w:pStyle w:val="26"/>
              <w:spacing w:line="240" w:lineRule="auto"/>
              <w:ind w:firstLine="0" w:firstLineChars="0"/>
              <w:jc w:val="center"/>
              <w:rPr>
                <w:szCs w:val="21"/>
              </w:rPr>
            </w:pPr>
            <w:r>
              <w:rPr>
                <w:rFonts w:hint="eastAsia"/>
                <w:szCs w:val="21"/>
              </w:rPr>
              <w:t>10</w:t>
            </w:r>
          </w:p>
        </w:tc>
        <w:tc>
          <w:tcPr>
            <w:tcW w:w="2255" w:type="dxa"/>
          </w:tcPr>
          <w:p>
            <w:pPr>
              <w:pStyle w:val="26"/>
              <w:spacing w:line="240" w:lineRule="auto"/>
              <w:ind w:firstLine="0" w:firstLineChars="0"/>
              <w:jc w:val="center"/>
              <w:rPr>
                <w:szCs w:val="21"/>
              </w:rPr>
            </w:pPr>
            <w:r>
              <w:rPr>
                <w:rFonts w:hint="eastAsia"/>
                <w:szCs w:val="21"/>
              </w:rPr>
              <w:t>280</w:t>
            </w:r>
          </w:p>
        </w:tc>
        <w:tc>
          <w:tcPr>
            <w:tcW w:w="2255" w:type="dxa"/>
          </w:tcPr>
          <w:p>
            <w:pPr>
              <w:pStyle w:val="26"/>
              <w:spacing w:line="240" w:lineRule="auto"/>
              <w:ind w:firstLine="0" w:firstLineChars="0"/>
              <w:jc w:val="center"/>
              <w:rPr>
                <w:szCs w:val="21"/>
              </w:rPr>
            </w:pPr>
            <w:r>
              <w:rPr>
                <w:rFonts w:hint="eastAsia"/>
                <w:szCs w:val="21"/>
              </w:rPr>
              <w:t>≤3.5</w:t>
            </w:r>
          </w:p>
        </w:tc>
        <w:tc>
          <w:tcPr>
            <w:tcW w:w="1410" w:type="dxa"/>
            <w:vMerge w:val="continue"/>
            <w:vAlign w:val="center"/>
          </w:tcPr>
          <w:p>
            <w:pPr>
              <w:pStyle w:val="26"/>
              <w:numPr>
                <w:ilvl w:val="3"/>
                <w:numId w:val="20"/>
              </w:numPr>
              <w:spacing w:line="240" w:lineRule="auto"/>
              <w:ind w:firstLineChars="0"/>
              <w:rPr>
                <w:szCs w:val="21"/>
              </w:rPr>
            </w:pPr>
          </w:p>
        </w:tc>
        <w:tc>
          <w:tcPr>
            <w:tcW w:w="1269" w:type="dxa"/>
            <w:vMerge w:val="continue"/>
            <w:vAlign w:val="center"/>
          </w:tcPr>
          <w:p>
            <w:pPr>
              <w:pStyle w:val="26"/>
              <w:numPr>
                <w:ilvl w:val="3"/>
                <w:numId w:val="20"/>
              </w:numPr>
              <w:spacing w:line="240" w:lineRule="auto"/>
              <w:ind w:firstLineChars="0"/>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1828" w:type="dxa"/>
          </w:tcPr>
          <w:p>
            <w:pPr>
              <w:pStyle w:val="26"/>
              <w:spacing w:line="240" w:lineRule="auto"/>
              <w:ind w:firstLine="0" w:firstLineChars="0"/>
              <w:jc w:val="center"/>
              <w:rPr>
                <w:szCs w:val="21"/>
              </w:rPr>
            </w:pPr>
            <w:r>
              <w:rPr>
                <w:rFonts w:hint="eastAsia"/>
                <w:szCs w:val="21"/>
              </w:rPr>
              <w:t>14</w:t>
            </w:r>
          </w:p>
        </w:tc>
        <w:tc>
          <w:tcPr>
            <w:tcW w:w="2255" w:type="dxa"/>
          </w:tcPr>
          <w:p>
            <w:pPr>
              <w:pStyle w:val="26"/>
              <w:spacing w:line="240" w:lineRule="auto"/>
              <w:ind w:firstLine="0" w:firstLineChars="0"/>
              <w:jc w:val="center"/>
              <w:rPr>
                <w:szCs w:val="21"/>
              </w:rPr>
            </w:pPr>
            <w:r>
              <w:rPr>
                <w:rFonts w:hint="eastAsia"/>
                <w:szCs w:val="21"/>
              </w:rPr>
              <w:t>370</w:t>
            </w:r>
          </w:p>
        </w:tc>
        <w:tc>
          <w:tcPr>
            <w:tcW w:w="2255" w:type="dxa"/>
          </w:tcPr>
          <w:p>
            <w:pPr>
              <w:pStyle w:val="26"/>
              <w:spacing w:line="240" w:lineRule="auto"/>
              <w:ind w:firstLine="0" w:firstLineChars="0"/>
              <w:jc w:val="center"/>
              <w:rPr>
                <w:szCs w:val="21"/>
              </w:rPr>
            </w:pPr>
            <w:r>
              <w:rPr>
                <w:rFonts w:hint="eastAsia"/>
                <w:szCs w:val="21"/>
              </w:rPr>
              <w:t>≤3.5</w:t>
            </w:r>
          </w:p>
        </w:tc>
        <w:tc>
          <w:tcPr>
            <w:tcW w:w="1410" w:type="dxa"/>
            <w:vMerge w:val="continue"/>
          </w:tcPr>
          <w:p>
            <w:pPr>
              <w:pStyle w:val="26"/>
              <w:numPr>
                <w:ilvl w:val="3"/>
                <w:numId w:val="20"/>
              </w:numPr>
              <w:spacing w:line="240" w:lineRule="auto"/>
              <w:ind w:firstLineChars="0"/>
              <w:rPr>
                <w:szCs w:val="21"/>
              </w:rPr>
            </w:pPr>
          </w:p>
        </w:tc>
        <w:tc>
          <w:tcPr>
            <w:tcW w:w="1269" w:type="dxa"/>
            <w:vMerge w:val="continue"/>
          </w:tcPr>
          <w:p>
            <w:pPr>
              <w:pStyle w:val="26"/>
              <w:numPr>
                <w:ilvl w:val="3"/>
                <w:numId w:val="20"/>
              </w:numPr>
              <w:spacing w:line="240" w:lineRule="auto"/>
              <w:ind w:firstLineChars="0"/>
              <w:rPr>
                <w:szCs w:val="21"/>
              </w:rPr>
            </w:pPr>
          </w:p>
        </w:tc>
      </w:tr>
    </w:tbl>
    <w:p>
      <w:pPr>
        <w:pStyle w:val="26"/>
        <w:numPr>
          <w:ilvl w:val="3"/>
          <w:numId w:val="20"/>
        </w:numPr>
        <w:ind w:firstLineChars="0"/>
        <w:rPr>
          <w:rFonts w:cs="宋体"/>
          <w:szCs w:val="21"/>
        </w:rPr>
      </w:pPr>
      <w:r>
        <w:rPr>
          <w:rFonts w:hint="eastAsia" w:cs="宋体"/>
          <w:szCs w:val="21"/>
        </w:rPr>
        <w:t>荷载根据设备的挂载需求分为必选荷载和可选荷载两类。必选荷载包括智慧照明模块和移动通信模块；可选荷载包括视频采集模块、交通标志模块、交通信号灯模块、交通流检测模块、交通执法模块、环境监测模块、气象检测模块、一键呼叫模块、信息发布屏模块、公共广播模块、多媒体交互终端模块、公共WLAN模块和充电桩模块等。</w:t>
      </w:r>
    </w:p>
    <w:p>
      <w:pPr>
        <w:pStyle w:val="26"/>
        <w:numPr>
          <w:ilvl w:val="3"/>
          <w:numId w:val="20"/>
        </w:numPr>
        <w:ind w:firstLineChars="0"/>
        <w:rPr>
          <w:rFonts w:cs="宋体"/>
          <w:szCs w:val="21"/>
        </w:rPr>
      </w:pPr>
      <w:r>
        <w:rPr>
          <w:rFonts w:hint="eastAsia" w:cs="宋体"/>
          <w:szCs w:val="21"/>
        </w:rPr>
        <w:t>可选荷载中交通标志、交通信号灯、交通执法三个模块不应同时配置，信息发布屏和特色主题艺术附挂两个模块不应同时配置。</w:t>
      </w:r>
    </w:p>
    <w:p>
      <w:pPr>
        <w:pStyle w:val="26"/>
        <w:numPr>
          <w:ilvl w:val="3"/>
          <w:numId w:val="20"/>
        </w:numPr>
        <w:ind w:firstLineChars="0"/>
        <w:rPr>
          <w:rFonts w:cs="宋体"/>
          <w:color w:val="1552D1"/>
          <w:szCs w:val="21"/>
        </w:rPr>
      </w:pPr>
      <w:r>
        <w:rPr>
          <w:rFonts w:hint="eastAsia" w:cs="宋体"/>
          <w:szCs w:val="21"/>
        </w:rPr>
        <w:t>挂载设备主要荷载需求可参考表4.6.2.7，当挂载设备的最大重量、外</w:t>
      </w:r>
      <w:r>
        <w:rPr>
          <w:rFonts w:hint="eastAsia" w:cs="宋体"/>
          <w:color w:val="000000"/>
          <w:szCs w:val="21"/>
        </w:rPr>
        <w:t>形尺寸、挂载位置与表中所列参数不一致时，设备风荷载应按照4.6.2荷载要求另行测算</w:t>
      </w:r>
      <w:r>
        <w:rPr>
          <w:rFonts w:hint="eastAsia"/>
        </w:rPr>
        <w:t>。</w:t>
      </w:r>
    </w:p>
    <w:p>
      <w:pPr>
        <w:pStyle w:val="26"/>
        <w:ind w:firstLine="0" w:firstLineChars="0"/>
        <w:jc w:val="center"/>
        <w:rPr>
          <w:color w:val="000000"/>
          <w:szCs w:val="21"/>
        </w:rPr>
      </w:pPr>
      <w:r>
        <w:rPr>
          <w:rFonts w:hint="eastAsia"/>
          <w:color w:val="000000"/>
          <w:szCs w:val="21"/>
        </w:rPr>
        <w:t>表</w:t>
      </w:r>
      <w:r>
        <w:rPr>
          <w:color w:val="000000"/>
        </w:rPr>
        <w:t>4.6.2.</w:t>
      </w:r>
      <w:r>
        <w:t xml:space="preserve">7 </w:t>
      </w:r>
      <w:r>
        <w:rPr>
          <w:rFonts w:hint="eastAsia"/>
          <w:color w:val="000000"/>
          <w:szCs w:val="21"/>
        </w:rPr>
        <w:t>主要挂载设备承载需求</w:t>
      </w:r>
    </w:p>
    <w:tbl>
      <w:tblPr>
        <w:tblStyle w:val="37"/>
        <w:tblW w:w="9337" w:type="dxa"/>
        <w:tblInd w:w="-34" w:type="dxa"/>
        <w:tblLayout w:type="fixed"/>
        <w:tblCellMar>
          <w:top w:w="0" w:type="dxa"/>
          <w:left w:w="108" w:type="dxa"/>
          <w:bottom w:w="0" w:type="dxa"/>
          <w:right w:w="108" w:type="dxa"/>
        </w:tblCellMar>
      </w:tblPr>
      <w:tblGrid>
        <w:gridCol w:w="1335"/>
        <w:gridCol w:w="735"/>
        <w:gridCol w:w="2101"/>
        <w:gridCol w:w="1684"/>
        <w:gridCol w:w="427"/>
        <w:gridCol w:w="786"/>
        <w:gridCol w:w="785"/>
        <w:gridCol w:w="775"/>
        <w:gridCol w:w="709"/>
      </w:tblGrid>
      <w:tr>
        <w:tblPrEx>
          <w:tblCellMar>
            <w:top w:w="0" w:type="dxa"/>
            <w:left w:w="108" w:type="dxa"/>
            <w:bottom w:w="0" w:type="dxa"/>
            <w:right w:w="108" w:type="dxa"/>
          </w:tblCellMar>
        </w:tblPrEx>
        <w:trPr>
          <w:trHeight w:val="245" w:hRule="atLeast"/>
        </w:trPr>
        <w:tc>
          <w:tcPr>
            <w:tcW w:w="1335"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挂载设备（单个/付）</w:t>
            </w:r>
          </w:p>
        </w:tc>
        <w:tc>
          <w:tcPr>
            <w:tcW w:w="735"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最大重量/KG</w:t>
            </w:r>
          </w:p>
        </w:tc>
        <w:tc>
          <w:tcPr>
            <w:tcW w:w="2101"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外形尺寸/mm</w:t>
            </w:r>
          </w:p>
        </w:tc>
        <w:tc>
          <w:tcPr>
            <w:tcW w:w="1684"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挂载位置</w:t>
            </w:r>
          </w:p>
        </w:tc>
        <w:tc>
          <w:tcPr>
            <w:tcW w:w="427"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数量</w:t>
            </w:r>
          </w:p>
        </w:tc>
        <w:tc>
          <w:tcPr>
            <w:tcW w:w="786"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迎风面积/m²</w:t>
            </w:r>
          </w:p>
        </w:tc>
        <w:tc>
          <w:tcPr>
            <w:tcW w:w="2269" w:type="dxa"/>
            <w:gridSpan w:val="3"/>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设备风荷载计算/kN</w:t>
            </w:r>
          </w:p>
        </w:tc>
      </w:tr>
      <w:tr>
        <w:tblPrEx>
          <w:tblCellMar>
            <w:top w:w="0" w:type="dxa"/>
            <w:left w:w="108" w:type="dxa"/>
            <w:bottom w:w="0" w:type="dxa"/>
            <w:right w:w="108" w:type="dxa"/>
          </w:tblCellMar>
        </w:tblPrEx>
        <w:trPr>
          <w:trHeight w:val="413" w:hRule="atLeast"/>
        </w:trPr>
        <w:tc>
          <w:tcPr>
            <w:tcW w:w="133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210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6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78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78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6米杆</w:t>
            </w:r>
          </w:p>
        </w:tc>
        <w:tc>
          <w:tcPr>
            <w:tcW w:w="77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10米杆</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14米杆</w:t>
            </w:r>
          </w:p>
        </w:tc>
      </w:tr>
      <w:tr>
        <w:tblPrEx>
          <w:tblCellMar>
            <w:top w:w="0" w:type="dxa"/>
            <w:left w:w="108" w:type="dxa"/>
            <w:bottom w:w="0" w:type="dxa"/>
            <w:right w:w="108" w:type="dxa"/>
          </w:tblCellMar>
        </w:tblPrEx>
        <w:trPr>
          <w:trHeight w:val="234" w:hRule="atLeast"/>
        </w:trPr>
        <w:tc>
          <w:tcPr>
            <w:tcW w:w="1335"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移动通信</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40</w:t>
            </w:r>
          </w:p>
        </w:tc>
        <w:tc>
          <w:tcPr>
            <w:tcW w:w="21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895*490*142</w:t>
            </w:r>
          </w:p>
        </w:tc>
        <w:tc>
          <w:tcPr>
            <w:tcW w:w="168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塔顶</w:t>
            </w:r>
          </w:p>
        </w:tc>
        <w:tc>
          <w:tcPr>
            <w:tcW w:w="427"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78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0.45</w:t>
            </w:r>
          </w:p>
        </w:tc>
        <w:tc>
          <w:tcPr>
            <w:tcW w:w="78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1.78</w:t>
            </w:r>
          </w:p>
        </w:tc>
        <w:tc>
          <w:tcPr>
            <w:tcW w:w="77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1.83</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2.08</w:t>
            </w:r>
          </w:p>
        </w:tc>
      </w:tr>
      <w:tr>
        <w:tblPrEx>
          <w:tblCellMar>
            <w:top w:w="0" w:type="dxa"/>
            <w:left w:w="108" w:type="dxa"/>
            <w:bottom w:w="0" w:type="dxa"/>
            <w:right w:w="108" w:type="dxa"/>
          </w:tblCellMar>
        </w:tblPrEx>
        <w:trPr>
          <w:trHeight w:val="234" w:hRule="atLeast"/>
        </w:trPr>
        <w:tc>
          <w:tcPr>
            <w:tcW w:w="1335"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环境监测</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w:t>
            </w:r>
          </w:p>
        </w:tc>
        <w:tc>
          <w:tcPr>
            <w:tcW w:w="2101" w:type="dxa"/>
            <w:vMerge w:val="restar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540*180*180</w:t>
            </w:r>
          </w:p>
        </w:tc>
        <w:tc>
          <w:tcPr>
            <w:tcW w:w="1684" w:type="dxa"/>
            <w:vMerge w:val="restar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塔顶</w:t>
            </w:r>
          </w:p>
        </w:tc>
        <w:tc>
          <w:tcPr>
            <w:tcW w:w="427" w:type="dxa"/>
            <w:vMerge w:val="restar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786" w:type="dxa"/>
            <w:vMerge w:val="restar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0.1</w:t>
            </w:r>
          </w:p>
        </w:tc>
        <w:tc>
          <w:tcPr>
            <w:tcW w:w="785" w:type="dxa"/>
            <w:vMerge w:val="restar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0.13</w:t>
            </w:r>
          </w:p>
        </w:tc>
        <w:tc>
          <w:tcPr>
            <w:tcW w:w="775" w:type="dxa"/>
            <w:vMerge w:val="restar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0.14</w:t>
            </w:r>
          </w:p>
        </w:tc>
        <w:tc>
          <w:tcPr>
            <w:tcW w:w="709" w:type="dxa"/>
            <w:vMerge w:val="restar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0.15</w:t>
            </w:r>
          </w:p>
        </w:tc>
      </w:tr>
      <w:tr>
        <w:tblPrEx>
          <w:tblCellMar>
            <w:top w:w="0" w:type="dxa"/>
            <w:left w:w="108" w:type="dxa"/>
            <w:bottom w:w="0" w:type="dxa"/>
            <w:right w:w="108" w:type="dxa"/>
          </w:tblCellMar>
        </w:tblPrEx>
        <w:trPr>
          <w:trHeight w:val="234" w:hRule="atLeast"/>
        </w:trPr>
        <w:tc>
          <w:tcPr>
            <w:tcW w:w="1335"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气象监测</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2101"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c>
          <w:tcPr>
            <w:tcW w:w="1684"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c>
          <w:tcPr>
            <w:tcW w:w="427"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c>
          <w:tcPr>
            <w:tcW w:w="786"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c>
          <w:tcPr>
            <w:tcW w:w="785"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c>
          <w:tcPr>
            <w:tcW w:w="775"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trHeight w:val="413" w:hRule="atLeast"/>
        </w:trPr>
        <w:tc>
          <w:tcPr>
            <w:tcW w:w="1335"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智慧照明</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60</w:t>
            </w:r>
          </w:p>
        </w:tc>
        <w:tc>
          <w:tcPr>
            <w:tcW w:w="21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168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距塔顶1.5到2.0米</w:t>
            </w:r>
          </w:p>
        </w:tc>
        <w:tc>
          <w:tcPr>
            <w:tcW w:w="427"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78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0.45</w:t>
            </w:r>
          </w:p>
        </w:tc>
        <w:tc>
          <w:tcPr>
            <w:tcW w:w="78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0.59</w:t>
            </w:r>
          </w:p>
        </w:tc>
        <w:tc>
          <w:tcPr>
            <w:tcW w:w="77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0.61</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0.69</w:t>
            </w:r>
          </w:p>
        </w:tc>
      </w:tr>
      <w:tr>
        <w:tblPrEx>
          <w:tblCellMar>
            <w:top w:w="0" w:type="dxa"/>
            <w:left w:w="108" w:type="dxa"/>
            <w:bottom w:w="0" w:type="dxa"/>
            <w:right w:w="108" w:type="dxa"/>
          </w:tblCellMar>
        </w:tblPrEx>
        <w:trPr>
          <w:trHeight w:val="413" w:hRule="atLeast"/>
        </w:trPr>
        <w:tc>
          <w:tcPr>
            <w:tcW w:w="1335" w:type="dxa"/>
            <w:tcBorders>
              <w:top w:val="nil"/>
              <w:left w:val="single" w:color="auto" w:sz="4" w:space="0"/>
              <w:bottom w:val="single" w:color="auto" w:sz="4" w:space="0"/>
              <w:right w:val="single" w:color="auto" w:sz="4" w:space="0"/>
            </w:tcBorders>
            <w:noWrap/>
            <w:vAlign w:val="center"/>
          </w:tcPr>
          <w:p>
            <w:pPr>
              <w:widowControl/>
              <w:jc w:val="center"/>
              <w:textAlignment w:val="bottom"/>
              <w:rPr>
                <w:rFonts w:ascii="宋体" w:hAnsi="宋体" w:cs="宋体"/>
                <w:color w:val="000000"/>
                <w:kern w:val="0"/>
                <w:szCs w:val="21"/>
              </w:rPr>
            </w:pPr>
            <w:r>
              <w:rPr>
                <w:rFonts w:hint="eastAsia" w:ascii="宋体" w:hAnsi="宋体" w:cs="宋体"/>
                <w:color w:val="000000"/>
                <w:kern w:val="0"/>
                <w:szCs w:val="21"/>
                <w:lang w:bidi="ar"/>
              </w:rPr>
              <w:t>交通标志</w:t>
            </w:r>
          </w:p>
        </w:tc>
        <w:tc>
          <w:tcPr>
            <w:tcW w:w="735" w:type="dxa"/>
            <w:tcBorders>
              <w:top w:val="nil"/>
              <w:left w:val="nil"/>
              <w:bottom w:val="single" w:color="auto" w:sz="4" w:space="0"/>
              <w:right w:val="single" w:color="auto" w:sz="4" w:space="0"/>
            </w:tcBorders>
            <w:noWrap/>
            <w:vAlign w:val="center"/>
          </w:tcPr>
          <w:p>
            <w:pPr>
              <w:widowControl/>
              <w:jc w:val="center"/>
              <w:textAlignment w:val="bottom"/>
              <w:rPr>
                <w:rFonts w:ascii="宋体" w:hAnsi="宋体" w:cs="宋体"/>
                <w:color w:val="000000"/>
                <w:kern w:val="0"/>
                <w:szCs w:val="21"/>
              </w:rPr>
            </w:pPr>
            <w:r>
              <w:rPr>
                <w:rFonts w:hint="eastAsia" w:ascii="宋体" w:hAnsi="宋体" w:cs="宋体"/>
                <w:color w:val="000000"/>
                <w:kern w:val="0"/>
                <w:szCs w:val="21"/>
                <w:lang w:bidi="ar"/>
              </w:rPr>
              <w:t>40</w:t>
            </w:r>
          </w:p>
        </w:tc>
        <w:tc>
          <w:tcPr>
            <w:tcW w:w="2101" w:type="dxa"/>
            <w:tcBorders>
              <w:top w:val="nil"/>
              <w:left w:val="nil"/>
              <w:bottom w:val="single" w:color="auto" w:sz="4" w:space="0"/>
              <w:right w:val="single" w:color="auto" w:sz="4" w:space="0"/>
            </w:tcBorders>
            <w:noWrap/>
            <w:vAlign w:val="center"/>
          </w:tcPr>
          <w:p>
            <w:pPr>
              <w:widowControl/>
              <w:jc w:val="center"/>
              <w:textAlignment w:val="bottom"/>
              <w:rPr>
                <w:rFonts w:ascii="宋体" w:hAnsi="宋体" w:cs="宋体"/>
                <w:kern w:val="0"/>
                <w:szCs w:val="21"/>
              </w:rPr>
            </w:pPr>
            <w:r>
              <w:rPr>
                <w:rFonts w:hint="eastAsia" w:ascii="宋体" w:hAnsi="宋体" w:cs="宋体"/>
                <w:kern w:val="0"/>
                <w:szCs w:val="21"/>
                <w:lang w:bidi="ar"/>
              </w:rPr>
              <w:t>4400mm*3100mm</w:t>
            </w:r>
          </w:p>
        </w:tc>
        <w:tc>
          <w:tcPr>
            <w:tcW w:w="1684" w:type="dxa"/>
            <w:tcBorders>
              <w:top w:val="nil"/>
              <w:left w:val="nil"/>
              <w:bottom w:val="single" w:color="auto" w:sz="4" w:space="0"/>
              <w:right w:val="single" w:color="auto" w:sz="4" w:space="0"/>
            </w:tcBorders>
            <w:noWrap/>
            <w:vAlign w:val="center"/>
          </w:tcPr>
          <w:p>
            <w:pPr>
              <w:widowControl/>
              <w:jc w:val="center"/>
              <w:textAlignment w:val="bottom"/>
              <w:rPr>
                <w:rFonts w:ascii="宋体" w:hAnsi="宋体" w:cs="宋体"/>
                <w:kern w:val="0"/>
                <w:szCs w:val="21"/>
              </w:rPr>
            </w:pPr>
            <w:r>
              <w:rPr>
                <w:rFonts w:hint="eastAsia" w:ascii="宋体" w:hAnsi="宋体" w:cs="宋体"/>
                <w:kern w:val="0"/>
                <w:szCs w:val="21"/>
                <w:lang w:bidi="ar"/>
              </w:rPr>
              <w:t>底部挂高5.5米</w:t>
            </w:r>
          </w:p>
        </w:tc>
        <w:tc>
          <w:tcPr>
            <w:tcW w:w="427" w:type="dxa"/>
            <w:tcBorders>
              <w:top w:val="nil"/>
              <w:left w:val="nil"/>
              <w:bottom w:val="single" w:color="auto" w:sz="4" w:space="0"/>
              <w:right w:val="single" w:color="auto" w:sz="4" w:space="0"/>
            </w:tcBorders>
            <w:noWrap/>
            <w:vAlign w:val="center"/>
          </w:tcPr>
          <w:p>
            <w:pPr>
              <w:widowControl/>
              <w:jc w:val="center"/>
              <w:textAlignment w:val="bottom"/>
              <w:rPr>
                <w:rFonts w:ascii="宋体" w:hAnsi="宋体" w:cs="宋体"/>
                <w:color w:val="000000"/>
                <w:kern w:val="0"/>
                <w:szCs w:val="21"/>
              </w:rPr>
            </w:pPr>
            <w:r>
              <w:rPr>
                <w:rFonts w:hint="eastAsia" w:ascii="宋体" w:hAnsi="宋体" w:cs="宋体"/>
                <w:color w:val="000000"/>
                <w:kern w:val="0"/>
                <w:szCs w:val="21"/>
                <w:lang w:bidi="ar"/>
              </w:rPr>
              <w:t>1</w:t>
            </w:r>
          </w:p>
        </w:tc>
        <w:tc>
          <w:tcPr>
            <w:tcW w:w="786" w:type="dxa"/>
            <w:tcBorders>
              <w:top w:val="nil"/>
              <w:left w:val="nil"/>
              <w:bottom w:val="single" w:color="auto" w:sz="4" w:space="0"/>
              <w:right w:val="single" w:color="auto" w:sz="4" w:space="0"/>
            </w:tcBorders>
            <w:noWrap/>
            <w:vAlign w:val="center"/>
          </w:tcPr>
          <w:p>
            <w:pPr>
              <w:widowControl/>
              <w:jc w:val="center"/>
              <w:textAlignment w:val="bottom"/>
              <w:rPr>
                <w:rFonts w:ascii="宋体" w:hAnsi="宋体" w:cs="宋体"/>
                <w:color w:val="000000"/>
                <w:kern w:val="0"/>
                <w:szCs w:val="21"/>
              </w:rPr>
            </w:pPr>
            <w:r>
              <w:rPr>
                <w:rFonts w:hint="eastAsia" w:ascii="宋体" w:hAnsi="宋体" w:cs="宋体"/>
                <w:color w:val="000000"/>
                <w:kern w:val="0"/>
                <w:szCs w:val="21"/>
                <w:lang w:bidi="ar"/>
              </w:rPr>
              <w:t>13.65</w:t>
            </w:r>
          </w:p>
        </w:tc>
        <w:tc>
          <w:tcPr>
            <w:tcW w:w="785" w:type="dxa"/>
            <w:tcBorders>
              <w:top w:val="nil"/>
              <w:left w:val="nil"/>
              <w:bottom w:val="single" w:color="auto" w:sz="4" w:space="0"/>
              <w:right w:val="single" w:color="auto" w:sz="4" w:space="0"/>
            </w:tcBorders>
            <w:noWrap/>
            <w:vAlign w:val="center"/>
          </w:tcPr>
          <w:p>
            <w:pPr>
              <w:widowControl/>
              <w:jc w:val="center"/>
              <w:textAlignment w:val="bottom"/>
              <w:rPr>
                <w:rFonts w:ascii="宋体" w:hAnsi="宋体" w:cs="宋体"/>
                <w:color w:val="000000"/>
                <w:kern w:val="0"/>
                <w:szCs w:val="21"/>
              </w:rPr>
            </w:pPr>
            <w:r>
              <w:rPr>
                <w:rFonts w:hint="eastAsia" w:ascii="宋体" w:hAnsi="宋体" w:cs="宋体"/>
                <w:color w:val="000000"/>
                <w:kern w:val="0"/>
                <w:szCs w:val="21"/>
                <w:lang w:bidi="ar"/>
              </w:rPr>
              <w:t>18.51</w:t>
            </w:r>
          </w:p>
        </w:tc>
        <w:tc>
          <w:tcPr>
            <w:tcW w:w="775" w:type="dxa"/>
            <w:tcBorders>
              <w:top w:val="nil"/>
              <w:left w:val="nil"/>
              <w:bottom w:val="single" w:color="auto" w:sz="4" w:space="0"/>
              <w:right w:val="single" w:color="auto" w:sz="4" w:space="0"/>
            </w:tcBorders>
            <w:noWrap/>
            <w:vAlign w:val="center"/>
          </w:tcPr>
          <w:p>
            <w:pPr>
              <w:widowControl/>
              <w:jc w:val="center"/>
              <w:textAlignment w:val="bottom"/>
              <w:rPr>
                <w:rFonts w:ascii="宋体" w:hAnsi="宋体" w:cs="宋体"/>
                <w:color w:val="000000"/>
                <w:kern w:val="0"/>
                <w:szCs w:val="21"/>
              </w:rPr>
            </w:pPr>
            <w:r>
              <w:rPr>
                <w:rFonts w:hint="eastAsia" w:ascii="宋体" w:hAnsi="宋体" w:cs="宋体"/>
                <w:color w:val="000000"/>
                <w:kern w:val="0"/>
                <w:szCs w:val="21"/>
                <w:lang w:bidi="ar"/>
              </w:rPr>
              <w:t>19.08</w:t>
            </w:r>
          </w:p>
        </w:tc>
        <w:tc>
          <w:tcPr>
            <w:tcW w:w="709" w:type="dxa"/>
            <w:tcBorders>
              <w:top w:val="nil"/>
              <w:left w:val="nil"/>
              <w:bottom w:val="single" w:color="auto" w:sz="4" w:space="0"/>
              <w:right w:val="single" w:color="auto" w:sz="4" w:space="0"/>
            </w:tcBorders>
            <w:noWrap/>
            <w:vAlign w:val="center"/>
          </w:tcPr>
          <w:p>
            <w:pPr>
              <w:widowControl/>
              <w:jc w:val="center"/>
              <w:textAlignment w:val="bottom"/>
              <w:rPr>
                <w:rFonts w:ascii="宋体" w:hAnsi="宋体" w:cs="宋体"/>
                <w:color w:val="000000"/>
                <w:kern w:val="0"/>
                <w:szCs w:val="21"/>
              </w:rPr>
            </w:pPr>
            <w:r>
              <w:rPr>
                <w:rFonts w:hint="eastAsia" w:ascii="宋体" w:hAnsi="宋体" w:cs="宋体"/>
                <w:color w:val="000000"/>
                <w:kern w:val="0"/>
                <w:szCs w:val="21"/>
                <w:lang w:bidi="ar"/>
              </w:rPr>
              <w:t>21.30</w:t>
            </w:r>
          </w:p>
        </w:tc>
      </w:tr>
      <w:tr>
        <w:tblPrEx>
          <w:tblCellMar>
            <w:top w:w="0" w:type="dxa"/>
            <w:left w:w="108" w:type="dxa"/>
            <w:bottom w:w="0" w:type="dxa"/>
            <w:right w:w="108" w:type="dxa"/>
          </w:tblCellMar>
        </w:tblPrEx>
        <w:trPr>
          <w:trHeight w:val="413" w:hRule="atLeast"/>
        </w:trPr>
        <w:tc>
          <w:tcPr>
            <w:tcW w:w="1335" w:type="dxa"/>
            <w:tcBorders>
              <w:top w:val="nil"/>
              <w:left w:val="single" w:color="auto" w:sz="4" w:space="0"/>
              <w:bottom w:val="single" w:color="auto" w:sz="4" w:space="0"/>
              <w:right w:val="single" w:color="auto" w:sz="4" w:space="0"/>
            </w:tcBorders>
            <w:noWrap/>
            <w:vAlign w:val="center"/>
          </w:tcPr>
          <w:p>
            <w:pPr>
              <w:widowControl/>
              <w:jc w:val="center"/>
              <w:textAlignment w:val="bottom"/>
              <w:rPr>
                <w:rFonts w:ascii="宋体" w:hAnsi="宋体" w:cs="宋体"/>
                <w:color w:val="000000"/>
                <w:kern w:val="0"/>
                <w:szCs w:val="21"/>
              </w:rPr>
            </w:pPr>
            <w:r>
              <w:rPr>
                <w:rFonts w:hint="eastAsia" w:ascii="宋体" w:hAnsi="宋体" w:cs="宋体"/>
                <w:color w:val="000000"/>
                <w:kern w:val="0"/>
                <w:szCs w:val="21"/>
                <w:lang w:bidi="ar"/>
              </w:rPr>
              <w:t>交通信号灯</w:t>
            </w:r>
          </w:p>
        </w:tc>
        <w:tc>
          <w:tcPr>
            <w:tcW w:w="735" w:type="dxa"/>
            <w:tcBorders>
              <w:top w:val="nil"/>
              <w:left w:val="nil"/>
              <w:bottom w:val="single" w:color="auto" w:sz="4" w:space="0"/>
              <w:right w:val="single" w:color="auto" w:sz="4" w:space="0"/>
            </w:tcBorders>
            <w:noWrap/>
            <w:vAlign w:val="center"/>
          </w:tcPr>
          <w:p>
            <w:pPr>
              <w:widowControl/>
              <w:jc w:val="center"/>
              <w:textAlignment w:val="bottom"/>
              <w:rPr>
                <w:rFonts w:ascii="宋体" w:hAnsi="宋体" w:cs="宋体"/>
                <w:color w:val="000000"/>
                <w:kern w:val="0"/>
                <w:szCs w:val="21"/>
              </w:rPr>
            </w:pPr>
            <w:r>
              <w:rPr>
                <w:rFonts w:hint="eastAsia" w:ascii="宋体" w:hAnsi="宋体" w:cs="宋体"/>
                <w:color w:val="000000"/>
                <w:kern w:val="0"/>
                <w:szCs w:val="21"/>
                <w:lang w:bidi="ar"/>
              </w:rPr>
              <w:t>50</w:t>
            </w:r>
          </w:p>
        </w:tc>
        <w:tc>
          <w:tcPr>
            <w:tcW w:w="2101" w:type="dxa"/>
            <w:tcBorders>
              <w:top w:val="nil"/>
              <w:left w:val="nil"/>
              <w:bottom w:val="single" w:color="auto" w:sz="4" w:space="0"/>
              <w:right w:val="single" w:color="auto" w:sz="4" w:space="0"/>
            </w:tcBorders>
            <w:noWrap/>
            <w:vAlign w:val="center"/>
          </w:tcPr>
          <w:p>
            <w:pPr>
              <w:widowControl/>
              <w:jc w:val="center"/>
              <w:textAlignment w:val="bottom"/>
              <w:rPr>
                <w:rFonts w:ascii="宋体" w:hAnsi="宋体" w:cs="宋体"/>
                <w:kern w:val="0"/>
                <w:szCs w:val="21"/>
              </w:rPr>
            </w:pPr>
            <w:r>
              <w:rPr>
                <w:rFonts w:hint="eastAsia" w:ascii="宋体" w:hAnsi="宋体" w:cs="宋体"/>
                <w:kern w:val="0"/>
                <w:szCs w:val="21"/>
                <w:lang w:bidi="ar"/>
              </w:rPr>
              <w:t>1620mm*620mm*440mm</w:t>
            </w:r>
          </w:p>
        </w:tc>
        <w:tc>
          <w:tcPr>
            <w:tcW w:w="1684" w:type="dxa"/>
            <w:tcBorders>
              <w:top w:val="nil"/>
              <w:left w:val="nil"/>
              <w:bottom w:val="single" w:color="auto" w:sz="4" w:space="0"/>
              <w:right w:val="single" w:color="auto" w:sz="4" w:space="0"/>
            </w:tcBorders>
            <w:noWrap/>
            <w:vAlign w:val="center"/>
          </w:tcPr>
          <w:p>
            <w:pPr>
              <w:widowControl/>
              <w:jc w:val="center"/>
              <w:textAlignment w:val="bottom"/>
              <w:rPr>
                <w:rFonts w:ascii="宋体" w:hAnsi="宋体" w:cs="宋体"/>
                <w:kern w:val="0"/>
                <w:szCs w:val="21"/>
              </w:rPr>
            </w:pPr>
            <w:r>
              <w:rPr>
                <w:rFonts w:hint="eastAsia" w:ascii="宋体" w:hAnsi="宋体" w:cs="宋体"/>
                <w:kern w:val="0"/>
                <w:szCs w:val="21"/>
                <w:lang w:bidi="ar"/>
              </w:rPr>
              <w:t>底部挂高5.5米</w:t>
            </w:r>
          </w:p>
        </w:tc>
        <w:tc>
          <w:tcPr>
            <w:tcW w:w="427" w:type="dxa"/>
            <w:tcBorders>
              <w:top w:val="nil"/>
              <w:left w:val="nil"/>
              <w:bottom w:val="single" w:color="auto" w:sz="4" w:space="0"/>
              <w:right w:val="single" w:color="auto" w:sz="4" w:space="0"/>
            </w:tcBorders>
            <w:noWrap/>
            <w:vAlign w:val="center"/>
          </w:tcPr>
          <w:p>
            <w:pPr>
              <w:widowControl/>
              <w:jc w:val="center"/>
              <w:textAlignment w:val="bottom"/>
              <w:rPr>
                <w:rFonts w:ascii="宋体" w:hAnsi="宋体" w:cs="宋体"/>
                <w:color w:val="000000"/>
                <w:kern w:val="0"/>
                <w:szCs w:val="21"/>
              </w:rPr>
            </w:pPr>
            <w:r>
              <w:rPr>
                <w:rFonts w:hint="eastAsia" w:ascii="宋体" w:hAnsi="宋体" w:cs="宋体"/>
                <w:color w:val="000000"/>
                <w:kern w:val="0"/>
                <w:szCs w:val="21"/>
                <w:lang w:bidi="ar"/>
              </w:rPr>
              <w:t>3</w:t>
            </w:r>
          </w:p>
        </w:tc>
        <w:tc>
          <w:tcPr>
            <w:tcW w:w="786" w:type="dxa"/>
            <w:tcBorders>
              <w:top w:val="nil"/>
              <w:left w:val="nil"/>
              <w:bottom w:val="single" w:color="auto" w:sz="4" w:space="0"/>
              <w:right w:val="single" w:color="auto" w:sz="4" w:space="0"/>
            </w:tcBorders>
            <w:noWrap/>
            <w:vAlign w:val="center"/>
          </w:tcPr>
          <w:p>
            <w:pPr>
              <w:widowControl/>
              <w:jc w:val="center"/>
              <w:textAlignment w:val="bottom"/>
              <w:rPr>
                <w:rFonts w:ascii="宋体" w:hAnsi="宋体" w:cs="宋体"/>
                <w:color w:val="000000"/>
                <w:kern w:val="0"/>
                <w:szCs w:val="21"/>
              </w:rPr>
            </w:pPr>
            <w:r>
              <w:rPr>
                <w:rFonts w:hint="eastAsia" w:ascii="宋体" w:hAnsi="宋体" w:cs="宋体"/>
                <w:color w:val="000000"/>
                <w:kern w:val="0"/>
                <w:szCs w:val="21"/>
                <w:lang w:bidi="ar"/>
              </w:rPr>
              <w:t>1.1</w:t>
            </w:r>
          </w:p>
        </w:tc>
        <w:tc>
          <w:tcPr>
            <w:tcW w:w="785" w:type="dxa"/>
            <w:tcBorders>
              <w:top w:val="nil"/>
              <w:left w:val="nil"/>
              <w:bottom w:val="single" w:color="auto" w:sz="4" w:space="0"/>
              <w:right w:val="single" w:color="auto" w:sz="4" w:space="0"/>
            </w:tcBorders>
            <w:noWrap/>
            <w:vAlign w:val="center"/>
          </w:tcPr>
          <w:p>
            <w:pPr>
              <w:widowControl/>
              <w:jc w:val="center"/>
              <w:textAlignment w:val="bottom"/>
              <w:rPr>
                <w:rFonts w:ascii="宋体" w:hAnsi="宋体" w:cs="宋体"/>
                <w:color w:val="000000"/>
                <w:kern w:val="0"/>
                <w:szCs w:val="21"/>
              </w:rPr>
            </w:pPr>
            <w:r>
              <w:rPr>
                <w:rFonts w:hint="eastAsia" w:ascii="宋体" w:hAnsi="宋体" w:cs="宋体"/>
                <w:color w:val="000000"/>
                <w:kern w:val="0"/>
                <w:szCs w:val="21"/>
                <w:lang w:bidi="ar"/>
              </w:rPr>
              <w:t>4.34</w:t>
            </w:r>
          </w:p>
        </w:tc>
        <w:tc>
          <w:tcPr>
            <w:tcW w:w="775" w:type="dxa"/>
            <w:tcBorders>
              <w:top w:val="nil"/>
              <w:left w:val="nil"/>
              <w:bottom w:val="single" w:color="auto" w:sz="4" w:space="0"/>
              <w:right w:val="single" w:color="auto" w:sz="4" w:space="0"/>
            </w:tcBorders>
            <w:noWrap/>
            <w:vAlign w:val="center"/>
          </w:tcPr>
          <w:p>
            <w:pPr>
              <w:widowControl/>
              <w:jc w:val="center"/>
              <w:textAlignment w:val="bottom"/>
              <w:rPr>
                <w:rFonts w:ascii="宋体" w:hAnsi="宋体" w:cs="宋体"/>
                <w:color w:val="000000"/>
                <w:kern w:val="0"/>
                <w:szCs w:val="21"/>
              </w:rPr>
            </w:pPr>
            <w:r>
              <w:rPr>
                <w:rFonts w:hint="eastAsia" w:ascii="宋体" w:hAnsi="宋体" w:cs="宋体"/>
                <w:color w:val="000000"/>
                <w:kern w:val="0"/>
                <w:szCs w:val="21"/>
                <w:lang w:bidi="ar"/>
              </w:rPr>
              <w:t>4.48</w:t>
            </w:r>
          </w:p>
        </w:tc>
        <w:tc>
          <w:tcPr>
            <w:tcW w:w="709" w:type="dxa"/>
            <w:tcBorders>
              <w:top w:val="nil"/>
              <w:left w:val="nil"/>
              <w:bottom w:val="single" w:color="auto" w:sz="4" w:space="0"/>
              <w:right w:val="single" w:color="auto" w:sz="4" w:space="0"/>
            </w:tcBorders>
            <w:noWrap/>
            <w:vAlign w:val="center"/>
          </w:tcPr>
          <w:p>
            <w:pPr>
              <w:widowControl/>
              <w:jc w:val="center"/>
              <w:textAlignment w:val="bottom"/>
              <w:rPr>
                <w:rFonts w:ascii="宋体" w:hAnsi="宋体" w:cs="宋体"/>
                <w:color w:val="000000"/>
                <w:kern w:val="0"/>
                <w:szCs w:val="21"/>
              </w:rPr>
            </w:pPr>
            <w:r>
              <w:rPr>
                <w:rFonts w:hint="eastAsia" w:ascii="宋体" w:hAnsi="宋体" w:cs="宋体"/>
                <w:color w:val="000000"/>
                <w:kern w:val="0"/>
                <w:szCs w:val="21"/>
                <w:lang w:bidi="ar"/>
              </w:rPr>
              <w:t>5.08</w:t>
            </w:r>
          </w:p>
        </w:tc>
      </w:tr>
      <w:tr>
        <w:tblPrEx>
          <w:tblCellMar>
            <w:top w:w="0" w:type="dxa"/>
            <w:left w:w="108" w:type="dxa"/>
            <w:bottom w:w="0" w:type="dxa"/>
            <w:right w:w="108" w:type="dxa"/>
          </w:tblCellMar>
        </w:tblPrEx>
        <w:trPr>
          <w:trHeight w:val="234" w:hRule="atLeast"/>
        </w:trPr>
        <w:tc>
          <w:tcPr>
            <w:tcW w:w="1335"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视频采集</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w:t>
            </w:r>
          </w:p>
        </w:tc>
        <w:tc>
          <w:tcPr>
            <w:tcW w:w="21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方形180*154*635</w:t>
            </w:r>
          </w:p>
        </w:tc>
        <w:tc>
          <w:tcPr>
            <w:tcW w:w="168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底部挂高2.5米</w:t>
            </w:r>
          </w:p>
        </w:tc>
        <w:tc>
          <w:tcPr>
            <w:tcW w:w="427"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78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0.12</w:t>
            </w:r>
          </w:p>
        </w:tc>
        <w:tc>
          <w:tcPr>
            <w:tcW w:w="78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0.16</w:t>
            </w:r>
          </w:p>
        </w:tc>
        <w:tc>
          <w:tcPr>
            <w:tcW w:w="77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0.16</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0.18</w:t>
            </w:r>
          </w:p>
        </w:tc>
      </w:tr>
      <w:tr>
        <w:tblPrEx>
          <w:tblCellMar>
            <w:top w:w="0" w:type="dxa"/>
            <w:left w:w="108" w:type="dxa"/>
            <w:bottom w:w="0" w:type="dxa"/>
            <w:right w:w="108" w:type="dxa"/>
          </w:tblCellMar>
        </w:tblPrEx>
        <w:trPr>
          <w:trHeight w:val="234" w:hRule="atLeast"/>
        </w:trPr>
        <w:tc>
          <w:tcPr>
            <w:tcW w:w="1335"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公共WLAN</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21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265*265*83</w:t>
            </w:r>
          </w:p>
        </w:tc>
        <w:tc>
          <w:tcPr>
            <w:tcW w:w="168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底部挂高2.5米</w:t>
            </w:r>
          </w:p>
        </w:tc>
        <w:tc>
          <w:tcPr>
            <w:tcW w:w="427"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78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0.07</w:t>
            </w:r>
          </w:p>
        </w:tc>
        <w:tc>
          <w:tcPr>
            <w:tcW w:w="78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0.09</w:t>
            </w:r>
          </w:p>
        </w:tc>
        <w:tc>
          <w:tcPr>
            <w:tcW w:w="77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0.1</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0.11</w:t>
            </w:r>
          </w:p>
        </w:tc>
      </w:tr>
      <w:tr>
        <w:tblPrEx>
          <w:tblCellMar>
            <w:top w:w="0" w:type="dxa"/>
            <w:left w:w="108" w:type="dxa"/>
            <w:bottom w:w="0" w:type="dxa"/>
            <w:right w:w="108" w:type="dxa"/>
          </w:tblCellMar>
        </w:tblPrEx>
        <w:trPr>
          <w:trHeight w:val="234" w:hRule="atLeast"/>
        </w:trPr>
        <w:tc>
          <w:tcPr>
            <w:tcW w:w="1335"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公共广播</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21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方形180*260*130</w:t>
            </w:r>
          </w:p>
        </w:tc>
        <w:tc>
          <w:tcPr>
            <w:tcW w:w="168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底部挂高2.5米</w:t>
            </w:r>
          </w:p>
        </w:tc>
        <w:tc>
          <w:tcPr>
            <w:tcW w:w="427"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78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0.05</w:t>
            </w:r>
          </w:p>
        </w:tc>
        <w:tc>
          <w:tcPr>
            <w:tcW w:w="78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0.07</w:t>
            </w:r>
          </w:p>
        </w:tc>
        <w:tc>
          <w:tcPr>
            <w:tcW w:w="77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0.07</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0.08</w:t>
            </w:r>
          </w:p>
        </w:tc>
      </w:tr>
      <w:tr>
        <w:tblPrEx>
          <w:tblCellMar>
            <w:top w:w="0" w:type="dxa"/>
            <w:left w:w="108" w:type="dxa"/>
            <w:bottom w:w="0" w:type="dxa"/>
            <w:right w:w="108" w:type="dxa"/>
          </w:tblCellMar>
        </w:tblPrEx>
        <w:trPr>
          <w:trHeight w:val="234" w:hRule="atLeast"/>
        </w:trPr>
        <w:tc>
          <w:tcPr>
            <w:tcW w:w="1335"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信息发布屏</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70</w:t>
            </w:r>
          </w:p>
        </w:tc>
        <w:tc>
          <w:tcPr>
            <w:tcW w:w="21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1360*720</w:t>
            </w:r>
          </w:p>
        </w:tc>
        <w:tc>
          <w:tcPr>
            <w:tcW w:w="168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底部挂高2.5米</w:t>
            </w:r>
          </w:p>
        </w:tc>
        <w:tc>
          <w:tcPr>
            <w:tcW w:w="427"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78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78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1.32</w:t>
            </w:r>
          </w:p>
        </w:tc>
        <w:tc>
          <w:tcPr>
            <w:tcW w:w="77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1.36</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1.54</w:t>
            </w:r>
          </w:p>
        </w:tc>
      </w:tr>
      <w:tr>
        <w:tblPrEx>
          <w:tblCellMar>
            <w:top w:w="0" w:type="dxa"/>
            <w:left w:w="108" w:type="dxa"/>
            <w:bottom w:w="0" w:type="dxa"/>
            <w:right w:w="108" w:type="dxa"/>
          </w:tblCellMar>
        </w:tblPrEx>
        <w:trPr>
          <w:trHeight w:val="234" w:hRule="atLeast"/>
        </w:trPr>
        <w:tc>
          <w:tcPr>
            <w:tcW w:w="1335"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一键呼叫</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w:t>
            </w:r>
          </w:p>
        </w:tc>
        <w:tc>
          <w:tcPr>
            <w:tcW w:w="21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240*140*65</w:t>
            </w:r>
          </w:p>
        </w:tc>
        <w:tc>
          <w:tcPr>
            <w:tcW w:w="168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427"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78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7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r>
      <w:tr>
        <w:tblPrEx>
          <w:tblCellMar>
            <w:top w:w="0" w:type="dxa"/>
            <w:left w:w="108" w:type="dxa"/>
            <w:bottom w:w="0" w:type="dxa"/>
            <w:right w:w="108" w:type="dxa"/>
          </w:tblCellMar>
        </w:tblPrEx>
        <w:trPr>
          <w:trHeight w:val="413" w:hRule="atLeast"/>
        </w:trPr>
        <w:tc>
          <w:tcPr>
            <w:tcW w:w="1335"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多媒体交互屏</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21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285.7*241.3</w:t>
            </w:r>
          </w:p>
        </w:tc>
        <w:tc>
          <w:tcPr>
            <w:tcW w:w="168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427"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78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7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r>
      <w:tr>
        <w:tblPrEx>
          <w:tblCellMar>
            <w:top w:w="0" w:type="dxa"/>
            <w:left w:w="108" w:type="dxa"/>
            <w:bottom w:w="0" w:type="dxa"/>
            <w:right w:w="108" w:type="dxa"/>
          </w:tblCellMar>
        </w:tblPrEx>
        <w:trPr>
          <w:trHeight w:val="246" w:hRule="atLeast"/>
        </w:trPr>
        <w:tc>
          <w:tcPr>
            <w:tcW w:w="1335"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充电桩</w:t>
            </w:r>
          </w:p>
        </w:tc>
        <w:tc>
          <w:tcPr>
            <w:tcW w:w="73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35</w:t>
            </w:r>
          </w:p>
        </w:tc>
        <w:tc>
          <w:tcPr>
            <w:tcW w:w="2101"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168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427"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78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8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7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r>
    </w:tbl>
    <w:p>
      <w:pPr>
        <w:pStyle w:val="26"/>
        <w:numPr>
          <w:ilvl w:val="3"/>
          <w:numId w:val="20"/>
        </w:numPr>
        <w:ind w:firstLineChars="0"/>
        <w:rPr>
          <w:szCs w:val="21"/>
        </w:rPr>
      </w:pPr>
      <w:r>
        <w:rPr>
          <w:szCs w:val="21"/>
        </w:rPr>
        <w:t>智慧灯杆根据可搭载荷载能力分为</w:t>
      </w:r>
      <w:r>
        <w:rPr>
          <w:rFonts w:hint="eastAsia"/>
          <w:szCs w:val="21"/>
        </w:rPr>
        <w:t>高配和低配</w:t>
      </w:r>
      <w:r>
        <w:rPr>
          <w:szCs w:val="21"/>
        </w:rPr>
        <w:t>两类，</w:t>
      </w:r>
      <w:r>
        <w:rPr>
          <w:rFonts w:hint="eastAsia"/>
          <w:szCs w:val="21"/>
        </w:rPr>
        <w:t>高配</w:t>
      </w:r>
      <w:r>
        <w:rPr>
          <w:szCs w:val="21"/>
        </w:rPr>
        <w:t>智慧灯杆</w:t>
      </w:r>
      <w:r>
        <w:rPr>
          <w:rFonts w:hint="eastAsia"/>
          <w:szCs w:val="21"/>
        </w:rPr>
        <w:t>可</w:t>
      </w:r>
      <w:r>
        <w:rPr>
          <w:szCs w:val="21"/>
        </w:rPr>
        <w:t>搭载交通标志、交通信号灯、交通执法等荷载较高的挂载设备及必选荷载，其他设备可按需求挂载；</w:t>
      </w:r>
      <w:r>
        <w:rPr>
          <w:rFonts w:hint="eastAsia"/>
          <w:szCs w:val="21"/>
        </w:rPr>
        <w:t>低配</w:t>
      </w:r>
      <w:r>
        <w:rPr>
          <w:szCs w:val="21"/>
        </w:rPr>
        <w:t>智慧灯杆</w:t>
      </w:r>
      <w:r>
        <w:rPr>
          <w:rFonts w:hint="eastAsia"/>
          <w:szCs w:val="21"/>
        </w:rPr>
        <w:t>可</w:t>
      </w:r>
      <w:r>
        <w:rPr>
          <w:szCs w:val="21"/>
        </w:rPr>
        <w:t>搭载必选荷载及其他荷载较低的挂载设备。</w:t>
      </w:r>
    </w:p>
    <w:p>
      <w:pPr>
        <w:pStyle w:val="26"/>
        <w:numPr>
          <w:ilvl w:val="3"/>
          <w:numId w:val="20"/>
        </w:numPr>
        <w:ind w:firstLineChars="0"/>
        <w:rPr>
          <w:szCs w:val="21"/>
        </w:rPr>
      </w:pPr>
      <w:r>
        <w:rPr>
          <w:rFonts w:hint="eastAsia"/>
          <w:szCs w:val="21"/>
        </w:rPr>
        <w:t>高配和低配两种类型</w:t>
      </w:r>
      <w:r>
        <w:rPr>
          <w:szCs w:val="21"/>
        </w:rPr>
        <w:t>智慧灯杆的</w:t>
      </w:r>
      <w:r>
        <w:rPr>
          <w:rFonts w:hint="eastAsia"/>
          <w:szCs w:val="21"/>
        </w:rPr>
        <w:t>承载能力</w:t>
      </w:r>
      <w:r>
        <w:rPr>
          <w:szCs w:val="21"/>
        </w:rPr>
        <w:t>应综合考虑实际应用场景及经济合理性需求，</w:t>
      </w:r>
      <w:r>
        <w:rPr>
          <w:rFonts w:hint="eastAsia"/>
          <w:szCs w:val="21"/>
        </w:rPr>
        <w:t>布设位置可参考附录D</w:t>
      </w:r>
      <w:r>
        <w:rPr>
          <w:szCs w:val="21"/>
        </w:rPr>
        <w:t xml:space="preserve"> </w:t>
      </w:r>
      <w:r>
        <w:rPr>
          <w:rFonts w:hint="eastAsia"/>
          <w:szCs w:val="21"/>
        </w:rPr>
        <w:t>杆件布设场景示意。</w:t>
      </w:r>
    </w:p>
    <w:p>
      <w:pPr>
        <w:pStyle w:val="26"/>
        <w:numPr>
          <w:ilvl w:val="3"/>
          <w:numId w:val="20"/>
        </w:numPr>
        <w:ind w:firstLineChars="0"/>
        <w:rPr>
          <w:szCs w:val="21"/>
        </w:rPr>
      </w:pPr>
      <w:r>
        <w:rPr>
          <w:rFonts w:hint="eastAsia"/>
          <w:szCs w:val="21"/>
        </w:rPr>
        <w:t>直径在250mm以内的杆体，宜</w:t>
      </w:r>
      <w:r>
        <w:rPr>
          <w:szCs w:val="21"/>
        </w:rPr>
        <w:t>采用圆形截面；直径大于</w:t>
      </w:r>
      <w:r>
        <w:rPr>
          <w:rFonts w:hint="eastAsia"/>
          <w:szCs w:val="21"/>
        </w:rPr>
        <w:t>250</w:t>
      </w:r>
      <w:r>
        <w:rPr>
          <w:szCs w:val="21"/>
        </w:rPr>
        <w:t>mm的杆体，</w:t>
      </w:r>
      <w:r>
        <w:rPr>
          <w:rFonts w:hint="eastAsia"/>
          <w:szCs w:val="21"/>
        </w:rPr>
        <w:t>宜采用圆形、8边形或12边形截面。</w:t>
      </w:r>
    </w:p>
    <w:p>
      <w:pPr>
        <w:pStyle w:val="26"/>
        <w:numPr>
          <w:ilvl w:val="3"/>
          <w:numId w:val="20"/>
        </w:numPr>
        <w:ind w:firstLineChars="0"/>
        <w:rPr>
          <w:color w:val="FF0000"/>
          <w:szCs w:val="21"/>
        </w:rPr>
      </w:pPr>
      <w:r>
        <w:rPr>
          <w:rFonts w:hint="eastAsia"/>
          <w:szCs w:val="21"/>
        </w:rPr>
        <w:t>交通标志、交通信号灯、交通执法的悬臂及荷载应符合现行标准的相关规定；对于其他设备，低于15m杆体的悬臂挑出长度不宜大于2米。</w:t>
      </w:r>
    </w:p>
    <w:p>
      <w:pPr>
        <w:pStyle w:val="52"/>
        <w:numPr>
          <w:ilvl w:val="2"/>
          <w:numId w:val="20"/>
        </w:numPr>
        <w:spacing w:before="156" w:after="156"/>
        <w:outlineLvl w:val="2"/>
      </w:pPr>
      <w:bookmarkStart w:id="261" w:name="_Toc14637"/>
      <w:bookmarkStart w:id="262" w:name="_Toc19018"/>
      <w:bookmarkStart w:id="263" w:name="_Toc18990"/>
      <w:bookmarkStart w:id="264" w:name="_Toc14767"/>
      <w:bookmarkStart w:id="265" w:name="_Toc8598"/>
      <w:bookmarkStart w:id="266" w:name="_Toc13050"/>
      <w:bookmarkStart w:id="267" w:name="_Toc32430"/>
      <w:bookmarkStart w:id="268" w:name="_Toc31587"/>
      <w:bookmarkStart w:id="269" w:name="_Toc9286"/>
      <w:bookmarkStart w:id="270" w:name="_Toc6005"/>
      <w:r>
        <w:rPr>
          <w:rFonts w:hint="eastAsia"/>
        </w:rPr>
        <w:t>防雷接地</w:t>
      </w:r>
      <w:bookmarkEnd w:id="261"/>
      <w:bookmarkEnd w:id="262"/>
      <w:bookmarkEnd w:id="263"/>
      <w:bookmarkEnd w:id="264"/>
      <w:bookmarkEnd w:id="265"/>
      <w:bookmarkEnd w:id="266"/>
      <w:bookmarkEnd w:id="267"/>
      <w:bookmarkEnd w:id="268"/>
      <w:bookmarkEnd w:id="269"/>
      <w:bookmarkEnd w:id="270"/>
    </w:p>
    <w:p>
      <w:pPr>
        <w:pStyle w:val="26"/>
        <w:numPr>
          <w:ilvl w:val="3"/>
          <w:numId w:val="20"/>
        </w:numPr>
        <w:ind w:firstLineChars="0"/>
        <w:rPr>
          <w:rFonts w:cs="宋体"/>
          <w:color w:val="000000"/>
          <w:szCs w:val="21"/>
        </w:rPr>
      </w:pPr>
      <w:r>
        <w:rPr>
          <w:rFonts w:hint="eastAsia" w:cs="宋体"/>
          <w:color w:val="000000"/>
          <w:szCs w:val="21"/>
        </w:rPr>
        <w:t>智慧灯杆电气设备可触及的金属部分均应严格按照要求做接地安全保护，防雷接地应符合</w:t>
      </w:r>
      <w:bookmarkStart w:id="271" w:name="_Hlk42587932"/>
      <w:r>
        <w:rPr>
          <w:rFonts w:hint="eastAsia" w:cs="宋体"/>
          <w:color w:val="000000"/>
          <w:szCs w:val="21"/>
        </w:rPr>
        <w:t>《建筑物电子信息系统防雷技术规范》GB</w:t>
      </w:r>
      <w:r>
        <w:rPr>
          <w:color w:val="000000"/>
        </w:rPr>
        <w:t xml:space="preserve"> </w:t>
      </w:r>
      <w:r>
        <w:rPr>
          <w:rFonts w:cs="宋体"/>
          <w:color w:val="000000"/>
          <w:szCs w:val="21"/>
        </w:rPr>
        <w:t>50343-2012</w:t>
      </w:r>
      <w:bookmarkEnd w:id="271"/>
      <w:r>
        <w:rPr>
          <w:rFonts w:hint="eastAsia" w:cs="宋体"/>
          <w:color w:val="000000"/>
          <w:szCs w:val="21"/>
        </w:rPr>
        <w:t>中5</w:t>
      </w:r>
      <w:r>
        <w:rPr>
          <w:rFonts w:cs="宋体"/>
          <w:color w:val="000000"/>
          <w:szCs w:val="21"/>
        </w:rPr>
        <w:t>.5</w:t>
      </w:r>
      <w:r>
        <w:rPr>
          <w:rFonts w:hint="eastAsia" w:cs="宋体"/>
          <w:color w:val="000000"/>
          <w:szCs w:val="21"/>
        </w:rPr>
        <w:t>、《小型无线系统的防雷接地技术要求》YDT3007中5.2、5.3的相关规定。</w:t>
      </w:r>
    </w:p>
    <w:p>
      <w:pPr>
        <w:pStyle w:val="26"/>
        <w:numPr>
          <w:ilvl w:val="3"/>
          <w:numId w:val="20"/>
        </w:numPr>
        <w:ind w:firstLineChars="0"/>
        <w:rPr>
          <w:szCs w:val="21"/>
        </w:rPr>
      </w:pPr>
      <w:r>
        <w:rPr>
          <w:rFonts w:hint="eastAsia" w:cs="宋体"/>
          <w:szCs w:val="21"/>
        </w:rPr>
        <w:t>智慧灯杆的</w:t>
      </w:r>
      <w:r>
        <w:rPr>
          <w:rFonts w:hint="eastAsia" w:ascii="黑体"/>
          <w:szCs w:val="21"/>
        </w:rPr>
        <w:t>杆体及构件、设备外壳、配电及控制箱等外露可导电部分应进行保护接地，</w:t>
      </w:r>
      <w:r>
        <w:rPr>
          <w:rFonts w:hint="eastAsia"/>
          <w:szCs w:val="21"/>
        </w:rPr>
        <w:t>电气系统接地型式宜采用TN-S系统或TT系</w:t>
      </w:r>
      <w:r>
        <w:rPr>
          <w:rFonts w:hint="eastAsia" w:ascii="黑体"/>
          <w:szCs w:val="21"/>
        </w:rPr>
        <w:t>统</w:t>
      </w:r>
      <w:r>
        <w:rPr>
          <w:rFonts w:hint="eastAsia"/>
          <w:szCs w:val="21"/>
        </w:rPr>
        <w:t>，TN-S和TT系统示意见图2、图3。</w:t>
      </w:r>
    </w:p>
    <w:p>
      <w:pPr>
        <w:pStyle w:val="26"/>
        <w:spacing w:line="312" w:lineRule="auto"/>
        <w:ind w:firstLine="0" w:firstLineChars="0"/>
        <w:jc w:val="center"/>
        <w:rPr>
          <w:szCs w:val="21"/>
        </w:rPr>
      </w:pPr>
      <w:r>
        <w:rPr>
          <w:rFonts w:hint="eastAsia"/>
          <w:szCs w:val="21"/>
        </w:rPr>
        <w:t xml:space="preserve"> </w:t>
      </w:r>
      <w:r>
        <w:rPr>
          <w:rFonts w:hint="eastAsia"/>
          <w:szCs w:val="21"/>
        </w:rPr>
        <w:drawing>
          <wp:inline distT="0" distB="0" distL="0" distR="0">
            <wp:extent cx="1386840" cy="2107565"/>
            <wp:effectExtent l="381000" t="0" r="365760" b="0"/>
            <wp:docPr id="3" name="图片 75" descr="T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5" descr="TN-S"/>
                    <pic:cNvPicPr>
                      <a:picLocks noChangeAspect="1" noChangeArrowheads="1"/>
                    </pic:cNvPicPr>
                  </pic:nvPicPr>
                  <pic:blipFill>
                    <a:blip r:embed="rId16" cstate="print"/>
                    <a:srcRect/>
                    <a:stretch>
                      <a:fillRect/>
                    </a:stretch>
                  </pic:blipFill>
                  <pic:spPr>
                    <a:xfrm rot="-5400000">
                      <a:off x="0" y="0"/>
                      <a:ext cx="1386840" cy="2107565"/>
                    </a:xfrm>
                    <a:prstGeom prst="rect">
                      <a:avLst/>
                    </a:prstGeom>
                    <a:noFill/>
                    <a:ln w="9525" cmpd="sng">
                      <a:noFill/>
                      <a:miter lim="800000"/>
                      <a:headEnd/>
                      <a:tailEnd/>
                    </a:ln>
                    <a:effectLst/>
                  </pic:spPr>
                </pic:pic>
              </a:graphicData>
            </a:graphic>
          </wp:inline>
        </w:drawing>
      </w:r>
      <w:r>
        <w:rPr>
          <w:rFonts w:hint="eastAsia"/>
          <w:szCs w:val="21"/>
        </w:rPr>
        <w:drawing>
          <wp:inline distT="0" distB="0" distL="0" distR="0">
            <wp:extent cx="1386840" cy="2107565"/>
            <wp:effectExtent l="0" t="0" r="6985" b="3810"/>
            <wp:docPr id="30" name="图片 74" descr="TT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4" descr="TT系统"/>
                    <pic:cNvPicPr>
                      <a:picLocks noChangeAspect="1" noChangeArrowheads="1"/>
                    </pic:cNvPicPr>
                  </pic:nvPicPr>
                  <pic:blipFill>
                    <a:blip r:embed="rId17" cstate="print"/>
                    <a:srcRect/>
                    <a:stretch>
                      <a:fillRect/>
                    </a:stretch>
                  </pic:blipFill>
                  <pic:spPr>
                    <a:xfrm rot="-5400000">
                      <a:off x="0" y="0"/>
                      <a:ext cx="1386840" cy="2107565"/>
                    </a:xfrm>
                    <a:prstGeom prst="rect">
                      <a:avLst/>
                    </a:prstGeom>
                    <a:noFill/>
                    <a:ln w="9525" cmpd="sng">
                      <a:noFill/>
                      <a:miter lim="800000"/>
                      <a:headEnd/>
                      <a:tailEnd/>
                    </a:ln>
                    <a:effectLst/>
                  </pic:spPr>
                </pic:pic>
              </a:graphicData>
            </a:graphic>
          </wp:inline>
        </w:drawing>
      </w:r>
      <w:r>
        <w:rPr>
          <w:rFonts w:hint="eastAsia"/>
          <w:szCs w:val="21"/>
        </w:rPr>
        <w:t xml:space="preserve">              </w:t>
      </w:r>
    </w:p>
    <w:p>
      <w:pPr>
        <w:pStyle w:val="26"/>
        <w:spacing w:line="312" w:lineRule="auto"/>
        <w:ind w:firstLine="1054" w:firstLineChars="500"/>
        <w:rPr>
          <w:b/>
          <w:bCs/>
          <w:szCs w:val="21"/>
        </w:rPr>
      </w:pPr>
      <w:r>
        <w:rPr>
          <w:rFonts w:hint="eastAsia"/>
          <w:b/>
          <w:bCs/>
          <w:szCs w:val="21"/>
        </w:rPr>
        <w:t>图2 TN-S接地系统示意图</w:t>
      </w:r>
      <w:bookmarkStart w:id="272" w:name="_Hlk525822168"/>
      <w:r>
        <w:rPr>
          <w:rFonts w:hint="eastAsia"/>
          <w:b/>
          <w:bCs/>
          <w:szCs w:val="21"/>
        </w:rPr>
        <w:t xml:space="preserve">                         图3 TT接地系统示意图</w:t>
      </w:r>
      <w:bookmarkEnd w:id="272"/>
    </w:p>
    <w:p>
      <w:pPr>
        <w:pStyle w:val="26"/>
        <w:numPr>
          <w:ilvl w:val="3"/>
          <w:numId w:val="20"/>
        </w:numPr>
        <w:ind w:firstLineChars="0"/>
        <w:rPr>
          <w:color w:val="000000"/>
          <w:szCs w:val="21"/>
        </w:rPr>
      </w:pPr>
      <w:r>
        <w:rPr>
          <w:rFonts w:hint="eastAsia"/>
          <w:szCs w:val="21"/>
        </w:rPr>
        <w:t>杆体、悬臂、底座等所有裸露金属部件与接地端</w:t>
      </w:r>
      <w:r>
        <w:rPr>
          <w:rFonts w:hint="eastAsia"/>
          <w:color w:val="000000"/>
          <w:szCs w:val="21"/>
        </w:rPr>
        <w:t>子之间应具有可靠的电气连接，端子固定螺栓规格不应小于</w:t>
      </w:r>
      <w:r>
        <w:rPr>
          <w:color w:val="000000"/>
          <w:szCs w:val="21"/>
        </w:rPr>
        <w:t>M8</w:t>
      </w:r>
      <w:r>
        <w:rPr>
          <w:rFonts w:hint="eastAsia"/>
          <w:color w:val="000000"/>
          <w:szCs w:val="21"/>
        </w:rPr>
        <w:t xml:space="preserve">。 </w:t>
      </w:r>
    </w:p>
    <w:p>
      <w:pPr>
        <w:pStyle w:val="26"/>
        <w:numPr>
          <w:ilvl w:val="3"/>
          <w:numId w:val="20"/>
        </w:numPr>
        <w:tabs>
          <w:tab w:val="left" w:pos="0"/>
        </w:tabs>
        <w:ind w:firstLineChars="0"/>
        <w:jc w:val="left"/>
        <w:rPr>
          <w:color w:val="000000"/>
        </w:rPr>
      </w:pPr>
      <w:r>
        <w:rPr>
          <w:rFonts w:hint="eastAsia"/>
          <w:color w:val="000000"/>
        </w:rPr>
        <w:t>杆体与连接件的连接方式主要有套接和法兰连接两种；当采用法兰连接时，法兰盘采用8.8级高强度螺栓，在高强度螺栓连接范围内，严禁刷油漆或污损；当采用套接连接时，套接长度应考虑加工与安装偏差，且不小于套接杆段外管最大内径的1.5倍。</w:t>
      </w:r>
    </w:p>
    <w:p>
      <w:pPr>
        <w:pStyle w:val="26"/>
        <w:numPr>
          <w:ilvl w:val="3"/>
          <w:numId w:val="20"/>
        </w:numPr>
        <w:ind w:firstLineChars="0"/>
        <w:jc w:val="left"/>
        <w:rPr>
          <w:i/>
          <w:iCs/>
          <w:color w:val="FF0000"/>
          <w:szCs w:val="21"/>
        </w:rPr>
      </w:pPr>
      <w:r>
        <w:rPr>
          <w:rFonts w:hint="eastAsia"/>
          <w:color w:val="000000"/>
        </w:rPr>
        <w:t>智慧灯杆接地电阻应符合《城市道路照明工程施工及验收规程》CJJ89和《通信局（站）接地与防雷标准》GB50689的规定，其接地电阻不应大于</w:t>
      </w:r>
      <w:r>
        <w:rPr>
          <w:color w:val="000000"/>
        </w:rPr>
        <w:t>4</w:t>
      </w:r>
      <w:r>
        <w:rPr>
          <w:rFonts w:hint="eastAsia"/>
          <w:color w:val="000000"/>
        </w:rPr>
        <w:t>Ω。</w:t>
      </w:r>
    </w:p>
    <w:p>
      <w:pPr>
        <w:pStyle w:val="26"/>
        <w:numPr>
          <w:ilvl w:val="3"/>
          <w:numId w:val="20"/>
        </w:numPr>
        <w:tabs>
          <w:tab w:val="left" w:pos="0"/>
        </w:tabs>
        <w:ind w:firstLineChars="0"/>
        <w:rPr>
          <w:color w:val="3A00FF"/>
        </w:rPr>
      </w:pPr>
      <w:r>
        <w:rPr>
          <w:rFonts w:hint="eastAsia"/>
          <w:color w:val="000000"/>
        </w:rPr>
        <w:t>智慧灯杆的地网应符合《灯杆：第一部分一般要求》QBT5093-1和《建筑物防雷设计规范》GB50057相关规定，宜采用地基基础钢筋笼主筋作为自然接地体，地脚螺栓与钢筋笼内主筋焊接连接，抽头扁钢一端焊在基础主筋上，另一端待杆体安装后焊在塔脚底法兰板上，焊接处应刷沥青</w:t>
      </w:r>
      <w:r>
        <w:rPr>
          <w:rFonts w:hint="eastAsia"/>
          <w:color w:val="3A00FF"/>
        </w:rPr>
        <w:t>，</w:t>
      </w:r>
      <w:r>
        <w:rPr>
          <w:rFonts w:hint="eastAsia"/>
          <w:color w:val="000000"/>
        </w:rPr>
        <w:t>所有与智慧灯杆组合在一起的金属件都应等电位连接在一起，并应与防雷装置相连。</w:t>
      </w:r>
    </w:p>
    <w:p>
      <w:pPr>
        <w:pStyle w:val="26"/>
        <w:numPr>
          <w:ilvl w:val="3"/>
          <w:numId w:val="20"/>
        </w:numPr>
        <w:tabs>
          <w:tab w:val="left" w:pos="0"/>
        </w:tabs>
        <w:ind w:firstLineChars="0"/>
        <w:rPr>
          <w:color w:val="000000"/>
        </w:rPr>
      </w:pPr>
      <w:r>
        <w:rPr>
          <w:rFonts w:hint="eastAsia"/>
        </w:rPr>
        <w:t>若地网的接地电阻值达不到要求，宜围</w:t>
      </w:r>
      <w:r>
        <w:rPr>
          <w:rFonts w:hint="eastAsia"/>
          <w:color w:val="000000"/>
        </w:rPr>
        <w:t>绕杆体地基3m远范围设置封闭环形（矩形）接地体，并与杆体地基钢板四角可靠焊接连通。</w:t>
      </w:r>
    </w:p>
    <w:p>
      <w:pPr>
        <w:pStyle w:val="26"/>
        <w:numPr>
          <w:ilvl w:val="3"/>
          <w:numId w:val="20"/>
        </w:numPr>
        <w:ind w:firstLineChars="0"/>
        <w:jc w:val="left"/>
        <w:rPr>
          <w:color w:val="000000"/>
        </w:rPr>
      </w:pPr>
      <w:r>
        <w:rPr>
          <w:rFonts w:hint="eastAsia"/>
          <w:color w:val="000000"/>
        </w:rPr>
        <w:t>当智慧灯杆高度超过15m(含)时，应设置避雷针，避雷针应用圆钢或钢管制成，其直径不应小于下列数值：圆钢25mm，钢管40mm，壁厚不应小于2.75mm；应确保所有挂载设备均在避雷针的保护范围内；避雷针与引下线之间应采用螺栓连接，避雷针与引下线及接地装置的紧固件均应使用热浸镀锌制品；金属智慧灯杆的杆体可作为避雷针的引下线或釆用专用铜芯屏蔽引下线。</w:t>
      </w:r>
    </w:p>
    <w:p>
      <w:pPr>
        <w:pStyle w:val="52"/>
        <w:numPr>
          <w:ilvl w:val="2"/>
          <w:numId w:val="20"/>
        </w:numPr>
        <w:spacing w:before="156" w:after="156"/>
        <w:outlineLvl w:val="2"/>
      </w:pPr>
      <w:bookmarkStart w:id="273" w:name="_Toc29146"/>
      <w:bookmarkStart w:id="274" w:name="_Toc10970"/>
      <w:bookmarkStart w:id="275" w:name="_Toc4407"/>
      <w:bookmarkStart w:id="276" w:name="_Toc29002"/>
      <w:bookmarkStart w:id="277" w:name="_Toc23447"/>
      <w:bookmarkStart w:id="278" w:name="_Toc28611"/>
      <w:bookmarkStart w:id="279" w:name="_Toc516577367"/>
      <w:bookmarkStart w:id="280" w:name="_Toc17658"/>
      <w:bookmarkStart w:id="281" w:name="_Toc29376"/>
      <w:bookmarkStart w:id="282" w:name="_Toc27034"/>
      <w:bookmarkStart w:id="283" w:name="_Toc21618"/>
      <w:r>
        <w:rPr>
          <w:rFonts w:hint="eastAsia"/>
        </w:rPr>
        <w:t>接地保护</w:t>
      </w:r>
      <w:bookmarkEnd w:id="273"/>
      <w:bookmarkEnd w:id="274"/>
      <w:bookmarkEnd w:id="275"/>
      <w:bookmarkEnd w:id="276"/>
      <w:bookmarkEnd w:id="277"/>
      <w:bookmarkEnd w:id="278"/>
      <w:bookmarkEnd w:id="279"/>
      <w:bookmarkEnd w:id="280"/>
      <w:bookmarkEnd w:id="281"/>
      <w:bookmarkEnd w:id="282"/>
      <w:bookmarkEnd w:id="283"/>
    </w:p>
    <w:p>
      <w:pPr>
        <w:pStyle w:val="26"/>
        <w:numPr>
          <w:ilvl w:val="3"/>
          <w:numId w:val="20"/>
        </w:numPr>
        <w:ind w:firstLineChars="0"/>
        <w:rPr>
          <w:szCs w:val="21"/>
        </w:rPr>
      </w:pPr>
      <w:bookmarkStart w:id="284" w:name="_Toc510542169"/>
      <w:bookmarkStart w:id="285" w:name="_Toc510542227"/>
      <w:r>
        <w:rPr>
          <w:rFonts w:hint="eastAsia"/>
          <w:szCs w:val="21"/>
        </w:rPr>
        <w:t>为保证人身安全和电网可靠运行，智慧灯杆的接地保护应符合《剩余电流动作保护装置安装和运行》</w:t>
      </w:r>
      <w:r>
        <w:rPr>
          <w:szCs w:val="21"/>
        </w:rPr>
        <w:t>GB/T 13955</w:t>
      </w:r>
      <w:r>
        <w:rPr>
          <w:rFonts w:hint="eastAsia"/>
          <w:szCs w:val="21"/>
        </w:rPr>
        <w:t>和《低压配电设计规范》GB50054中的相关规定。</w:t>
      </w:r>
    </w:p>
    <w:p>
      <w:pPr>
        <w:pStyle w:val="26"/>
        <w:numPr>
          <w:ilvl w:val="3"/>
          <w:numId w:val="20"/>
        </w:numPr>
        <w:ind w:firstLineChars="0"/>
        <w:rPr>
          <w:szCs w:val="21"/>
        </w:rPr>
      </w:pPr>
      <w:r>
        <w:rPr>
          <w:szCs w:val="21"/>
        </w:rPr>
        <w:t>TN-S</w:t>
      </w:r>
      <w:r>
        <w:rPr>
          <w:rFonts w:hint="eastAsia"/>
          <w:szCs w:val="21"/>
        </w:rPr>
        <w:t>或</w:t>
      </w:r>
      <w:r>
        <w:rPr>
          <w:szCs w:val="21"/>
        </w:rPr>
        <w:t>TT</w:t>
      </w:r>
      <w:r>
        <w:rPr>
          <w:rFonts w:hint="eastAsia"/>
          <w:szCs w:val="21"/>
        </w:rPr>
        <w:t>系统的电气线路或电气设备应装设剩余电流动作保护装置（R</w:t>
      </w:r>
      <w:r>
        <w:rPr>
          <w:szCs w:val="21"/>
        </w:rPr>
        <w:t>CD</w:t>
      </w:r>
      <w:r>
        <w:rPr>
          <w:rFonts w:hint="eastAsia"/>
          <w:szCs w:val="21"/>
        </w:rPr>
        <w:t>）作为防电击事故的保护措施；当采用TT系统时，必须采用剩余电流保护器作间接接触防护；当采用TN-S系统时，若熔断器或断路器不能满足间接接触防护要求，也可布设剩余电流保护器进行防护，同时PE线不得接入剩余电流保护器。</w:t>
      </w:r>
    </w:p>
    <w:p>
      <w:pPr>
        <w:pStyle w:val="26"/>
        <w:numPr>
          <w:ilvl w:val="3"/>
          <w:numId w:val="20"/>
        </w:numPr>
        <w:ind w:firstLineChars="0"/>
        <w:jc w:val="left"/>
        <w:rPr>
          <w:szCs w:val="21"/>
        </w:rPr>
      </w:pPr>
      <w:r>
        <w:rPr>
          <w:rFonts w:hint="eastAsia" w:cs="宋体"/>
          <w:szCs w:val="21"/>
        </w:rPr>
        <w:t>智慧灯杆应设置</w:t>
      </w:r>
      <w:r>
        <w:rPr>
          <w:rFonts w:hint="eastAsia"/>
          <w:szCs w:val="21"/>
        </w:rPr>
        <w:t>用电警示标志。</w:t>
      </w:r>
    </w:p>
    <w:p>
      <w:pPr>
        <w:pStyle w:val="85"/>
        <w:numPr>
          <w:ilvl w:val="0"/>
          <w:numId w:val="20"/>
        </w:numPr>
        <w:spacing w:before="312" w:after="156" w:afterLines="50"/>
        <w:outlineLvl w:val="0"/>
      </w:pPr>
      <w:r>
        <w:br w:type="page"/>
      </w:r>
      <w:bookmarkStart w:id="286" w:name="_Toc19028"/>
      <w:bookmarkStart w:id="287" w:name="_Toc5891"/>
      <w:bookmarkStart w:id="288" w:name="_Toc23456"/>
      <w:bookmarkStart w:id="289" w:name="_Toc22671"/>
      <w:bookmarkStart w:id="290" w:name="_Toc2485"/>
      <w:bookmarkStart w:id="291" w:name="_Toc4598"/>
      <w:bookmarkStart w:id="292" w:name="_Toc24149"/>
      <w:bookmarkStart w:id="293" w:name="_Toc27507"/>
      <w:bookmarkStart w:id="294" w:name="_Toc6261"/>
      <w:bookmarkStart w:id="295" w:name="_Toc17279"/>
      <w:r>
        <w:t>挂载设备</w:t>
      </w:r>
      <w:bookmarkEnd w:id="286"/>
      <w:bookmarkEnd w:id="287"/>
      <w:bookmarkEnd w:id="288"/>
      <w:bookmarkEnd w:id="289"/>
      <w:bookmarkEnd w:id="290"/>
      <w:bookmarkEnd w:id="291"/>
      <w:bookmarkEnd w:id="292"/>
      <w:bookmarkEnd w:id="293"/>
      <w:bookmarkEnd w:id="294"/>
      <w:bookmarkEnd w:id="295"/>
    </w:p>
    <w:p>
      <w:pPr>
        <w:pStyle w:val="53"/>
        <w:numPr>
          <w:ilvl w:val="1"/>
          <w:numId w:val="20"/>
        </w:numPr>
        <w:spacing w:beforeLines="0" w:after="156"/>
        <w:outlineLvl w:val="1"/>
        <w:rPr>
          <w:color w:val="000000"/>
        </w:rPr>
      </w:pPr>
      <w:bookmarkStart w:id="296" w:name="_Toc13968"/>
      <w:bookmarkStart w:id="297" w:name="_Toc22298"/>
      <w:bookmarkStart w:id="298" w:name="_Toc19703"/>
      <w:bookmarkStart w:id="299" w:name="_Toc27384"/>
      <w:bookmarkStart w:id="300" w:name="_Toc10296"/>
      <w:bookmarkStart w:id="301" w:name="_Toc15376"/>
      <w:bookmarkStart w:id="302" w:name="_Toc25483"/>
      <w:bookmarkStart w:id="303" w:name="_Toc5519"/>
      <w:bookmarkStart w:id="304" w:name="_Toc30871"/>
      <w:bookmarkStart w:id="305" w:name="_Toc3739"/>
      <w:r>
        <w:rPr>
          <w:rFonts w:hint="eastAsia"/>
          <w:color w:val="000000"/>
        </w:rPr>
        <w:t>总体要求</w:t>
      </w:r>
      <w:bookmarkEnd w:id="296"/>
      <w:bookmarkEnd w:id="297"/>
      <w:bookmarkEnd w:id="298"/>
      <w:bookmarkEnd w:id="299"/>
      <w:bookmarkEnd w:id="300"/>
      <w:bookmarkEnd w:id="301"/>
      <w:bookmarkEnd w:id="302"/>
      <w:bookmarkEnd w:id="303"/>
      <w:bookmarkEnd w:id="304"/>
      <w:bookmarkEnd w:id="305"/>
    </w:p>
    <w:p>
      <w:pPr>
        <w:pStyle w:val="26"/>
        <w:numPr>
          <w:ilvl w:val="2"/>
          <w:numId w:val="20"/>
        </w:numPr>
        <w:tabs>
          <w:tab w:val="clear" w:pos="0"/>
        </w:tabs>
        <w:ind w:firstLineChars="0"/>
        <w:rPr>
          <w:color w:val="000000"/>
          <w:szCs w:val="21"/>
        </w:rPr>
      </w:pPr>
      <w:r>
        <w:rPr>
          <w:rFonts w:hint="eastAsia" w:cs="宋体"/>
          <w:color w:val="000000"/>
          <w:szCs w:val="21"/>
        </w:rPr>
        <w:t>智慧灯杆</w:t>
      </w:r>
      <w:r>
        <w:rPr>
          <w:rFonts w:hint="eastAsia"/>
          <w:color w:val="000000"/>
          <w:szCs w:val="21"/>
        </w:rPr>
        <w:t>应支持多种设备的挂载，挂载设备可包括但不限于本标准所提及的设备类型。挂载设备应满足相应的国家和江西省有关标准要求。</w:t>
      </w:r>
    </w:p>
    <w:p>
      <w:pPr>
        <w:pStyle w:val="26"/>
        <w:numPr>
          <w:ilvl w:val="2"/>
          <w:numId w:val="20"/>
        </w:numPr>
        <w:tabs>
          <w:tab w:val="clear" w:pos="0"/>
        </w:tabs>
        <w:ind w:firstLineChars="0"/>
        <w:rPr>
          <w:color w:val="000000"/>
          <w:szCs w:val="21"/>
          <w:u w:val="single" w:color="C0504D"/>
        </w:rPr>
      </w:pPr>
      <w:r>
        <w:rPr>
          <w:rFonts w:hint="eastAsia"/>
          <w:color w:val="000000"/>
          <w:szCs w:val="21"/>
        </w:rPr>
        <w:t>钢质杆、法兰盘、地脚螺栓、螺母、垫片、加强筋等金属构件及悬臂、支撑杆、拉杆、抱箍座、夹板等附件的防腐性能应符合《钢结构工程施工质量验收标准》GB50205规定。</w:t>
      </w:r>
    </w:p>
    <w:p>
      <w:pPr>
        <w:pStyle w:val="26"/>
        <w:numPr>
          <w:ilvl w:val="2"/>
          <w:numId w:val="20"/>
        </w:numPr>
        <w:tabs>
          <w:tab w:val="clear" w:pos="0"/>
        </w:tabs>
        <w:ind w:firstLineChars="0"/>
        <w:rPr>
          <w:szCs w:val="21"/>
        </w:rPr>
      </w:pPr>
      <w:r>
        <w:rPr>
          <w:rFonts w:hint="eastAsia" w:cs="宋体"/>
          <w:szCs w:val="21"/>
        </w:rPr>
        <w:t>智慧灯杆的功能配置</w:t>
      </w:r>
      <w:r>
        <w:rPr>
          <w:rFonts w:hint="eastAsia"/>
          <w:szCs w:val="21"/>
        </w:rPr>
        <w:t>应综合考虑实际应用场景及功能需求，应用</w:t>
      </w:r>
      <w:r>
        <w:rPr>
          <w:szCs w:val="21"/>
        </w:rPr>
        <w:t>场景</w:t>
      </w:r>
      <w:r>
        <w:rPr>
          <w:rFonts w:hint="eastAsia"/>
          <w:szCs w:val="21"/>
        </w:rPr>
        <w:t>及推荐性</w:t>
      </w:r>
      <w:r>
        <w:rPr>
          <w:szCs w:val="21"/>
        </w:rPr>
        <w:t>配置</w:t>
      </w:r>
      <w:r>
        <w:rPr>
          <w:rFonts w:hint="eastAsia"/>
          <w:szCs w:val="21"/>
        </w:rPr>
        <w:t>可参考</w:t>
      </w:r>
      <w:r>
        <w:rPr>
          <w:szCs w:val="21"/>
        </w:rPr>
        <w:t>表5.1.3</w:t>
      </w:r>
      <w:r>
        <w:rPr>
          <w:rFonts w:hint="eastAsia"/>
          <w:szCs w:val="21"/>
        </w:rPr>
        <w:t>：</w:t>
      </w:r>
    </w:p>
    <w:p>
      <w:pPr>
        <w:pStyle w:val="144"/>
        <w:spacing w:before="156" w:after="156"/>
      </w:pPr>
      <w:r>
        <w:rPr>
          <w:rFonts w:hint="eastAsia"/>
        </w:rPr>
        <w:t>表</w:t>
      </w:r>
      <w:r>
        <w:t xml:space="preserve">5.1.3  </w:t>
      </w:r>
      <w:r>
        <w:rPr>
          <w:rFonts w:hint="eastAsia"/>
        </w:rPr>
        <w:t>智慧灯杆应用场景及可配置功能</w:t>
      </w:r>
    </w:p>
    <w:tbl>
      <w:tblPr>
        <w:tblStyle w:val="37"/>
        <w:tblW w:w="8399" w:type="dxa"/>
        <w:jc w:val="center"/>
        <w:tblLayout w:type="autofit"/>
        <w:tblCellMar>
          <w:top w:w="0" w:type="dxa"/>
          <w:left w:w="0" w:type="dxa"/>
          <w:bottom w:w="0" w:type="dxa"/>
          <w:right w:w="0" w:type="dxa"/>
        </w:tblCellMar>
      </w:tblPr>
      <w:tblGrid>
        <w:gridCol w:w="1710"/>
        <w:gridCol w:w="457"/>
        <w:gridCol w:w="457"/>
        <w:gridCol w:w="457"/>
        <w:gridCol w:w="457"/>
        <w:gridCol w:w="457"/>
        <w:gridCol w:w="457"/>
        <w:gridCol w:w="458"/>
        <w:gridCol w:w="458"/>
        <w:gridCol w:w="458"/>
        <w:gridCol w:w="458"/>
        <w:gridCol w:w="458"/>
        <w:gridCol w:w="458"/>
        <w:gridCol w:w="458"/>
        <w:gridCol w:w="458"/>
        <w:gridCol w:w="468"/>
      </w:tblGrid>
      <w:tr>
        <w:tblPrEx>
          <w:tblCellMar>
            <w:top w:w="0" w:type="dxa"/>
            <w:left w:w="0" w:type="dxa"/>
            <w:bottom w:w="0" w:type="dxa"/>
            <w:right w:w="0" w:type="dxa"/>
          </w:tblCellMar>
        </w:tblPrEx>
        <w:trPr>
          <w:trHeight w:val="276" w:hRule="atLeast"/>
          <w:jc w:val="center"/>
        </w:trPr>
        <w:tc>
          <w:tcPr>
            <w:tcW w:w="15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典型场景</w:t>
            </w:r>
          </w:p>
        </w:tc>
        <w:tc>
          <w:tcPr>
            <w:tcW w:w="6874" w:type="dxa"/>
            <w:gridSpan w:val="1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配置功能</w:t>
            </w:r>
          </w:p>
        </w:tc>
      </w:tr>
      <w:tr>
        <w:tblPrEx>
          <w:tblCellMar>
            <w:top w:w="0" w:type="dxa"/>
            <w:left w:w="0" w:type="dxa"/>
            <w:bottom w:w="0" w:type="dxa"/>
            <w:right w:w="0" w:type="dxa"/>
          </w:tblCellMar>
        </w:tblPrEx>
        <w:trPr>
          <w:trHeight w:val="1040" w:hRule="atLeast"/>
          <w:jc w:val="center"/>
        </w:trPr>
        <w:tc>
          <w:tcPr>
            <w:tcW w:w="15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智慧照明</w:t>
            </w:r>
          </w:p>
        </w:tc>
        <w:tc>
          <w:tcPr>
            <w:tcW w:w="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视频采集</w:t>
            </w:r>
          </w:p>
        </w:tc>
        <w:tc>
          <w:tcPr>
            <w:tcW w:w="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移动通信</w:t>
            </w:r>
          </w:p>
        </w:tc>
        <w:tc>
          <w:tcPr>
            <w:tcW w:w="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交通标志</w:t>
            </w:r>
          </w:p>
        </w:tc>
        <w:tc>
          <w:tcPr>
            <w:tcW w:w="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交通信号灯</w:t>
            </w:r>
          </w:p>
        </w:tc>
        <w:tc>
          <w:tcPr>
            <w:tcW w:w="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交通流检测</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交通执法</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环境监测</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气象监测</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一键呼叫</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信息发布屏</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公共广播</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多媒体交互终端</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公共WLAN</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充电桩</w:t>
            </w:r>
          </w:p>
        </w:tc>
      </w:tr>
      <w:tr>
        <w:tblPrEx>
          <w:tblCellMar>
            <w:top w:w="0" w:type="dxa"/>
            <w:left w:w="0" w:type="dxa"/>
            <w:bottom w:w="0" w:type="dxa"/>
            <w:right w:w="0"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高速公路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r>
      <w:tr>
        <w:tblPrEx>
          <w:tblCellMar>
            <w:top w:w="0" w:type="dxa"/>
            <w:left w:w="0" w:type="dxa"/>
            <w:bottom w:w="0" w:type="dxa"/>
            <w:right w:w="0"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快速路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r>
      <w:tr>
        <w:tblPrEx>
          <w:tblCellMar>
            <w:top w:w="0" w:type="dxa"/>
            <w:left w:w="0" w:type="dxa"/>
            <w:bottom w:w="0" w:type="dxa"/>
            <w:right w:w="0"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主干路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r>
      <w:tr>
        <w:tblPrEx>
          <w:tblCellMar>
            <w:top w:w="0" w:type="dxa"/>
            <w:left w:w="0" w:type="dxa"/>
            <w:bottom w:w="0" w:type="dxa"/>
            <w:right w:w="0"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次干路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r>
      <w:tr>
        <w:tblPrEx>
          <w:tblCellMar>
            <w:top w:w="0" w:type="dxa"/>
            <w:left w:w="0" w:type="dxa"/>
            <w:bottom w:w="0" w:type="dxa"/>
            <w:right w:w="0"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支路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r>
      <w:tr>
        <w:tblPrEx>
          <w:tblCellMar>
            <w:top w:w="0" w:type="dxa"/>
            <w:left w:w="0" w:type="dxa"/>
            <w:bottom w:w="0" w:type="dxa"/>
            <w:right w:w="0"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立交节点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r>
      <w:tr>
        <w:tblPrEx>
          <w:tblCellMar>
            <w:top w:w="0" w:type="dxa"/>
            <w:left w:w="0" w:type="dxa"/>
            <w:bottom w:w="0" w:type="dxa"/>
            <w:right w:w="0"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隧道、桥梁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r>
      <w:tr>
        <w:tblPrEx>
          <w:tblCellMar>
            <w:top w:w="0" w:type="dxa"/>
            <w:left w:w="0" w:type="dxa"/>
            <w:bottom w:w="0" w:type="dxa"/>
            <w:right w:w="0"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停车场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r>
      <w:tr>
        <w:tblPrEx>
          <w:tblCellMar>
            <w:top w:w="0" w:type="dxa"/>
            <w:left w:w="0" w:type="dxa"/>
            <w:bottom w:w="0" w:type="dxa"/>
            <w:right w:w="0"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广场、学校、公园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r>
      <w:tr>
        <w:tblPrEx>
          <w:tblCellMar>
            <w:top w:w="0" w:type="dxa"/>
            <w:left w:w="0" w:type="dxa"/>
            <w:bottom w:w="0" w:type="dxa"/>
            <w:right w:w="0"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商业步行街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r>
      <w:tr>
        <w:tblPrEx>
          <w:tblCellMar>
            <w:top w:w="0" w:type="dxa"/>
            <w:left w:w="0" w:type="dxa"/>
            <w:bottom w:w="0" w:type="dxa"/>
            <w:right w:w="0"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景区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r>
      <w:tr>
        <w:tblPrEx>
          <w:tblCellMar>
            <w:top w:w="0" w:type="dxa"/>
            <w:left w:w="0" w:type="dxa"/>
            <w:bottom w:w="0" w:type="dxa"/>
            <w:right w:w="0" w:type="dxa"/>
          </w:tblCellMar>
        </w:tblPrEx>
        <w:trPr>
          <w:trHeight w:val="2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山地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w:t>
            </w:r>
          </w:p>
        </w:tc>
      </w:tr>
      <w:tr>
        <w:tblPrEx>
          <w:tblCellMar>
            <w:top w:w="0" w:type="dxa"/>
            <w:left w:w="0" w:type="dxa"/>
            <w:bottom w:w="0" w:type="dxa"/>
            <w:right w:w="0" w:type="dxa"/>
          </w:tblCellMar>
        </w:tblPrEx>
        <w:trPr>
          <w:trHeight w:val="284"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center" w:pos="4201"/>
                <w:tab w:val="right" w:leader="dot" w:pos="9298"/>
              </w:tabs>
              <w:autoSpaceDE w:val="0"/>
              <w:autoSpaceDN w:val="0"/>
              <w:jc w:val="left"/>
              <w:rPr>
                <w:rFonts w:ascii="宋体"/>
                <w:szCs w:val="21"/>
                <w:highlight w:val="red"/>
              </w:rPr>
            </w:pPr>
            <w:r>
              <w:rPr>
                <w:rFonts w:hint="eastAsia" w:ascii="宋体"/>
                <w:szCs w:val="21"/>
              </w:rPr>
              <w:t>注：● 宜配置； ○ 可选配置； — 宜不配置。</w:t>
            </w:r>
          </w:p>
        </w:tc>
      </w:tr>
    </w:tbl>
    <w:p>
      <w:pPr>
        <w:rPr>
          <w:rFonts w:ascii="黑体" w:eastAsia="黑体"/>
          <w:szCs w:val="21"/>
        </w:rPr>
      </w:pPr>
    </w:p>
    <w:p>
      <w:pPr>
        <w:pStyle w:val="26"/>
        <w:numPr>
          <w:ilvl w:val="2"/>
          <w:numId w:val="20"/>
        </w:numPr>
        <w:tabs>
          <w:tab w:val="clear" w:pos="0"/>
        </w:tabs>
        <w:ind w:firstLineChars="0"/>
        <w:rPr>
          <w:rFonts w:cs="宋体"/>
          <w:szCs w:val="21"/>
        </w:rPr>
      </w:pPr>
      <w:r>
        <w:rPr>
          <w:rFonts w:hint="eastAsia" w:cs="宋体"/>
          <w:szCs w:val="21"/>
        </w:rPr>
        <w:t>改造智慧灯杆前应按照本标准8.3中规定的相应内容进行评估。</w:t>
      </w:r>
    </w:p>
    <w:p>
      <w:bookmarkStart w:id="306" w:name="_Toc28816"/>
      <w:bookmarkStart w:id="307" w:name="_Toc25724"/>
      <w:bookmarkStart w:id="308" w:name="_Toc11205"/>
      <w:bookmarkStart w:id="309" w:name="_Toc23987"/>
      <w:bookmarkStart w:id="310" w:name="_Toc2709"/>
      <w:bookmarkStart w:id="311" w:name="_Toc12331"/>
      <w:bookmarkStart w:id="312" w:name="_Toc698"/>
      <w:bookmarkStart w:id="313" w:name="_Toc5791"/>
      <w:bookmarkStart w:id="314" w:name="_Toc12039"/>
      <w:bookmarkStart w:id="315" w:name="_Toc3538"/>
      <w:r>
        <w:rPr>
          <w:rFonts w:hint="eastAsia"/>
        </w:rPr>
        <w:br w:type="page"/>
      </w:r>
    </w:p>
    <w:p>
      <w:pPr>
        <w:pStyle w:val="53"/>
        <w:numPr>
          <w:ilvl w:val="1"/>
          <w:numId w:val="20"/>
        </w:numPr>
        <w:spacing w:before="156" w:after="156"/>
        <w:outlineLvl w:val="1"/>
      </w:pPr>
      <w:r>
        <w:rPr>
          <w:rFonts w:hint="eastAsia"/>
        </w:rPr>
        <w:t>设备功能及指标</w:t>
      </w:r>
      <w:bookmarkEnd w:id="306"/>
      <w:bookmarkEnd w:id="307"/>
      <w:bookmarkEnd w:id="308"/>
      <w:bookmarkEnd w:id="309"/>
      <w:bookmarkEnd w:id="310"/>
      <w:bookmarkEnd w:id="311"/>
      <w:bookmarkEnd w:id="312"/>
      <w:bookmarkEnd w:id="313"/>
      <w:bookmarkEnd w:id="314"/>
      <w:bookmarkEnd w:id="315"/>
    </w:p>
    <w:p>
      <w:pPr>
        <w:pStyle w:val="52"/>
        <w:numPr>
          <w:ilvl w:val="2"/>
          <w:numId w:val="20"/>
        </w:numPr>
        <w:spacing w:before="156" w:after="156"/>
        <w:outlineLvl w:val="2"/>
      </w:pPr>
      <w:bookmarkStart w:id="316" w:name="_Toc28039"/>
      <w:bookmarkStart w:id="317" w:name="_Toc16653"/>
      <w:bookmarkStart w:id="318" w:name="_Toc25645"/>
      <w:bookmarkStart w:id="319" w:name="_Toc2480"/>
      <w:bookmarkStart w:id="320" w:name="_Toc18198"/>
      <w:bookmarkStart w:id="321" w:name="_Toc21755"/>
      <w:bookmarkStart w:id="322" w:name="_Toc19679"/>
      <w:bookmarkStart w:id="323" w:name="_Toc5660"/>
      <w:bookmarkStart w:id="324" w:name="_Toc26596"/>
      <w:bookmarkStart w:id="325" w:name="_Toc13012"/>
      <w:r>
        <w:rPr>
          <w:rFonts w:hint="eastAsia"/>
        </w:rPr>
        <w:t>智慧照明</w:t>
      </w:r>
      <w:bookmarkEnd w:id="316"/>
      <w:bookmarkEnd w:id="317"/>
      <w:bookmarkEnd w:id="318"/>
      <w:bookmarkEnd w:id="319"/>
      <w:bookmarkEnd w:id="320"/>
      <w:bookmarkEnd w:id="321"/>
      <w:bookmarkEnd w:id="322"/>
      <w:bookmarkEnd w:id="323"/>
      <w:bookmarkEnd w:id="324"/>
      <w:bookmarkEnd w:id="325"/>
    </w:p>
    <w:p>
      <w:pPr>
        <w:pStyle w:val="26"/>
        <w:numPr>
          <w:ilvl w:val="3"/>
          <w:numId w:val="20"/>
        </w:numPr>
        <w:ind w:firstLineChars="0"/>
        <w:rPr>
          <w:szCs w:val="21"/>
        </w:rPr>
      </w:pPr>
      <w:r>
        <w:rPr>
          <w:rFonts w:hint="eastAsia"/>
          <w:szCs w:val="21"/>
        </w:rPr>
        <w:t>智慧照明包括照明设备与智能管理，能够实现远程集中管理、控制，并支持照明运行状态监测、照明用电监测，以及便捷的查询、定位等功能。</w:t>
      </w:r>
    </w:p>
    <w:p>
      <w:pPr>
        <w:pStyle w:val="26"/>
        <w:numPr>
          <w:ilvl w:val="3"/>
          <w:numId w:val="20"/>
        </w:numPr>
        <w:ind w:firstLineChars="0"/>
        <w:rPr>
          <w:szCs w:val="21"/>
        </w:rPr>
      </w:pPr>
      <w:r>
        <w:rPr>
          <w:rFonts w:hint="eastAsia"/>
          <w:szCs w:val="21"/>
        </w:rPr>
        <w:t>智慧照明子系统的设计及装置选择应符合《城市道路照明设计标准》CJJ 45、《城市照明自动控制系统技术规范》CJJ/T 227中相关要求。</w:t>
      </w:r>
    </w:p>
    <w:p>
      <w:pPr>
        <w:pStyle w:val="26"/>
        <w:numPr>
          <w:ilvl w:val="3"/>
          <w:numId w:val="20"/>
        </w:numPr>
        <w:ind w:firstLineChars="0"/>
        <w:rPr>
          <w:szCs w:val="21"/>
        </w:rPr>
      </w:pPr>
      <w:r>
        <w:rPr>
          <w:rFonts w:hint="eastAsia"/>
          <w:szCs w:val="21"/>
        </w:rPr>
        <w:t>性能应符合《道路与街路照明灯具性能要求》GB/T 24827、《灯具性能 第1部分：一般要求》GB/T 31897.1、《灯具性能 第2-1部分：LED灯具特殊要求》GB/T 31897.201中相关要求。</w:t>
      </w:r>
    </w:p>
    <w:p>
      <w:pPr>
        <w:pStyle w:val="26"/>
        <w:numPr>
          <w:ilvl w:val="3"/>
          <w:numId w:val="20"/>
        </w:numPr>
        <w:ind w:firstLineChars="0"/>
        <w:rPr>
          <w:szCs w:val="21"/>
        </w:rPr>
      </w:pPr>
      <w:r>
        <w:rPr>
          <w:rFonts w:hint="eastAsia"/>
          <w:szCs w:val="21"/>
        </w:rPr>
        <w:t>安全性应符合《灯具 第1部分：一般要求与试验》GB 7000.1、《灯具 第2-3部分：特殊要求 道路与街路照明灯具》GB 7000.203的相关要求。</w:t>
      </w:r>
    </w:p>
    <w:p>
      <w:pPr>
        <w:pStyle w:val="26"/>
        <w:numPr>
          <w:ilvl w:val="3"/>
          <w:numId w:val="20"/>
        </w:numPr>
        <w:ind w:firstLineChars="0"/>
        <w:rPr>
          <w:szCs w:val="21"/>
        </w:rPr>
      </w:pPr>
      <w:r>
        <w:rPr>
          <w:rFonts w:hint="eastAsia"/>
          <w:szCs w:val="21"/>
        </w:rPr>
        <w:t>电磁兼容性应符合《电磁兼容 限值 谐波电流发射限值(设备每相输入电流≤16A)》GB 17625.1、《电磁兼容 限值 对每相额定电流≤16A且无条件接入的设备在公用低压供电系统中产生的电压变化、电压波动和闪烁的限制》GB 17625.2、《电气照明和类似设备的无线电骚扰特性的限值和测量方法》GB/T 17743、《一般照明用设备电磁兼容抗扰度要求》GB/T 18595、《电磁兼容 试验和测量技术 静电放电抗扰度试验》GB/T 17626.2、《电磁兼容 试验和测量技术 浪涌(冲击)抗扰度试验》GB/T 17626.5、《电磁兼容 试验和测量技术 射频场感应的传导骚扰抗扰度》GB/T 17626.6的相关要求。</w:t>
      </w:r>
    </w:p>
    <w:p>
      <w:pPr>
        <w:pStyle w:val="26"/>
        <w:numPr>
          <w:ilvl w:val="3"/>
          <w:numId w:val="20"/>
        </w:numPr>
        <w:ind w:firstLineChars="0"/>
        <w:rPr>
          <w:szCs w:val="21"/>
        </w:rPr>
      </w:pPr>
      <w:r>
        <w:rPr>
          <w:rFonts w:hint="eastAsia"/>
          <w:szCs w:val="21"/>
        </w:rPr>
        <w:t>灯具的悬挑长度不应超过安装高度的1/4，灯具仰角不宜超过15°。</w:t>
      </w:r>
    </w:p>
    <w:p>
      <w:pPr>
        <w:pStyle w:val="26"/>
        <w:numPr>
          <w:ilvl w:val="3"/>
          <w:numId w:val="20"/>
        </w:numPr>
        <w:ind w:firstLineChars="0"/>
        <w:rPr>
          <w:szCs w:val="21"/>
        </w:rPr>
      </w:pPr>
      <w:r>
        <w:rPr>
          <w:rFonts w:hint="eastAsia"/>
          <w:szCs w:val="21"/>
        </w:rPr>
        <w:t>灯具选型、光源及附属装置选择宜保持全段一致；光源功率大小及灯具配光曲线选择应进行照明计算分析后，根据《城市道路照明设计标准》CJJ</w:t>
      </w:r>
      <w:r>
        <w:rPr>
          <w:szCs w:val="21"/>
        </w:rPr>
        <w:t xml:space="preserve"> </w:t>
      </w:r>
      <w:r>
        <w:rPr>
          <w:rFonts w:hint="eastAsia"/>
          <w:szCs w:val="21"/>
        </w:rPr>
        <w:t>45第7节确定。</w:t>
      </w:r>
    </w:p>
    <w:p>
      <w:pPr>
        <w:pStyle w:val="26"/>
        <w:numPr>
          <w:ilvl w:val="3"/>
          <w:numId w:val="20"/>
        </w:numPr>
        <w:ind w:firstLineChars="0"/>
        <w:rPr>
          <w:szCs w:val="21"/>
        </w:rPr>
      </w:pPr>
      <w:r>
        <w:rPr>
          <w:rFonts w:hint="eastAsia"/>
          <w:szCs w:val="21"/>
        </w:rPr>
        <w:t>LED照明灯具宜采用与道路环境协调的功能性和装饰性相结合的灯具，LED灯配光分类应根据《LED城市道路照明应用技术要求》 GB/T 31832表2,表3确定；为控制灯具炫光，其上射光通比不应大于</w:t>
      </w:r>
      <w:r>
        <w:rPr>
          <w:szCs w:val="21"/>
        </w:rPr>
        <w:t xml:space="preserve">25% </w:t>
      </w:r>
      <w:r>
        <w:rPr>
          <w:rFonts w:hint="eastAsia"/>
          <w:szCs w:val="21"/>
        </w:rPr>
        <w:t>，眩光控制值应符合《城市道路照明设计标准》CJJ</w:t>
      </w:r>
      <w:r>
        <w:rPr>
          <w:szCs w:val="21"/>
        </w:rPr>
        <w:t xml:space="preserve"> </w:t>
      </w:r>
      <w:r>
        <w:rPr>
          <w:rFonts w:hint="eastAsia"/>
          <w:szCs w:val="21"/>
        </w:rPr>
        <w:t>45的相关要求。</w:t>
      </w:r>
    </w:p>
    <w:p>
      <w:pPr>
        <w:pStyle w:val="26"/>
        <w:numPr>
          <w:ilvl w:val="3"/>
          <w:numId w:val="20"/>
        </w:numPr>
        <w:ind w:firstLineChars="0"/>
        <w:rPr>
          <w:szCs w:val="21"/>
        </w:rPr>
      </w:pPr>
      <w:r>
        <w:rPr>
          <w:rFonts w:hint="eastAsia"/>
          <w:szCs w:val="21"/>
        </w:rPr>
        <w:t>智慧灯杆所使用的智慧照明控制系统软硬件通讯协议应符合《公共照明智能系统接口应用层通信协议》csa-018、《路灯控制管理系统》GB∕T 34923.1~6 中相关技术要求，设备厂家须提供相应的数据接口。</w:t>
      </w:r>
    </w:p>
    <w:p>
      <w:pPr>
        <w:pStyle w:val="26"/>
        <w:numPr>
          <w:ilvl w:val="3"/>
          <w:numId w:val="20"/>
        </w:numPr>
        <w:ind w:firstLineChars="0"/>
        <w:rPr>
          <w:szCs w:val="21"/>
        </w:rPr>
      </w:pPr>
      <w:r>
        <w:rPr>
          <w:rFonts w:hint="eastAsia"/>
          <w:szCs w:val="21"/>
        </w:rPr>
        <w:t>灯具及安装固定件应具有防止脱落或倾倒的安全防护措施，对人员可触及的照明设备，当表面温度高于70℃时，应采取隔离保护措施。</w:t>
      </w:r>
    </w:p>
    <w:p>
      <w:pPr>
        <w:pStyle w:val="26"/>
        <w:numPr>
          <w:ilvl w:val="3"/>
          <w:numId w:val="20"/>
        </w:numPr>
        <w:ind w:firstLineChars="0"/>
        <w:rPr>
          <w:szCs w:val="21"/>
        </w:rPr>
      </w:pPr>
      <w:r>
        <w:rPr>
          <w:rFonts w:hint="eastAsia"/>
          <w:szCs w:val="21"/>
        </w:rPr>
        <w:t>照明的供电</w:t>
      </w:r>
      <w:r>
        <w:rPr>
          <w:szCs w:val="21"/>
        </w:rPr>
        <w:t>线应与其他设备的供电线路</w:t>
      </w:r>
      <w:r>
        <w:rPr>
          <w:rFonts w:hint="eastAsia"/>
          <w:szCs w:val="21"/>
        </w:rPr>
        <w:t>分开。</w:t>
      </w:r>
    </w:p>
    <w:p>
      <w:pPr>
        <w:pStyle w:val="52"/>
        <w:numPr>
          <w:ilvl w:val="2"/>
          <w:numId w:val="20"/>
        </w:numPr>
        <w:spacing w:before="156" w:after="156"/>
        <w:outlineLvl w:val="2"/>
      </w:pPr>
      <w:bookmarkStart w:id="326" w:name="_Toc6513"/>
      <w:bookmarkStart w:id="327" w:name="_Toc16228"/>
      <w:bookmarkStart w:id="328" w:name="_Toc29570"/>
      <w:bookmarkStart w:id="329" w:name="_Toc30423"/>
      <w:bookmarkStart w:id="330" w:name="_Toc24072"/>
      <w:bookmarkStart w:id="331" w:name="_Toc2477"/>
      <w:bookmarkStart w:id="332" w:name="_Toc24803"/>
      <w:bookmarkStart w:id="333" w:name="_Toc19302"/>
      <w:bookmarkStart w:id="334" w:name="_Toc20046"/>
      <w:bookmarkStart w:id="335" w:name="_Toc32192"/>
      <w:r>
        <w:rPr>
          <w:rFonts w:hint="eastAsia"/>
        </w:rPr>
        <w:t>视频采集</w:t>
      </w:r>
      <w:bookmarkEnd w:id="326"/>
      <w:bookmarkEnd w:id="327"/>
      <w:bookmarkEnd w:id="328"/>
      <w:bookmarkEnd w:id="329"/>
      <w:bookmarkEnd w:id="330"/>
      <w:bookmarkEnd w:id="331"/>
      <w:bookmarkEnd w:id="332"/>
      <w:bookmarkEnd w:id="333"/>
      <w:bookmarkEnd w:id="334"/>
      <w:bookmarkEnd w:id="335"/>
    </w:p>
    <w:p>
      <w:pPr>
        <w:pStyle w:val="26"/>
        <w:numPr>
          <w:ilvl w:val="3"/>
          <w:numId w:val="20"/>
        </w:numPr>
        <w:ind w:firstLineChars="0"/>
        <w:rPr>
          <w:szCs w:val="21"/>
        </w:rPr>
      </w:pPr>
      <w:r>
        <w:rPr>
          <w:rFonts w:hint="eastAsia"/>
          <w:szCs w:val="21"/>
        </w:rPr>
        <w:t>视频采集设备（即摄像机）的加载，通过智慧灯杆预留的安装插口实现摄像机的便捷安装，实现远程集中管理、控制，满足摄像机运行状态的监测，以及便捷的查询、定位等功能；视频数据可具备共享功能。</w:t>
      </w:r>
    </w:p>
    <w:p>
      <w:pPr>
        <w:pStyle w:val="26"/>
        <w:numPr>
          <w:ilvl w:val="3"/>
          <w:numId w:val="20"/>
        </w:numPr>
        <w:ind w:firstLineChars="0"/>
        <w:rPr>
          <w:szCs w:val="21"/>
        </w:rPr>
      </w:pPr>
      <w:r>
        <w:rPr>
          <w:rFonts w:hint="eastAsia" w:cs="宋体"/>
          <w:szCs w:val="21"/>
        </w:rPr>
        <w:t>智慧灯杆网络接口</w:t>
      </w:r>
      <w:r>
        <w:rPr>
          <w:rFonts w:hint="eastAsia"/>
          <w:szCs w:val="21"/>
        </w:rPr>
        <w:t>应满足至少两路高清摄像头的带宽要求。</w:t>
      </w:r>
    </w:p>
    <w:p>
      <w:pPr>
        <w:pStyle w:val="26"/>
        <w:numPr>
          <w:ilvl w:val="3"/>
          <w:numId w:val="20"/>
        </w:numPr>
        <w:ind w:firstLineChars="0"/>
        <w:rPr>
          <w:szCs w:val="21"/>
        </w:rPr>
      </w:pPr>
      <w:r>
        <w:rPr>
          <w:rFonts w:hint="eastAsia"/>
          <w:szCs w:val="21"/>
        </w:rPr>
        <w:t>视频采集设备应符合《音频、视频及类似电子设备安全要求》GB 8898、《视频安防监控数字录像设备》GB 20815、《公共安全视频监控联网信息安全技术要求》GB</w:t>
      </w:r>
      <w:r>
        <w:rPr>
          <w:szCs w:val="21"/>
        </w:rPr>
        <w:t xml:space="preserve"> </w:t>
      </w:r>
      <w:r>
        <w:rPr>
          <w:rFonts w:hint="eastAsia"/>
          <w:szCs w:val="21"/>
        </w:rPr>
        <w:t>35114、《公共安全视频监控数字视音频编解码技术要求》GB</w:t>
      </w:r>
      <w:r>
        <w:rPr>
          <w:szCs w:val="21"/>
        </w:rPr>
        <w:t xml:space="preserve"> </w:t>
      </w:r>
      <w:r>
        <w:rPr>
          <w:rFonts w:hint="eastAsia"/>
          <w:szCs w:val="21"/>
        </w:rPr>
        <w:t>25724、《公共安全视频监控联网系统信息传输、交换、控制技术要求》GB/T 28181中相关要求。</w:t>
      </w:r>
    </w:p>
    <w:p>
      <w:pPr>
        <w:pStyle w:val="52"/>
        <w:numPr>
          <w:ilvl w:val="2"/>
          <w:numId w:val="20"/>
        </w:numPr>
        <w:spacing w:before="156" w:after="156"/>
        <w:outlineLvl w:val="2"/>
      </w:pPr>
      <w:bookmarkStart w:id="336" w:name="_Toc11217"/>
      <w:bookmarkStart w:id="337" w:name="_Toc8020"/>
      <w:bookmarkStart w:id="338" w:name="_Toc25160"/>
      <w:bookmarkStart w:id="339" w:name="_Toc15669"/>
      <w:bookmarkStart w:id="340" w:name="_Toc5872"/>
      <w:bookmarkStart w:id="341" w:name="_Toc28296"/>
      <w:bookmarkStart w:id="342" w:name="_Toc1317"/>
      <w:bookmarkStart w:id="343" w:name="_Toc237"/>
      <w:bookmarkStart w:id="344" w:name="_Toc24873"/>
      <w:bookmarkStart w:id="345" w:name="_Toc12716"/>
      <w:r>
        <w:rPr>
          <w:rFonts w:hint="eastAsia"/>
        </w:rPr>
        <w:t>移动通信</w:t>
      </w:r>
      <w:bookmarkEnd w:id="336"/>
      <w:bookmarkEnd w:id="337"/>
      <w:bookmarkEnd w:id="338"/>
      <w:bookmarkEnd w:id="339"/>
      <w:bookmarkEnd w:id="340"/>
      <w:bookmarkEnd w:id="341"/>
      <w:bookmarkEnd w:id="342"/>
      <w:bookmarkEnd w:id="343"/>
      <w:bookmarkEnd w:id="344"/>
      <w:bookmarkEnd w:id="345"/>
    </w:p>
    <w:p>
      <w:pPr>
        <w:pStyle w:val="26"/>
        <w:numPr>
          <w:ilvl w:val="3"/>
          <w:numId w:val="20"/>
        </w:numPr>
        <w:ind w:firstLineChars="0"/>
        <w:rPr>
          <w:szCs w:val="21"/>
        </w:rPr>
      </w:pPr>
      <w:r>
        <w:rPr>
          <w:rFonts w:hint="eastAsia" w:cs="宋体"/>
          <w:szCs w:val="21"/>
        </w:rPr>
        <w:t>智慧灯杆须能满足</w:t>
      </w:r>
      <w:r>
        <w:rPr>
          <w:rFonts w:hint="eastAsia"/>
          <w:szCs w:val="21"/>
        </w:rPr>
        <w:t>搭载4G、5G移动</w:t>
      </w:r>
      <w:r>
        <w:rPr>
          <w:szCs w:val="21"/>
        </w:rPr>
        <w:t>通信</w:t>
      </w:r>
      <w:r>
        <w:rPr>
          <w:rFonts w:hint="eastAsia"/>
          <w:szCs w:val="21"/>
        </w:rPr>
        <w:t>微</w:t>
      </w:r>
      <w:r>
        <w:rPr>
          <w:szCs w:val="21"/>
        </w:rPr>
        <w:t>基站</w:t>
      </w:r>
      <w:r>
        <w:rPr>
          <w:rFonts w:hint="eastAsia"/>
          <w:szCs w:val="21"/>
        </w:rPr>
        <w:t>的要求。</w:t>
      </w:r>
    </w:p>
    <w:p>
      <w:pPr>
        <w:pStyle w:val="26"/>
        <w:numPr>
          <w:ilvl w:val="3"/>
          <w:numId w:val="20"/>
        </w:numPr>
        <w:ind w:firstLineChars="0"/>
        <w:rPr>
          <w:szCs w:val="21"/>
        </w:rPr>
      </w:pPr>
      <w:r>
        <w:rPr>
          <w:rFonts w:hint="eastAsia"/>
          <w:szCs w:val="21"/>
        </w:rPr>
        <w:t>移动通信功能模块的加载包括通过杆体预留的挂载空间、预留线槽口实现移动通信基站设备（包括室外一体化天线、RRU、BBU和基站电源等）的安装。</w:t>
      </w:r>
    </w:p>
    <w:p>
      <w:pPr>
        <w:pStyle w:val="26"/>
        <w:numPr>
          <w:ilvl w:val="3"/>
          <w:numId w:val="20"/>
        </w:numPr>
        <w:ind w:firstLineChars="0"/>
        <w:rPr>
          <w:szCs w:val="21"/>
        </w:rPr>
      </w:pPr>
      <w:r>
        <w:rPr>
          <w:rFonts w:hint="eastAsia"/>
          <w:szCs w:val="21"/>
        </w:rPr>
        <w:t>移动通信设备主要技术参数：</w:t>
      </w:r>
    </w:p>
    <w:p>
      <w:pPr>
        <w:pStyle w:val="34"/>
        <w:widowControl/>
        <w:numPr>
          <w:ilvl w:val="0"/>
          <w:numId w:val="21"/>
        </w:numPr>
        <w:autoSpaceDE w:val="0"/>
        <w:autoSpaceDN w:val="0"/>
        <w:spacing w:line="360" w:lineRule="auto"/>
        <w:rPr>
          <w:rFonts w:ascii="宋体" w:hAnsi="宋体"/>
          <w:sz w:val="21"/>
          <w:szCs w:val="21"/>
        </w:rPr>
      </w:pPr>
      <w:r>
        <w:rPr>
          <w:rFonts w:hint="eastAsia" w:ascii="宋体" w:hAnsi="宋体"/>
          <w:sz w:val="21"/>
          <w:szCs w:val="21"/>
        </w:rPr>
        <w:t>穿线管槽直径应不小于30mm。</w:t>
      </w:r>
    </w:p>
    <w:p>
      <w:pPr>
        <w:pStyle w:val="34"/>
        <w:widowControl/>
        <w:numPr>
          <w:ilvl w:val="0"/>
          <w:numId w:val="21"/>
        </w:numPr>
        <w:autoSpaceDE w:val="0"/>
        <w:autoSpaceDN w:val="0"/>
        <w:spacing w:line="360" w:lineRule="auto"/>
        <w:ind w:left="715" w:hanging="295"/>
        <w:rPr>
          <w:rFonts w:ascii="宋体" w:hAnsi="宋体"/>
          <w:sz w:val="21"/>
          <w:szCs w:val="21"/>
        </w:rPr>
      </w:pPr>
      <w:r>
        <w:rPr>
          <w:rFonts w:hint="eastAsia" w:ascii="宋体" w:hAnsi="宋体"/>
          <w:sz w:val="21"/>
          <w:szCs w:val="21"/>
        </w:rPr>
        <w:t>智慧灯杆杆体顶部宜预留单模块微基站的安装空间不小于20L，3个扇区安装空间不小于60L。</w:t>
      </w:r>
    </w:p>
    <w:p>
      <w:pPr>
        <w:pStyle w:val="34"/>
        <w:widowControl/>
        <w:numPr>
          <w:ilvl w:val="0"/>
          <w:numId w:val="21"/>
        </w:numPr>
        <w:autoSpaceDE w:val="0"/>
        <w:autoSpaceDN w:val="0"/>
        <w:spacing w:line="360" w:lineRule="auto"/>
        <w:ind w:left="715" w:hanging="295"/>
        <w:rPr>
          <w:rFonts w:ascii="宋体" w:hAnsi="宋体"/>
          <w:sz w:val="21"/>
          <w:szCs w:val="21"/>
        </w:rPr>
      </w:pPr>
      <w:r>
        <w:rPr>
          <w:rFonts w:hint="eastAsia" w:ascii="宋体" w:hAnsi="宋体"/>
          <w:sz w:val="21"/>
          <w:szCs w:val="21"/>
        </w:rPr>
        <w:t>智慧灯杆应具备安装RRU、BBU、室外一体化天线和基站电源的条件，杆体底部宜预留不少于4U的安装空间，预留设备安装空间围护壁上部应预留防水自然排风散热栅孔，底部应有排水孔。</w:t>
      </w:r>
    </w:p>
    <w:p>
      <w:pPr>
        <w:pStyle w:val="34"/>
        <w:widowControl/>
        <w:numPr>
          <w:ilvl w:val="0"/>
          <w:numId w:val="21"/>
        </w:numPr>
        <w:autoSpaceDE w:val="0"/>
        <w:autoSpaceDN w:val="0"/>
        <w:spacing w:line="360" w:lineRule="auto"/>
        <w:rPr>
          <w:rFonts w:ascii="宋体" w:hAnsi="宋体"/>
          <w:sz w:val="21"/>
          <w:szCs w:val="21"/>
        </w:rPr>
      </w:pPr>
      <w:r>
        <w:rPr>
          <w:rFonts w:hint="eastAsia" w:ascii="宋体" w:hAnsi="宋体"/>
          <w:sz w:val="21"/>
          <w:szCs w:val="21"/>
        </w:rPr>
        <w:t>移动通信设备其他参数参考表</w:t>
      </w:r>
      <w:r>
        <w:rPr>
          <w:rFonts w:ascii="宋体" w:hAnsi="宋体"/>
          <w:sz w:val="21"/>
          <w:szCs w:val="21"/>
        </w:rPr>
        <w:t>5.2.3.4</w:t>
      </w:r>
      <w:r>
        <w:rPr>
          <w:rFonts w:hint="eastAsia" w:ascii="宋体" w:hAnsi="宋体"/>
          <w:sz w:val="21"/>
          <w:szCs w:val="21"/>
        </w:rPr>
        <w:t>。</w:t>
      </w:r>
    </w:p>
    <w:p>
      <w:pPr>
        <w:rPr>
          <w:rFonts w:ascii="黑体" w:hAnsi="宋体" w:eastAsia="黑体" w:cs="黑体"/>
          <w:szCs w:val="21"/>
        </w:rPr>
      </w:pPr>
      <w:r>
        <w:rPr>
          <w:rFonts w:hint="eastAsia" w:ascii="黑体" w:hAnsi="宋体" w:eastAsia="黑体" w:cs="黑体"/>
          <w:szCs w:val="21"/>
        </w:rPr>
        <w:br w:type="page"/>
      </w:r>
    </w:p>
    <w:p>
      <w:pPr>
        <w:pStyle w:val="34"/>
        <w:spacing w:before="156" w:beforeLines="50" w:after="156" w:afterLines="50"/>
        <w:jc w:val="center"/>
        <w:rPr>
          <w:rFonts w:ascii="黑体" w:eastAsia="黑体"/>
          <w:sz w:val="21"/>
          <w:szCs w:val="21"/>
        </w:rPr>
      </w:pPr>
      <w:r>
        <w:rPr>
          <w:rFonts w:hint="eastAsia" w:ascii="黑体" w:hAnsi="宋体" w:eastAsia="黑体" w:cs="黑体"/>
          <w:sz w:val="21"/>
          <w:szCs w:val="21"/>
        </w:rPr>
        <w:t>表</w:t>
      </w:r>
      <w:r>
        <w:rPr>
          <w:rFonts w:ascii="宋体" w:hAnsi="宋体"/>
          <w:sz w:val="21"/>
          <w:szCs w:val="21"/>
        </w:rPr>
        <w:t>5.2.3.4</w:t>
      </w:r>
      <w:r>
        <w:rPr>
          <w:rFonts w:hint="eastAsia" w:ascii="黑体" w:eastAsia="黑体"/>
          <w:sz w:val="21"/>
          <w:szCs w:val="21"/>
        </w:rPr>
        <w:t xml:space="preserve"> </w:t>
      </w:r>
      <w:r>
        <w:rPr>
          <w:rFonts w:hint="eastAsia" w:ascii="黑体" w:hAnsi="宋体" w:eastAsia="黑体" w:cs="黑体"/>
          <w:sz w:val="21"/>
          <w:szCs w:val="21"/>
        </w:rPr>
        <w:t>移动通信设备参数参考</w:t>
      </w:r>
    </w:p>
    <w:tbl>
      <w:tblPr>
        <w:tblStyle w:val="37"/>
        <w:tblW w:w="96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427"/>
        <w:gridCol w:w="792"/>
        <w:gridCol w:w="634"/>
        <w:gridCol w:w="791"/>
        <w:gridCol w:w="1268"/>
        <w:gridCol w:w="1427"/>
        <w:gridCol w:w="951"/>
        <w:gridCol w:w="633"/>
        <w:gridCol w:w="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628" w:type="dxa"/>
            <w:vMerge w:val="restart"/>
            <w:vAlign w:val="center"/>
          </w:tcPr>
          <w:p>
            <w:pPr>
              <w:widowControl/>
              <w:ind w:left="-107" w:leftChars="-51" w:right="-109" w:rightChars="-52"/>
              <w:jc w:val="center"/>
              <w:rPr>
                <w:rFonts w:ascii="宋体" w:hAnsi="宋体" w:cs="宋体"/>
                <w:kern w:val="0"/>
                <w:szCs w:val="21"/>
              </w:rPr>
            </w:pPr>
            <w:r>
              <w:rPr>
                <w:rFonts w:hint="eastAsia" w:ascii="宋体" w:hAnsi="宋体" w:cs="宋体"/>
                <w:kern w:val="0"/>
                <w:szCs w:val="21"/>
              </w:rPr>
              <w:t>杆体高度（m）</w:t>
            </w:r>
          </w:p>
        </w:tc>
        <w:tc>
          <w:tcPr>
            <w:tcW w:w="1427" w:type="dxa"/>
            <w:vMerge w:val="restart"/>
            <w:vAlign w:val="center"/>
          </w:tcPr>
          <w:p>
            <w:pPr>
              <w:widowControl/>
              <w:jc w:val="center"/>
              <w:rPr>
                <w:rFonts w:ascii="宋体" w:hAnsi="宋体" w:cs="宋体"/>
                <w:kern w:val="0"/>
                <w:szCs w:val="21"/>
              </w:rPr>
            </w:pPr>
            <w:r>
              <w:rPr>
                <w:rFonts w:hint="eastAsia" w:ascii="宋体" w:hAnsi="宋体" w:cs="宋体"/>
                <w:kern w:val="0"/>
                <w:szCs w:val="21"/>
              </w:rPr>
              <w:t>预计挂高</w:t>
            </w:r>
          </w:p>
          <w:p>
            <w:pPr>
              <w:widowControl/>
              <w:jc w:val="center"/>
              <w:rPr>
                <w:rFonts w:ascii="宋体" w:hAnsi="宋体" w:cs="宋体"/>
                <w:kern w:val="0"/>
                <w:szCs w:val="21"/>
              </w:rPr>
            </w:pPr>
            <w:r>
              <w:rPr>
                <w:rFonts w:hint="eastAsia" w:ascii="宋体" w:hAnsi="宋体" w:cs="宋体"/>
                <w:kern w:val="0"/>
                <w:szCs w:val="21"/>
              </w:rPr>
              <w:t>（m）</w:t>
            </w:r>
          </w:p>
        </w:tc>
        <w:tc>
          <w:tcPr>
            <w:tcW w:w="792" w:type="dxa"/>
            <w:vMerge w:val="restart"/>
            <w:vAlign w:val="center"/>
          </w:tcPr>
          <w:p>
            <w:pPr>
              <w:widowControl/>
              <w:ind w:left="-53" w:leftChars="-25" w:right="-113" w:rightChars="-54"/>
              <w:jc w:val="left"/>
              <w:rPr>
                <w:rFonts w:ascii="宋体" w:hAnsi="宋体" w:cs="宋体"/>
                <w:kern w:val="0"/>
                <w:szCs w:val="21"/>
              </w:rPr>
            </w:pPr>
            <w:r>
              <w:rPr>
                <w:rFonts w:hint="eastAsia" w:ascii="宋体" w:hAnsi="宋体" w:cs="宋体"/>
                <w:kern w:val="0"/>
                <w:szCs w:val="21"/>
              </w:rPr>
              <w:t>设备数</w:t>
            </w:r>
          </w:p>
        </w:tc>
        <w:tc>
          <w:tcPr>
            <w:tcW w:w="634" w:type="dxa"/>
            <w:vMerge w:val="restart"/>
            <w:vAlign w:val="center"/>
          </w:tcPr>
          <w:p>
            <w:pPr>
              <w:widowControl/>
              <w:ind w:left="-109" w:leftChars="-52" w:right="-105" w:rightChars="-50"/>
              <w:jc w:val="center"/>
              <w:rPr>
                <w:rFonts w:ascii="宋体" w:hAnsi="宋体" w:cs="宋体"/>
                <w:kern w:val="0"/>
                <w:szCs w:val="21"/>
              </w:rPr>
            </w:pPr>
            <w:r>
              <w:rPr>
                <w:rFonts w:hint="eastAsia" w:ascii="宋体" w:hAnsi="宋体" w:cs="宋体"/>
                <w:kern w:val="0"/>
                <w:szCs w:val="21"/>
              </w:rPr>
              <w:t>承重需求（Kg）</w:t>
            </w:r>
          </w:p>
        </w:tc>
        <w:tc>
          <w:tcPr>
            <w:tcW w:w="2059" w:type="dxa"/>
            <w:gridSpan w:val="2"/>
            <w:vAlign w:val="center"/>
          </w:tcPr>
          <w:p>
            <w:pPr>
              <w:widowControl/>
              <w:jc w:val="center"/>
              <w:rPr>
                <w:rFonts w:ascii="宋体" w:hAnsi="宋体" w:cs="宋体"/>
                <w:kern w:val="0"/>
                <w:szCs w:val="21"/>
              </w:rPr>
            </w:pPr>
            <w:r>
              <w:rPr>
                <w:rFonts w:hint="eastAsia" w:ascii="宋体" w:hAnsi="宋体" w:cs="宋体"/>
                <w:kern w:val="0"/>
                <w:szCs w:val="21"/>
              </w:rPr>
              <w:t>用电</w:t>
            </w:r>
          </w:p>
        </w:tc>
        <w:tc>
          <w:tcPr>
            <w:tcW w:w="3011" w:type="dxa"/>
            <w:gridSpan w:val="3"/>
            <w:noWrap/>
            <w:vAlign w:val="center"/>
          </w:tcPr>
          <w:p>
            <w:pPr>
              <w:widowControl/>
              <w:jc w:val="center"/>
              <w:rPr>
                <w:rFonts w:ascii="宋体" w:hAnsi="宋体" w:cs="宋体"/>
                <w:kern w:val="0"/>
                <w:szCs w:val="21"/>
              </w:rPr>
            </w:pPr>
            <w:r>
              <w:rPr>
                <w:rFonts w:hint="eastAsia" w:ascii="宋体" w:hAnsi="宋体" w:cs="宋体"/>
                <w:kern w:val="0"/>
                <w:szCs w:val="21"/>
              </w:rPr>
              <w:t>杆体基本要求</w:t>
            </w:r>
          </w:p>
        </w:tc>
        <w:tc>
          <w:tcPr>
            <w:tcW w:w="1109" w:type="dxa"/>
            <w:vMerge w:val="restart"/>
            <w:vAlign w:val="center"/>
          </w:tcPr>
          <w:p>
            <w:pPr>
              <w:widowControl/>
              <w:jc w:val="center"/>
              <w:rPr>
                <w:rFonts w:ascii="宋体" w:hAnsi="宋体" w:cs="宋体"/>
                <w:kern w:val="0"/>
                <w:szCs w:val="21"/>
              </w:rPr>
            </w:pPr>
            <w:r>
              <w:rPr>
                <w:rFonts w:hint="eastAsia" w:ascii="宋体" w:hAnsi="宋体" w:cs="宋体"/>
                <w:kern w:val="0"/>
                <w:szCs w:val="21"/>
              </w:rPr>
              <w:t>断路器需求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28" w:type="dxa"/>
            <w:vMerge w:val="continue"/>
            <w:vAlign w:val="center"/>
          </w:tcPr>
          <w:p>
            <w:pPr>
              <w:rPr>
                <w:sz w:val="20"/>
                <w:szCs w:val="20"/>
              </w:rPr>
            </w:pPr>
          </w:p>
        </w:tc>
        <w:tc>
          <w:tcPr>
            <w:tcW w:w="1427" w:type="dxa"/>
            <w:vMerge w:val="continue"/>
            <w:vAlign w:val="center"/>
          </w:tcPr>
          <w:p>
            <w:pPr>
              <w:rPr>
                <w:sz w:val="20"/>
                <w:szCs w:val="20"/>
              </w:rPr>
            </w:pPr>
          </w:p>
        </w:tc>
        <w:tc>
          <w:tcPr>
            <w:tcW w:w="792" w:type="dxa"/>
            <w:vMerge w:val="continue"/>
            <w:vAlign w:val="center"/>
          </w:tcPr>
          <w:p>
            <w:pPr>
              <w:rPr>
                <w:sz w:val="20"/>
                <w:szCs w:val="20"/>
              </w:rPr>
            </w:pPr>
          </w:p>
        </w:tc>
        <w:tc>
          <w:tcPr>
            <w:tcW w:w="634" w:type="dxa"/>
            <w:vMerge w:val="continue"/>
            <w:vAlign w:val="center"/>
          </w:tcPr>
          <w:p>
            <w:pPr>
              <w:rPr>
                <w:sz w:val="20"/>
                <w:szCs w:val="20"/>
              </w:rPr>
            </w:pPr>
          </w:p>
        </w:tc>
        <w:tc>
          <w:tcPr>
            <w:tcW w:w="791" w:type="dxa"/>
            <w:vAlign w:val="center"/>
          </w:tcPr>
          <w:p>
            <w:pPr>
              <w:widowControl/>
              <w:jc w:val="center"/>
              <w:rPr>
                <w:rFonts w:ascii="宋体" w:hAnsi="宋体" w:cs="宋体"/>
                <w:kern w:val="0"/>
                <w:szCs w:val="21"/>
              </w:rPr>
            </w:pPr>
            <w:r>
              <w:rPr>
                <w:rFonts w:hint="eastAsia" w:ascii="宋体" w:hAnsi="宋体" w:cs="宋体"/>
                <w:kern w:val="0"/>
                <w:szCs w:val="21"/>
              </w:rPr>
              <w:t>典型功率（W）</w:t>
            </w:r>
          </w:p>
        </w:tc>
        <w:tc>
          <w:tcPr>
            <w:tcW w:w="1268" w:type="dxa"/>
            <w:vAlign w:val="center"/>
          </w:tcPr>
          <w:p>
            <w:pPr>
              <w:widowControl/>
              <w:jc w:val="center"/>
              <w:rPr>
                <w:rFonts w:ascii="宋体" w:hAnsi="宋体" w:cs="宋体"/>
                <w:kern w:val="0"/>
                <w:szCs w:val="21"/>
              </w:rPr>
            </w:pPr>
            <w:r>
              <w:rPr>
                <w:rFonts w:hint="eastAsia" w:ascii="宋体" w:hAnsi="宋体" w:cs="宋体"/>
                <w:kern w:val="0"/>
                <w:szCs w:val="21"/>
              </w:rPr>
              <w:t>空开需求</w:t>
            </w:r>
          </w:p>
        </w:tc>
        <w:tc>
          <w:tcPr>
            <w:tcW w:w="1427" w:type="dxa"/>
            <w:noWrap/>
            <w:vAlign w:val="center"/>
          </w:tcPr>
          <w:p>
            <w:pPr>
              <w:widowControl/>
              <w:ind w:left="-286" w:leftChars="-136" w:right="-147" w:rightChars="-70"/>
              <w:jc w:val="center"/>
              <w:rPr>
                <w:rFonts w:ascii="宋体" w:hAnsi="宋体" w:cs="宋体"/>
                <w:kern w:val="0"/>
                <w:szCs w:val="21"/>
              </w:rPr>
            </w:pPr>
            <w:r>
              <w:rPr>
                <w:rFonts w:hint="eastAsia" w:ascii="宋体" w:hAnsi="宋体" w:cs="宋体"/>
                <w:kern w:val="0"/>
                <w:szCs w:val="21"/>
              </w:rPr>
              <w:t>杆体直径</w:t>
            </w:r>
          </w:p>
          <w:p>
            <w:pPr>
              <w:widowControl/>
              <w:ind w:left="-286" w:leftChars="-136" w:right="-288" w:rightChars="-137"/>
              <w:jc w:val="center"/>
              <w:rPr>
                <w:rFonts w:ascii="宋体" w:hAnsi="宋体" w:cs="宋体"/>
                <w:kern w:val="0"/>
                <w:szCs w:val="21"/>
              </w:rPr>
            </w:pPr>
            <w:r>
              <w:rPr>
                <w:rFonts w:hint="eastAsia" w:ascii="宋体" w:hAnsi="宋体" w:cs="宋体"/>
                <w:kern w:val="0"/>
                <w:szCs w:val="21"/>
              </w:rPr>
              <w:t>（顶部-底部）</w:t>
            </w:r>
          </w:p>
          <w:p>
            <w:pPr>
              <w:widowControl/>
              <w:ind w:left="-286" w:leftChars="-136" w:right="-288" w:rightChars="-137"/>
              <w:jc w:val="center"/>
              <w:rPr>
                <w:rFonts w:ascii="宋体" w:hAnsi="宋体" w:cs="宋体"/>
                <w:kern w:val="0"/>
                <w:szCs w:val="21"/>
              </w:rPr>
            </w:pPr>
            <w:r>
              <w:rPr>
                <w:rFonts w:hint="eastAsia" w:ascii="宋体" w:hAnsi="宋体" w:cs="宋体"/>
                <w:kern w:val="0"/>
                <w:szCs w:val="21"/>
              </w:rPr>
              <w:t>（mm）</w:t>
            </w:r>
          </w:p>
        </w:tc>
        <w:tc>
          <w:tcPr>
            <w:tcW w:w="951" w:type="dxa"/>
            <w:noWrap/>
            <w:vAlign w:val="center"/>
          </w:tcPr>
          <w:p>
            <w:pPr>
              <w:widowControl/>
              <w:jc w:val="center"/>
              <w:rPr>
                <w:rFonts w:ascii="宋体" w:hAnsi="宋体" w:cs="宋体"/>
                <w:kern w:val="0"/>
                <w:szCs w:val="21"/>
              </w:rPr>
            </w:pPr>
            <w:r>
              <w:rPr>
                <w:rFonts w:hint="eastAsia" w:ascii="宋体" w:hAnsi="宋体" w:cs="宋体"/>
                <w:kern w:val="0"/>
                <w:szCs w:val="21"/>
              </w:rPr>
              <w:t>材质</w:t>
            </w:r>
          </w:p>
        </w:tc>
        <w:tc>
          <w:tcPr>
            <w:tcW w:w="633" w:type="dxa"/>
            <w:vAlign w:val="center"/>
          </w:tcPr>
          <w:p>
            <w:pPr>
              <w:widowControl/>
              <w:ind w:left="-149" w:leftChars="-71" w:right="-105" w:rightChars="-50"/>
              <w:jc w:val="center"/>
              <w:rPr>
                <w:rFonts w:ascii="宋体" w:hAnsi="宋体" w:cs="宋体"/>
                <w:kern w:val="0"/>
                <w:szCs w:val="21"/>
              </w:rPr>
            </w:pPr>
            <w:r>
              <w:rPr>
                <w:rFonts w:hint="eastAsia" w:ascii="宋体" w:hAnsi="宋体" w:cs="宋体"/>
                <w:kern w:val="0"/>
                <w:szCs w:val="21"/>
              </w:rPr>
              <w:t>壁厚</w:t>
            </w:r>
          </w:p>
        </w:tc>
        <w:tc>
          <w:tcPr>
            <w:tcW w:w="1109" w:type="dxa"/>
            <w:vMerge w:val="continue"/>
          </w:tcPr>
          <w:p>
            <w:pPr>
              <w:widowControl/>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28" w:type="dxa"/>
            <w:vAlign w:val="center"/>
          </w:tcPr>
          <w:p>
            <w:pPr>
              <w:widowControl/>
              <w:jc w:val="center"/>
              <w:rPr>
                <w:rFonts w:ascii="宋体" w:hAnsi="宋体" w:cs="宋体"/>
                <w:kern w:val="0"/>
                <w:szCs w:val="21"/>
              </w:rPr>
            </w:pPr>
            <w:r>
              <w:rPr>
                <w:rFonts w:hint="eastAsia" w:ascii="宋体" w:hAnsi="宋体" w:cs="宋体"/>
                <w:kern w:val="0"/>
                <w:szCs w:val="21"/>
              </w:rPr>
              <w:t>18</w:t>
            </w:r>
          </w:p>
        </w:tc>
        <w:tc>
          <w:tcPr>
            <w:tcW w:w="1427" w:type="dxa"/>
            <w:vAlign w:val="center"/>
          </w:tcPr>
          <w:p>
            <w:pPr>
              <w:widowControl/>
              <w:ind w:right="-107" w:rightChars="-51"/>
              <w:jc w:val="center"/>
              <w:rPr>
                <w:rFonts w:ascii="宋体" w:hAnsi="宋体" w:cs="宋体"/>
                <w:kern w:val="0"/>
                <w:szCs w:val="21"/>
              </w:rPr>
            </w:pPr>
            <w:r>
              <w:rPr>
                <w:rFonts w:hint="eastAsia" w:ascii="宋体" w:hAnsi="宋体" w:cs="宋体"/>
                <w:kern w:val="0"/>
                <w:szCs w:val="21"/>
              </w:rPr>
              <w:t>17</w:t>
            </w:r>
          </w:p>
        </w:tc>
        <w:tc>
          <w:tcPr>
            <w:tcW w:w="792" w:type="dxa"/>
            <w:vAlign w:val="center"/>
          </w:tcPr>
          <w:p>
            <w:pPr>
              <w:widowControl/>
              <w:jc w:val="center"/>
              <w:rPr>
                <w:rFonts w:ascii="宋体" w:hAnsi="宋体" w:cs="宋体"/>
                <w:kern w:val="0"/>
                <w:szCs w:val="21"/>
              </w:rPr>
            </w:pPr>
            <w:r>
              <w:rPr>
                <w:rFonts w:hint="eastAsia" w:ascii="宋体" w:hAnsi="宋体" w:cs="宋体"/>
                <w:kern w:val="0"/>
                <w:szCs w:val="21"/>
              </w:rPr>
              <w:t>3</w:t>
            </w:r>
          </w:p>
        </w:tc>
        <w:tc>
          <w:tcPr>
            <w:tcW w:w="634" w:type="dxa"/>
            <w:vAlign w:val="center"/>
          </w:tcPr>
          <w:p>
            <w:pPr>
              <w:widowControl/>
              <w:jc w:val="center"/>
              <w:rPr>
                <w:rFonts w:ascii="宋体" w:hAnsi="宋体" w:cs="宋体"/>
                <w:kern w:val="0"/>
                <w:szCs w:val="21"/>
              </w:rPr>
            </w:pPr>
            <w:r>
              <w:rPr>
                <w:rFonts w:hint="eastAsia" w:ascii="宋体" w:hAnsi="宋体" w:cs="宋体"/>
                <w:kern w:val="0"/>
                <w:szCs w:val="21"/>
              </w:rPr>
              <w:t>120</w:t>
            </w:r>
          </w:p>
        </w:tc>
        <w:tc>
          <w:tcPr>
            <w:tcW w:w="791" w:type="dxa"/>
            <w:vAlign w:val="center"/>
          </w:tcPr>
          <w:p>
            <w:pPr>
              <w:widowControl/>
              <w:jc w:val="center"/>
              <w:rPr>
                <w:rFonts w:ascii="宋体" w:hAnsi="宋体" w:cs="宋体"/>
                <w:kern w:val="0"/>
                <w:szCs w:val="21"/>
              </w:rPr>
            </w:pPr>
            <w:r>
              <w:rPr>
                <w:rFonts w:hint="eastAsia" w:ascii="宋体" w:hAnsi="宋体" w:cs="宋体"/>
                <w:kern w:val="0"/>
                <w:szCs w:val="21"/>
              </w:rPr>
              <w:t>1200</w:t>
            </w:r>
          </w:p>
        </w:tc>
        <w:tc>
          <w:tcPr>
            <w:tcW w:w="1268" w:type="dxa"/>
            <w:vMerge w:val="restart"/>
            <w:vAlign w:val="center"/>
          </w:tcPr>
          <w:p>
            <w:pPr>
              <w:widowControl/>
              <w:jc w:val="center"/>
              <w:rPr>
                <w:rFonts w:ascii="宋体" w:hAnsi="宋体" w:cs="宋体"/>
                <w:kern w:val="0"/>
                <w:szCs w:val="21"/>
              </w:rPr>
            </w:pPr>
            <w:r>
              <w:rPr>
                <w:rFonts w:hint="eastAsia" w:ascii="宋体" w:hAnsi="宋体" w:cs="宋体"/>
                <w:kern w:val="0"/>
                <w:szCs w:val="21"/>
              </w:rPr>
              <w:t>输入容量16A，输出3*6A</w:t>
            </w:r>
          </w:p>
        </w:tc>
        <w:tc>
          <w:tcPr>
            <w:tcW w:w="1427" w:type="dxa"/>
            <w:noWrap/>
            <w:vAlign w:val="center"/>
          </w:tcPr>
          <w:p>
            <w:pPr>
              <w:widowControl/>
              <w:ind w:right="-4" w:rightChars="-2"/>
              <w:jc w:val="center"/>
              <w:rPr>
                <w:rFonts w:ascii="宋体" w:hAnsi="宋体" w:cs="宋体"/>
                <w:kern w:val="0"/>
                <w:szCs w:val="21"/>
              </w:rPr>
            </w:pPr>
            <w:r>
              <w:rPr>
                <w:rFonts w:hint="eastAsia" w:ascii="宋体" w:hAnsi="宋体" w:cs="宋体"/>
                <w:kern w:val="0"/>
                <w:szCs w:val="21"/>
              </w:rPr>
              <w:t>310-605</w:t>
            </w:r>
          </w:p>
        </w:tc>
        <w:tc>
          <w:tcPr>
            <w:tcW w:w="951" w:type="dxa"/>
            <w:vMerge w:val="restart"/>
            <w:noWrap/>
            <w:vAlign w:val="center"/>
          </w:tcPr>
          <w:p>
            <w:pPr>
              <w:jc w:val="center"/>
              <w:rPr>
                <w:rFonts w:ascii="宋体" w:hAnsi="宋体" w:cs="宋体"/>
                <w:kern w:val="0"/>
                <w:szCs w:val="21"/>
              </w:rPr>
            </w:pPr>
            <w:r>
              <w:rPr>
                <w:rFonts w:hint="eastAsia" w:ascii="宋体" w:hAnsi="宋体" w:cs="宋体"/>
                <w:kern w:val="0"/>
                <w:szCs w:val="21"/>
              </w:rPr>
              <w:t>Q235、Q345、Q420、高强铝合金材料</w:t>
            </w:r>
          </w:p>
        </w:tc>
        <w:tc>
          <w:tcPr>
            <w:tcW w:w="633" w:type="dxa"/>
            <w:vMerge w:val="restart"/>
            <w:vAlign w:val="center"/>
          </w:tcPr>
          <w:p>
            <w:pPr>
              <w:ind w:left="-149" w:leftChars="-71" w:right="-111" w:rightChars="-53"/>
              <w:jc w:val="center"/>
              <w:rPr>
                <w:rFonts w:ascii="宋体" w:hAnsi="宋体" w:cs="宋体"/>
                <w:kern w:val="0"/>
                <w:szCs w:val="21"/>
              </w:rPr>
            </w:pPr>
            <w:r>
              <w:rPr>
                <w:rFonts w:hint="eastAsia" w:ascii="宋体" w:hAnsi="宋体" w:cs="宋体"/>
                <w:kern w:val="0"/>
                <w:szCs w:val="21"/>
              </w:rPr>
              <w:t>≥</w:t>
            </w:r>
          </w:p>
          <w:p>
            <w:pPr>
              <w:jc w:val="center"/>
              <w:rPr>
                <w:rFonts w:ascii="宋体" w:hAnsi="宋体" w:cs="宋体"/>
                <w:kern w:val="0"/>
                <w:szCs w:val="21"/>
              </w:rPr>
            </w:pPr>
            <w:r>
              <w:rPr>
                <w:rFonts w:hint="eastAsia" w:ascii="宋体" w:hAnsi="宋体" w:cs="宋体"/>
                <w:kern w:val="0"/>
                <w:szCs w:val="21"/>
              </w:rPr>
              <w:t>5mm</w:t>
            </w:r>
          </w:p>
        </w:tc>
        <w:tc>
          <w:tcPr>
            <w:tcW w:w="1109" w:type="dxa"/>
            <w:vMerge w:val="restart"/>
            <w:vAlign w:val="center"/>
          </w:tcPr>
          <w:p>
            <w:pPr>
              <w:ind w:left="-111" w:leftChars="-53" w:right="-109" w:rightChars="-52"/>
              <w:jc w:val="center"/>
              <w:rPr>
                <w:rFonts w:ascii="宋体" w:hAnsi="宋体" w:cs="宋体"/>
                <w:kern w:val="0"/>
                <w:szCs w:val="21"/>
              </w:rPr>
            </w:pPr>
            <w:r>
              <w:rPr>
                <w:rFonts w:hint="eastAsia" w:ascii="宋体" w:hAnsi="宋体" w:cs="宋体"/>
                <w:kern w:val="0"/>
                <w:szCs w:val="21"/>
              </w:rPr>
              <w:t>32A/2P*5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28" w:type="dxa"/>
            <w:vAlign w:val="center"/>
          </w:tcPr>
          <w:p>
            <w:pPr>
              <w:widowControl/>
              <w:jc w:val="center"/>
              <w:rPr>
                <w:rFonts w:ascii="宋体" w:hAnsi="宋体" w:cs="宋体"/>
                <w:kern w:val="0"/>
                <w:szCs w:val="21"/>
              </w:rPr>
            </w:pPr>
            <w:r>
              <w:rPr>
                <w:rFonts w:hint="eastAsia" w:ascii="宋体" w:hAnsi="宋体" w:cs="宋体"/>
                <w:kern w:val="0"/>
                <w:szCs w:val="21"/>
              </w:rPr>
              <w:t>14</w:t>
            </w:r>
          </w:p>
        </w:tc>
        <w:tc>
          <w:tcPr>
            <w:tcW w:w="1427" w:type="dxa"/>
            <w:vAlign w:val="center"/>
          </w:tcPr>
          <w:p>
            <w:pPr>
              <w:widowControl/>
              <w:ind w:right="-107" w:rightChars="-51"/>
              <w:jc w:val="center"/>
              <w:rPr>
                <w:rFonts w:ascii="宋体" w:hAnsi="宋体" w:cs="宋体"/>
                <w:kern w:val="0"/>
                <w:szCs w:val="21"/>
              </w:rPr>
            </w:pPr>
            <w:r>
              <w:rPr>
                <w:rFonts w:hint="eastAsia" w:ascii="宋体" w:hAnsi="宋体" w:cs="宋体"/>
                <w:kern w:val="0"/>
                <w:szCs w:val="21"/>
              </w:rPr>
              <w:t>13</w:t>
            </w:r>
          </w:p>
        </w:tc>
        <w:tc>
          <w:tcPr>
            <w:tcW w:w="792" w:type="dxa"/>
            <w:vAlign w:val="center"/>
          </w:tcPr>
          <w:p>
            <w:pPr>
              <w:widowControl/>
              <w:jc w:val="center"/>
              <w:rPr>
                <w:rFonts w:ascii="宋体" w:hAnsi="宋体" w:cs="宋体"/>
                <w:kern w:val="0"/>
                <w:szCs w:val="21"/>
              </w:rPr>
            </w:pPr>
            <w:r>
              <w:rPr>
                <w:rFonts w:hint="eastAsia" w:ascii="宋体" w:hAnsi="宋体" w:cs="宋体"/>
                <w:kern w:val="0"/>
                <w:szCs w:val="21"/>
              </w:rPr>
              <w:t>3</w:t>
            </w:r>
          </w:p>
        </w:tc>
        <w:tc>
          <w:tcPr>
            <w:tcW w:w="634" w:type="dxa"/>
            <w:vAlign w:val="center"/>
          </w:tcPr>
          <w:p>
            <w:pPr>
              <w:widowControl/>
              <w:jc w:val="center"/>
              <w:rPr>
                <w:rFonts w:ascii="宋体" w:hAnsi="宋体" w:cs="宋体"/>
                <w:kern w:val="0"/>
                <w:szCs w:val="21"/>
              </w:rPr>
            </w:pPr>
            <w:r>
              <w:rPr>
                <w:rFonts w:hint="eastAsia" w:ascii="宋体" w:hAnsi="宋体" w:cs="宋体"/>
                <w:kern w:val="0"/>
                <w:szCs w:val="21"/>
              </w:rPr>
              <w:t>120</w:t>
            </w:r>
          </w:p>
        </w:tc>
        <w:tc>
          <w:tcPr>
            <w:tcW w:w="791" w:type="dxa"/>
            <w:vAlign w:val="center"/>
          </w:tcPr>
          <w:p>
            <w:pPr>
              <w:widowControl/>
              <w:jc w:val="center"/>
              <w:rPr>
                <w:rFonts w:ascii="宋体" w:hAnsi="宋体" w:cs="宋体"/>
                <w:kern w:val="0"/>
                <w:szCs w:val="21"/>
              </w:rPr>
            </w:pPr>
            <w:r>
              <w:rPr>
                <w:rFonts w:hint="eastAsia" w:ascii="宋体" w:hAnsi="宋体" w:cs="宋体"/>
                <w:kern w:val="0"/>
                <w:szCs w:val="21"/>
              </w:rPr>
              <w:t>1200</w:t>
            </w:r>
          </w:p>
        </w:tc>
        <w:tc>
          <w:tcPr>
            <w:tcW w:w="1268" w:type="dxa"/>
            <w:vMerge w:val="continue"/>
            <w:vAlign w:val="center"/>
          </w:tcPr>
          <w:p>
            <w:pPr>
              <w:widowControl/>
              <w:jc w:val="center"/>
              <w:rPr>
                <w:rFonts w:ascii="宋体" w:hAnsi="宋体" w:cs="宋体"/>
                <w:kern w:val="0"/>
                <w:szCs w:val="21"/>
              </w:rPr>
            </w:pPr>
          </w:p>
        </w:tc>
        <w:tc>
          <w:tcPr>
            <w:tcW w:w="1427" w:type="dxa"/>
            <w:noWrap/>
            <w:vAlign w:val="center"/>
          </w:tcPr>
          <w:p>
            <w:pPr>
              <w:widowControl/>
              <w:ind w:right="-4" w:rightChars="-2"/>
              <w:jc w:val="center"/>
              <w:rPr>
                <w:rFonts w:ascii="宋体" w:hAnsi="宋体" w:cs="宋体"/>
                <w:kern w:val="0"/>
                <w:szCs w:val="21"/>
              </w:rPr>
            </w:pPr>
            <w:r>
              <w:rPr>
                <w:rFonts w:hint="eastAsia" w:ascii="宋体" w:hAnsi="宋体" w:cs="宋体"/>
                <w:kern w:val="0"/>
                <w:szCs w:val="21"/>
              </w:rPr>
              <w:t>180-385</w:t>
            </w:r>
          </w:p>
        </w:tc>
        <w:tc>
          <w:tcPr>
            <w:tcW w:w="951" w:type="dxa"/>
            <w:vMerge w:val="continue"/>
            <w:noWrap/>
            <w:vAlign w:val="center"/>
          </w:tcPr>
          <w:p>
            <w:pPr>
              <w:jc w:val="center"/>
              <w:rPr>
                <w:rFonts w:ascii="宋体" w:hAnsi="宋体" w:cs="宋体"/>
                <w:kern w:val="0"/>
                <w:szCs w:val="21"/>
              </w:rPr>
            </w:pPr>
          </w:p>
        </w:tc>
        <w:tc>
          <w:tcPr>
            <w:tcW w:w="633" w:type="dxa"/>
            <w:vMerge w:val="continue"/>
            <w:vAlign w:val="center"/>
          </w:tcPr>
          <w:p>
            <w:pPr>
              <w:jc w:val="center"/>
              <w:rPr>
                <w:rFonts w:ascii="宋体" w:hAnsi="宋体" w:cs="宋体"/>
                <w:kern w:val="0"/>
                <w:szCs w:val="21"/>
              </w:rPr>
            </w:pPr>
          </w:p>
        </w:tc>
        <w:tc>
          <w:tcPr>
            <w:tcW w:w="1109" w:type="dxa"/>
            <w:vMerge w:val="continue"/>
            <w:vAlign w:val="center"/>
          </w:tcPr>
          <w:p>
            <w:pPr>
              <w:ind w:left="-111" w:leftChars="-53" w:right="-109" w:rightChars="-52"/>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628" w:type="dxa"/>
            <w:vAlign w:val="center"/>
          </w:tcPr>
          <w:p>
            <w:pPr>
              <w:widowControl/>
              <w:jc w:val="center"/>
              <w:rPr>
                <w:rFonts w:ascii="宋体" w:hAnsi="宋体" w:cs="宋体"/>
                <w:kern w:val="0"/>
                <w:szCs w:val="21"/>
              </w:rPr>
            </w:pPr>
            <w:r>
              <w:rPr>
                <w:rFonts w:hint="eastAsia" w:ascii="宋体" w:hAnsi="宋体" w:cs="宋体"/>
                <w:kern w:val="0"/>
                <w:szCs w:val="21"/>
              </w:rPr>
              <w:t>12</w:t>
            </w:r>
          </w:p>
        </w:tc>
        <w:tc>
          <w:tcPr>
            <w:tcW w:w="1427" w:type="dxa"/>
            <w:vAlign w:val="center"/>
          </w:tcPr>
          <w:p>
            <w:pPr>
              <w:widowControl/>
              <w:ind w:right="-107" w:rightChars="-51"/>
              <w:jc w:val="center"/>
              <w:rPr>
                <w:rFonts w:ascii="宋体" w:hAnsi="宋体" w:cs="宋体"/>
                <w:kern w:val="0"/>
                <w:szCs w:val="21"/>
              </w:rPr>
            </w:pPr>
            <w:r>
              <w:rPr>
                <w:rFonts w:hint="eastAsia" w:ascii="宋体" w:hAnsi="宋体" w:cs="宋体"/>
                <w:kern w:val="0"/>
                <w:szCs w:val="21"/>
              </w:rPr>
              <w:t>11</w:t>
            </w:r>
          </w:p>
        </w:tc>
        <w:tc>
          <w:tcPr>
            <w:tcW w:w="792" w:type="dxa"/>
            <w:vAlign w:val="center"/>
          </w:tcPr>
          <w:p>
            <w:pPr>
              <w:widowControl/>
              <w:jc w:val="center"/>
              <w:rPr>
                <w:rFonts w:ascii="宋体" w:hAnsi="宋体" w:cs="宋体"/>
                <w:kern w:val="0"/>
                <w:szCs w:val="21"/>
              </w:rPr>
            </w:pPr>
            <w:r>
              <w:rPr>
                <w:rFonts w:hint="eastAsia" w:ascii="宋体" w:hAnsi="宋体" w:cs="宋体"/>
                <w:kern w:val="0"/>
                <w:szCs w:val="21"/>
              </w:rPr>
              <w:t>3</w:t>
            </w:r>
          </w:p>
        </w:tc>
        <w:tc>
          <w:tcPr>
            <w:tcW w:w="634" w:type="dxa"/>
            <w:vAlign w:val="center"/>
          </w:tcPr>
          <w:p>
            <w:pPr>
              <w:widowControl/>
              <w:jc w:val="center"/>
              <w:rPr>
                <w:rFonts w:ascii="宋体" w:hAnsi="宋体" w:cs="宋体"/>
                <w:kern w:val="0"/>
                <w:szCs w:val="21"/>
              </w:rPr>
            </w:pPr>
            <w:r>
              <w:rPr>
                <w:rFonts w:hint="eastAsia" w:ascii="宋体" w:hAnsi="宋体" w:cs="宋体"/>
                <w:kern w:val="0"/>
                <w:szCs w:val="21"/>
              </w:rPr>
              <w:t>120</w:t>
            </w:r>
          </w:p>
        </w:tc>
        <w:tc>
          <w:tcPr>
            <w:tcW w:w="791" w:type="dxa"/>
            <w:vAlign w:val="center"/>
          </w:tcPr>
          <w:p>
            <w:pPr>
              <w:widowControl/>
              <w:jc w:val="center"/>
              <w:rPr>
                <w:rFonts w:ascii="宋体" w:hAnsi="宋体" w:cs="宋体"/>
                <w:kern w:val="0"/>
                <w:szCs w:val="21"/>
              </w:rPr>
            </w:pPr>
            <w:r>
              <w:rPr>
                <w:rFonts w:hint="eastAsia" w:ascii="宋体" w:hAnsi="宋体" w:cs="宋体"/>
                <w:kern w:val="0"/>
                <w:szCs w:val="21"/>
              </w:rPr>
              <w:t>1200</w:t>
            </w:r>
          </w:p>
        </w:tc>
        <w:tc>
          <w:tcPr>
            <w:tcW w:w="1268" w:type="dxa"/>
            <w:vMerge w:val="continue"/>
            <w:vAlign w:val="center"/>
          </w:tcPr>
          <w:p>
            <w:pPr>
              <w:rPr>
                <w:sz w:val="20"/>
                <w:szCs w:val="20"/>
              </w:rPr>
            </w:pPr>
          </w:p>
        </w:tc>
        <w:tc>
          <w:tcPr>
            <w:tcW w:w="1427" w:type="dxa"/>
            <w:noWrap/>
            <w:vAlign w:val="center"/>
          </w:tcPr>
          <w:p>
            <w:pPr>
              <w:widowControl/>
              <w:jc w:val="center"/>
              <w:rPr>
                <w:rFonts w:ascii="宋体" w:hAnsi="宋体" w:cs="宋体"/>
                <w:kern w:val="0"/>
                <w:szCs w:val="21"/>
              </w:rPr>
            </w:pPr>
            <w:r>
              <w:rPr>
                <w:rFonts w:hint="eastAsia" w:ascii="宋体" w:hAnsi="宋体" w:cs="宋体"/>
                <w:kern w:val="0"/>
                <w:szCs w:val="21"/>
              </w:rPr>
              <w:t>160-300</w:t>
            </w:r>
          </w:p>
        </w:tc>
        <w:tc>
          <w:tcPr>
            <w:tcW w:w="951" w:type="dxa"/>
            <w:vMerge w:val="continue"/>
            <w:noWrap/>
            <w:vAlign w:val="center"/>
          </w:tcPr>
          <w:p>
            <w:pPr>
              <w:rPr>
                <w:sz w:val="20"/>
                <w:szCs w:val="20"/>
              </w:rPr>
            </w:pPr>
          </w:p>
        </w:tc>
        <w:tc>
          <w:tcPr>
            <w:tcW w:w="633" w:type="dxa"/>
            <w:vMerge w:val="continue"/>
            <w:vAlign w:val="center"/>
          </w:tcPr>
          <w:p>
            <w:pPr>
              <w:rPr>
                <w:sz w:val="20"/>
                <w:szCs w:val="20"/>
              </w:rPr>
            </w:pPr>
          </w:p>
        </w:tc>
        <w:tc>
          <w:tcPr>
            <w:tcW w:w="1109" w:type="dxa"/>
            <w:vMerge w:val="continue"/>
            <w:vAlign w:val="center"/>
          </w:tcPr>
          <w:p>
            <w:pPr>
              <w:ind w:left="-111" w:leftChars="-53" w:right="-101" w:rightChars="-48"/>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628" w:type="dxa"/>
            <w:vAlign w:val="center"/>
          </w:tcPr>
          <w:p>
            <w:pPr>
              <w:widowControl/>
              <w:jc w:val="center"/>
              <w:rPr>
                <w:rFonts w:ascii="宋体" w:hAnsi="宋体" w:cs="宋体"/>
                <w:kern w:val="0"/>
                <w:szCs w:val="21"/>
              </w:rPr>
            </w:pPr>
            <w:r>
              <w:rPr>
                <w:rFonts w:hint="eastAsia" w:ascii="宋体" w:hAnsi="宋体" w:cs="宋体"/>
                <w:kern w:val="0"/>
                <w:szCs w:val="21"/>
              </w:rPr>
              <w:t>8</w:t>
            </w:r>
          </w:p>
        </w:tc>
        <w:tc>
          <w:tcPr>
            <w:tcW w:w="1427" w:type="dxa"/>
            <w:vAlign w:val="center"/>
          </w:tcPr>
          <w:p>
            <w:pPr>
              <w:widowControl/>
              <w:ind w:right="-107" w:rightChars="-51"/>
              <w:jc w:val="center"/>
              <w:rPr>
                <w:rFonts w:ascii="宋体" w:hAnsi="宋体" w:cs="宋体"/>
                <w:kern w:val="0"/>
                <w:szCs w:val="21"/>
              </w:rPr>
            </w:pPr>
            <w:r>
              <w:rPr>
                <w:rFonts w:hint="eastAsia" w:ascii="宋体" w:hAnsi="宋体" w:cs="宋体"/>
                <w:kern w:val="0"/>
                <w:szCs w:val="21"/>
              </w:rPr>
              <w:t>7</w:t>
            </w:r>
          </w:p>
        </w:tc>
        <w:tc>
          <w:tcPr>
            <w:tcW w:w="792" w:type="dxa"/>
            <w:vAlign w:val="center"/>
          </w:tcPr>
          <w:p>
            <w:pPr>
              <w:widowControl/>
              <w:jc w:val="center"/>
              <w:rPr>
                <w:rFonts w:ascii="宋体" w:hAnsi="宋体" w:cs="宋体"/>
                <w:kern w:val="0"/>
                <w:szCs w:val="21"/>
              </w:rPr>
            </w:pPr>
            <w:r>
              <w:rPr>
                <w:rFonts w:hint="eastAsia" w:ascii="宋体" w:hAnsi="宋体" w:cs="宋体"/>
                <w:kern w:val="0"/>
                <w:szCs w:val="21"/>
              </w:rPr>
              <w:t>3</w:t>
            </w:r>
          </w:p>
        </w:tc>
        <w:tc>
          <w:tcPr>
            <w:tcW w:w="634" w:type="dxa"/>
            <w:vAlign w:val="center"/>
          </w:tcPr>
          <w:p>
            <w:pPr>
              <w:widowControl/>
              <w:jc w:val="center"/>
              <w:rPr>
                <w:rFonts w:ascii="宋体" w:hAnsi="宋体" w:cs="宋体"/>
                <w:kern w:val="0"/>
                <w:szCs w:val="21"/>
              </w:rPr>
            </w:pPr>
            <w:r>
              <w:rPr>
                <w:rFonts w:hint="eastAsia" w:ascii="宋体" w:hAnsi="宋体" w:cs="宋体"/>
                <w:kern w:val="0"/>
                <w:szCs w:val="21"/>
              </w:rPr>
              <w:t>120</w:t>
            </w:r>
          </w:p>
        </w:tc>
        <w:tc>
          <w:tcPr>
            <w:tcW w:w="791" w:type="dxa"/>
            <w:vAlign w:val="center"/>
          </w:tcPr>
          <w:p>
            <w:pPr>
              <w:widowControl/>
              <w:jc w:val="center"/>
              <w:rPr>
                <w:rFonts w:ascii="宋体" w:hAnsi="宋体" w:cs="宋体"/>
                <w:kern w:val="0"/>
                <w:szCs w:val="21"/>
              </w:rPr>
            </w:pPr>
            <w:r>
              <w:rPr>
                <w:rFonts w:ascii="宋体" w:hAnsi="宋体" w:cs="宋体"/>
                <w:kern w:val="0"/>
                <w:szCs w:val="21"/>
              </w:rPr>
              <w:t>1200</w:t>
            </w:r>
          </w:p>
        </w:tc>
        <w:tc>
          <w:tcPr>
            <w:tcW w:w="1268" w:type="dxa"/>
            <w:vMerge w:val="continue"/>
            <w:vAlign w:val="center"/>
          </w:tcPr>
          <w:p>
            <w:pPr>
              <w:widowControl/>
              <w:jc w:val="left"/>
              <w:rPr>
                <w:rFonts w:ascii="宋体" w:hAnsi="宋体" w:cs="宋体"/>
                <w:kern w:val="0"/>
                <w:szCs w:val="21"/>
              </w:rPr>
            </w:pPr>
          </w:p>
        </w:tc>
        <w:tc>
          <w:tcPr>
            <w:tcW w:w="1427" w:type="dxa"/>
            <w:noWrap/>
            <w:vAlign w:val="center"/>
          </w:tcPr>
          <w:p>
            <w:pPr>
              <w:widowControl/>
              <w:jc w:val="center"/>
              <w:rPr>
                <w:rFonts w:ascii="宋体" w:hAnsi="宋体" w:cs="宋体"/>
                <w:kern w:val="0"/>
                <w:szCs w:val="21"/>
              </w:rPr>
            </w:pPr>
            <w:r>
              <w:rPr>
                <w:rFonts w:hint="eastAsia" w:ascii="宋体" w:hAnsi="宋体" w:cs="宋体"/>
                <w:kern w:val="0"/>
                <w:szCs w:val="21"/>
              </w:rPr>
              <w:t>120-220</w:t>
            </w:r>
          </w:p>
        </w:tc>
        <w:tc>
          <w:tcPr>
            <w:tcW w:w="951" w:type="dxa"/>
            <w:vMerge w:val="continue"/>
            <w:noWrap/>
            <w:vAlign w:val="center"/>
          </w:tcPr>
          <w:p>
            <w:pPr>
              <w:rPr>
                <w:sz w:val="20"/>
                <w:szCs w:val="20"/>
              </w:rPr>
            </w:pPr>
          </w:p>
        </w:tc>
        <w:tc>
          <w:tcPr>
            <w:tcW w:w="633" w:type="dxa"/>
            <w:vMerge w:val="continue"/>
            <w:vAlign w:val="center"/>
          </w:tcPr>
          <w:p>
            <w:pPr>
              <w:rPr>
                <w:sz w:val="20"/>
                <w:szCs w:val="20"/>
              </w:rPr>
            </w:pPr>
          </w:p>
        </w:tc>
        <w:tc>
          <w:tcPr>
            <w:tcW w:w="1109" w:type="dxa"/>
            <w:vMerge w:val="continue"/>
            <w:vAlign w:val="center"/>
          </w:tcPr>
          <w:p>
            <w:pPr>
              <w:widowControl/>
              <w:ind w:left="-103" w:leftChars="-49" w:right="-107" w:rightChars="-51"/>
              <w:jc w:val="center"/>
              <w:rPr>
                <w:rFonts w:ascii="宋体" w:hAnsi="宋体" w:cs="宋体"/>
                <w:kern w:val="0"/>
                <w:szCs w:val="21"/>
              </w:rPr>
            </w:pPr>
          </w:p>
        </w:tc>
      </w:tr>
    </w:tbl>
    <w:p>
      <w:pPr>
        <w:pStyle w:val="26"/>
      </w:pPr>
    </w:p>
    <w:p>
      <w:pPr>
        <w:pStyle w:val="52"/>
        <w:numPr>
          <w:ilvl w:val="2"/>
          <w:numId w:val="20"/>
        </w:numPr>
        <w:spacing w:before="156" w:after="156"/>
        <w:outlineLvl w:val="2"/>
      </w:pPr>
      <w:bookmarkStart w:id="346" w:name="_Toc22631"/>
      <w:bookmarkStart w:id="347" w:name="_Toc14252"/>
      <w:bookmarkStart w:id="348" w:name="_Toc30296"/>
      <w:bookmarkStart w:id="349" w:name="_Toc23388"/>
      <w:bookmarkStart w:id="350" w:name="_Toc967"/>
      <w:bookmarkStart w:id="351" w:name="_Toc13105"/>
      <w:bookmarkStart w:id="352" w:name="_Toc14999"/>
      <w:bookmarkStart w:id="353" w:name="_Toc8062"/>
      <w:bookmarkStart w:id="354" w:name="_Toc16888"/>
      <w:bookmarkStart w:id="355" w:name="_Toc19067"/>
      <w:r>
        <w:rPr>
          <w:rFonts w:hint="eastAsia"/>
        </w:rPr>
        <w:t>交通标志</w:t>
      </w:r>
      <w:bookmarkEnd w:id="346"/>
      <w:bookmarkEnd w:id="347"/>
      <w:bookmarkEnd w:id="348"/>
      <w:bookmarkEnd w:id="349"/>
      <w:bookmarkEnd w:id="350"/>
      <w:bookmarkEnd w:id="351"/>
      <w:bookmarkEnd w:id="352"/>
      <w:bookmarkEnd w:id="353"/>
      <w:bookmarkEnd w:id="354"/>
      <w:bookmarkEnd w:id="355"/>
      <w:r>
        <w:rPr>
          <w:rFonts w:hint="eastAsia"/>
        </w:rPr>
        <w:t xml:space="preserve"> </w:t>
      </w:r>
    </w:p>
    <w:p>
      <w:pPr>
        <w:pStyle w:val="26"/>
        <w:numPr>
          <w:ilvl w:val="3"/>
          <w:numId w:val="20"/>
        </w:numPr>
        <w:ind w:firstLineChars="0"/>
        <w:rPr>
          <w:szCs w:val="21"/>
        </w:rPr>
      </w:pPr>
      <w:r>
        <w:rPr>
          <w:rFonts w:hint="eastAsia"/>
          <w:szCs w:val="21"/>
        </w:rPr>
        <w:t>设置于智慧灯杆的交通标志应符合《道路交通标志和标线 第1部分：总则》GB5768.1、《道路交通标志和标线 第2部分：道路交通标志》GB5768.2、《城市道路交通标志和标线设置规范》GB51038中相关要求，并应经过相关主管部门批准。</w:t>
      </w:r>
    </w:p>
    <w:p>
      <w:pPr>
        <w:pStyle w:val="26"/>
        <w:numPr>
          <w:ilvl w:val="3"/>
          <w:numId w:val="20"/>
        </w:numPr>
        <w:ind w:firstLineChars="0"/>
        <w:rPr>
          <w:szCs w:val="21"/>
        </w:rPr>
      </w:pPr>
      <w:r>
        <w:rPr>
          <w:rFonts w:hint="eastAsia"/>
          <w:szCs w:val="21"/>
        </w:rPr>
        <w:t>交通标志版面应结合道路等级及行车速度计算，并符合《道路交通标志和标线 第1部分：总则》GB5768.1、《道路交通标志和标线 第2部分：道路交通标志》GB5768.2、《城市道路交通标志和标线设置规范》GB51038中相关要求。</w:t>
      </w:r>
    </w:p>
    <w:p>
      <w:pPr>
        <w:pStyle w:val="26"/>
        <w:numPr>
          <w:ilvl w:val="3"/>
          <w:numId w:val="20"/>
        </w:numPr>
        <w:ind w:firstLineChars="0"/>
        <w:rPr>
          <w:szCs w:val="21"/>
        </w:rPr>
      </w:pPr>
      <w:r>
        <w:rPr>
          <w:rFonts w:hint="eastAsia"/>
          <w:szCs w:val="21"/>
        </w:rPr>
        <w:t>各类标志版面尺寸和字符大小应根据设计速度按表5.2.4.3-1选取。也可根据路段的运行速度(V85)进行调整，应符合下列规定：</w:t>
      </w:r>
      <w:r>
        <w:rPr>
          <w:rFonts w:hint="eastAsia"/>
          <w:szCs w:val="21"/>
        </w:rPr>
        <w:br w:type="textWrapping"/>
      </w:r>
      <w:r>
        <w:rPr>
          <w:rFonts w:hint="eastAsia"/>
          <w:szCs w:val="21"/>
        </w:rPr>
        <w:t>    1 指路标志的版面尺寸应与字符数量、图形符号、其他文字和版面美化等因素相协调；版面设计时，其他文字与汉字高度关系宜符合表表5.2.4.3-2要求；</w:t>
      </w:r>
      <w:r>
        <w:rPr>
          <w:rFonts w:hint="eastAsia"/>
          <w:szCs w:val="21"/>
        </w:rPr>
        <w:br w:type="textWrapping"/>
      </w:r>
      <w:r>
        <w:rPr>
          <w:rFonts w:hint="eastAsia"/>
          <w:szCs w:val="21"/>
        </w:rPr>
        <w:t>    2 高度不同的两个设计要素相邻，可按低的高度值选择间距和行距；</w:t>
      </w:r>
      <w:r>
        <w:rPr>
          <w:rFonts w:hint="eastAsia"/>
          <w:szCs w:val="21"/>
        </w:rPr>
        <w:br w:type="textWrapping"/>
      </w:r>
      <w:r>
        <w:rPr>
          <w:rFonts w:hint="eastAsia"/>
          <w:szCs w:val="21"/>
        </w:rPr>
        <w:t>    3 隧道内或桥下因建筑限界、结构承载能力限制等特殊情况，当需缩小标志版面尺寸时，可适当减小文字高度，但最小高度不应小于一般值的0．8倍，或采用高宽比为1：0．75的窄字体，但不得改变版面各要素之间的相互关系；</w:t>
      </w:r>
      <w:r>
        <w:rPr>
          <w:rFonts w:hint="eastAsia"/>
          <w:szCs w:val="21"/>
        </w:rPr>
        <w:br w:type="textWrapping"/>
      </w:r>
      <w:r>
        <w:rPr>
          <w:rFonts w:hint="eastAsia"/>
          <w:szCs w:val="21"/>
        </w:rPr>
        <w:t>    4 设置在城市狭窄道路、分隔带内等处的警告、禁令、指示标志，当采用柱式标志支撑结构设置空间受限制时，可采用最小值。三角形警告标志的最小边长不应小于0．6m；圆形禁令标志的最小直径不应小于0．5m；三角形禁令标志的最小边长不应小于0．6m；八角形禁令标志对角线长度不应小于0．5m；指示标志的最小直径(或短边边长)不应小于0．5m。</w:t>
      </w:r>
    </w:p>
    <w:p>
      <w:pPr>
        <w:pStyle w:val="26"/>
        <w:tabs>
          <w:tab w:val="left" w:pos="-1134"/>
        </w:tabs>
        <w:ind w:firstLine="0" w:firstLineChars="0"/>
        <w:jc w:val="center"/>
        <w:rPr>
          <w:szCs w:val="21"/>
        </w:rPr>
      </w:pPr>
      <w:r>
        <w:rPr>
          <w:rFonts w:hint="eastAsia"/>
          <w:szCs w:val="21"/>
        </w:rPr>
        <w:t>表5.2.4.3-1  标志版面尺寸、文字高度与设计速度的关系</w:t>
      </w:r>
    </w:p>
    <w:p>
      <w:pPr>
        <w:pStyle w:val="26"/>
        <w:tabs>
          <w:tab w:val="left" w:pos="-1134"/>
        </w:tabs>
        <w:ind w:firstLine="0" w:firstLineChars="0"/>
        <w:rPr>
          <w:szCs w:val="21"/>
        </w:rPr>
      </w:pPr>
      <w:r>
        <w:rPr>
          <w:rFonts w:hint="eastAsia"/>
          <w:szCs w:val="21"/>
        </w:rPr>
        <w:drawing>
          <wp:inline distT="0" distB="0" distL="0" distR="0">
            <wp:extent cx="5935980" cy="3735070"/>
            <wp:effectExtent l="19050" t="0" r="7620" b="0"/>
            <wp:docPr id="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7"/>
                    <pic:cNvPicPr>
                      <a:picLocks noChangeAspect="1" noChangeArrowheads="1"/>
                    </pic:cNvPicPr>
                  </pic:nvPicPr>
                  <pic:blipFill>
                    <a:blip r:embed="rId18" cstate="print"/>
                    <a:srcRect/>
                    <a:stretch>
                      <a:fillRect/>
                    </a:stretch>
                  </pic:blipFill>
                  <pic:spPr>
                    <a:xfrm>
                      <a:off x="0" y="0"/>
                      <a:ext cx="5935980" cy="3735070"/>
                    </a:xfrm>
                    <a:prstGeom prst="rect">
                      <a:avLst/>
                    </a:prstGeom>
                    <a:noFill/>
                    <a:ln w="9525" cmpd="sng">
                      <a:noFill/>
                      <a:miter lim="800000"/>
                      <a:headEnd/>
                      <a:tailEnd/>
                    </a:ln>
                  </pic:spPr>
                </pic:pic>
              </a:graphicData>
            </a:graphic>
          </wp:inline>
        </w:drawing>
      </w:r>
    </w:p>
    <w:p>
      <w:pPr>
        <w:pStyle w:val="26"/>
        <w:tabs>
          <w:tab w:val="left" w:pos="-1134"/>
        </w:tabs>
        <w:ind w:firstLine="0" w:firstLineChars="0"/>
        <w:jc w:val="center"/>
        <w:rPr>
          <w:szCs w:val="21"/>
        </w:rPr>
      </w:pPr>
      <w:r>
        <w:rPr>
          <w:rFonts w:hint="eastAsia"/>
          <w:szCs w:val="21"/>
        </w:rPr>
        <w:t>表5.2.4.3-2  其他文字与汉字高度的关系</w:t>
      </w:r>
    </w:p>
    <w:p>
      <w:pPr>
        <w:pStyle w:val="26"/>
        <w:tabs>
          <w:tab w:val="left" w:pos="-1134"/>
        </w:tabs>
        <w:ind w:firstLine="0" w:firstLineChars="0"/>
        <w:rPr>
          <w:szCs w:val="21"/>
        </w:rPr>
      </w:pPr>
      <w:r>
        <w:rPr>
          <w:rFonts w:hint="eastAsia"/>
          <w:szCs w:val="21"/>
        </w:rPr>
        <w:drawing>
          <wp:inline distT="0" distB="0" distL="0" distR="0">
            <wp:extent cx="5943600" cy="1774825"/>
            <wp:effectExtent l="19050" t="0" r="0" b="0"/>
            <wp:docPr id="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8"/>
                    <pic:cNvPicPr>
                      <a:picLocks noChangeAspect="1" noChangeArrowheads="1"/>
                    </pic:cNvPicPr>
                  </pic:nvPicPr>
                  <pic:blipFill>
                    <a:blip r:embed="rId19" cstate="print"/>
                    <a:srcRect/>
                    <a:stretch>
                      <a:fillRect/>
                    </a:stretch>
                  </pic:blipFill>
                  <pic:spPr>
                    <a:xfrm>
                      <a:off x="0" y="0"/>
                      <a:ext cx="5943600" cy="1774825"/>
                    </a:xfrm>
                    <a:prstGeom prst="rect">
                      <a:avLst/>
                    </a:prstGeom>
                    <a:noFill/>
                    <a:ln w="9525" cmpd="sng">
                      <a:noFill/>
                      <a:miter lim="800000"/>
                      <a:headEnd/>
                      <a:tailEnd/>
                    </a:ln>
                  </pic:spPr>
                </pic:pic>
              </a:graphicData>
            </a:graphic>
          </wp:inline>
        </w:drawing>
      </w:r>
    </w:p>
    <w:p>
      <w:bookmarkStart w:id="356" w:name="_Toc14340"/>
      <w:bookmarkStart w:id="357" w:name="_Toc31872"/>
      <w:bookmarkStart w:id="358" w:name="_Toc30462"/>
      <w:bookmarkStart w:id="359" w:name="_Toc17248"/>
      <w:bookmarkStart w:id="360" w:name="_Toc29596"/>
      <w:bookmarkStart w:id="361" w:name="_Toc9873"/>
      <w:bookmarkStart w:id="362" w:name="_Toc19732"/>
      <w:bookmarkStart w:id="363" w:name="_Toc27156"/>
      <w:bookmarkStart w:id="364" w:name="_Toc14957"/>
      <w:bookmarkStart w:id="365" w:name="_Toc8338"/>
      <w:r>
        <w:rPr>
          <w:rFonts w:hint="eastAsia"/>
        </w:rPr>
        <w:br w:type="page"/>
      </w:r>
    </w:p>
    <w:p>
      <w:pPr>
        <w:pStyle w:val="52"/>
        <w:numPr>
          <w:ilvl w:val="2"/>
          <w:numId w:val="20"/>
        </w:numPr>
        <w:spacing w:before="156" w:after="156"/>
        <w:outlineLvl w:val="2"/>
      </w:pPr>
      <w:r>
        <w:rPr>
          <w:rFonts w:hint="eastAsia"/>
        </w:rPr>
        <w:t>交通信号灯</w:t>
      </w:r>
      <w:bookmarkEnd w:id="356"/>
      <w:bookmarkEnd w:id="357"/>
      <w:bookmarkEnd w:id="358"/>
      <w:bookmarkEnd w:id="359"/>
      <w:bookmarkEnd w:id="360"/>
      <w:bookmarkEnd w:id="361"/>
      <w:bookmarkEnd w:id="362"/>
      <w:bookmarkEnd w:id="363"/>
      <w:bookmarkEnd w:id="364"/>
      <w:bookmarkEnd w:id="365"/>
    </w:p>
    <w:p>
      <w:pPr>
        <w:pStyle w:val="26"/>
        <w:numPr>
          <w:ilvl w:val="3"/>
          <w:numId w:val="20"/>
        </w:numPr>
        <w:ind w:firstLineChars="0"/>
        <w:rPr>
          <w:szCs w:val="21"/>
        </w:rPr>
      </w:pPr>
      <w:r>
        <w:rPr>
          <w:rFonts w:hint="eastAsia"/>
          <w:szCs w:val="21"/>
        </w:rPr>
        <w:t>配置交通信号灯的智慧灯杆需优先满足交通信号灯的可视性，再考虑挂载其他设备。设置于智慧灯杆的交通</w:t>
      </w:r>
      <w:r>
        <w:rPr>
          <w:szCs w:val="21"/>
        </w:rPr>
        <w:t>信号</w:t>
      </w:r>
      <w:r>
        <w:rPr>
          <w:rFonts w:hint="eastAsia"/>
          <w:szCs w:val="21"/>
        </w:rPr>
        <w:t>灯</w:t>
      </w:r>
      <w:r>
        <w:rPr>
          <w:szCs w:val="21"/>
        </w:rPr>
        <w:t>的</w:t>
      </w:r>
      <w:r>
        <w:rPr>
          <w:rFonts w:hint="eastAsia"/>
          <w:szCs w:val="21"/>
        </w:rPr>
        <w:t>设置应符合</w:t>
      </w:r>
      <w:bookmarkStart w:id="366" w:name="_Hlk515832688"/>
      <w:r>
        <w:rPr>
          <w:rFonts w:hint="eastAsia"/>
          <w:szCs w:val="21"/>
        </w:rPr>
        <w:t>《道路交通信号灯设置与安装规范》GB</w:t>
      </w:r>
      <w:r>
        <w:rPr>
          <w:szCs w:val="21"/>
        </w:rPr>
        <w:t xml:space="preserve"> </w:t>
      </w:r>
      <w:r>
        <w:rPr>
          <w:rFonts w:hint="eastAsia"/>
          <w:szCs w:val="21"/>
        </w:rPr>
        <w:t>14886、《道路交通信号灯》</w:t>
      </w:r>
      <w:r>
        <w:rPr>
          <w:szCs w:val="21"/>
        </w:rPr>
        <w:t>GB 14887、</w:t>
      </w:r>
      <w:r>
        <w:rPr>
          <w:rFonts w:hint="eastAsia"/>
          <w:szCs w:val="21"/>
        </w:rPr>
        <w:t>《道路交通信号控制机》</w:t>
      </w:r>
      <w:r>
        <w:rPr>
          <w:szCs w:val="21"/>
        </w:rPr>
        <w:t>GB 25280</w:t>
      </w:r>
      <w:bookmarkEnd w:id="366"/>
      <w:r>
        <w:rPr>
          <w:rFonts w:hint="eastAsia"/>
          <w:szCs w:val="21"/>
        </w:rPr>
        <w:t>规定。</w:t>
      </w:r>
    </w:p>
    <w:p>
      <w:pPr>
        <w:pStyle w:val="26"/>
        <w:numPr>
          <w:ilvl w:val="3"/>
          <w:numId w:val="20"/>
        </w:numPr>
        <w:ind w:firstLineChars="0"/>
        <w:rPr>
          <w:szCs w:val="21"/>
        </w:rPr>
      </w:pPr>
      <w:r>
        <w:rPr>
          <w:rFonts w:hint="eastAsia"/>
          <w:szCs w:val="21"/>
        </w:rPr>
        <w:t>交通信号灯不宜与大功率的射频设备共杆。</w:t>
      </w:r>
    </w:p>
    <w:p>
      <w:pPr>
        <w:pStyle w:val="26"/>
        <w:numPr>
          <w:ilvl w:val="3"/>
          <w:numId w:val="20"/>
        </w:numPr>
        <w:ind w:firstLineChars="0"/>
        <w:rPr>
          <w:szCs w:val="21"/>
        </w:rPr>
      </w:pPr>
      <w:r>
        <w:rPr>
          <w:rFonts w:hint="eastAsia"/>
          <w:szCs w:val="21"/>
        </w:rPr>
        <w:t>交通信号灯的尺寸应符合《道路交通信号灯》GB 14887要求，单个灯盘尺寸不宜大于1620mm*620mm*440mm，合计迎风面积不应大于</w:t>
      </w:r>
      <w:r>
        <w:rPr>
          <w:rFonts w:hint="eastAsia"/>
          <w:szCs w:val="21"/>
          <w:lang w:val="en-US" w:eastAsia="zh-CN"/>
        </w:rPr>
        <w:t>3.3</w:t>
      </w:r>
      <w:r>
        <w:rPr>
          <w:rFonts w:hint="eastAsia"/>
          <w:szCs w:val="21"/>
        </w:rPr>
        <w:t>m</w:t>
      </w:r>
      <w:r>
        <w:rPr>
          <w:rFonts w:hint="eastAsia"/>
          <w:szCs w:val="21"/>
          <w:vertAlign w:val="superscript"/>
        </w:rPr>
        <w:t>2</w:t>
      </w:r>
      <w:r>
        <w:rPr>
          <w:rFonts w:hint="eastAsia"/>
          <w:szCs w:val="21"/>
        </w:rPr>
        <w:t>。</w:t>
      </w:r>
    </w:p>
    <w:p>
      <w:pPr>
        <w:pStyle w:val="52"/>
        <w:numPr>
          <w:ilvl w:val="2"/>
          <w:numId w:val="20"/>
        </w:numPr>
        <w:spacing w:before="156" w:after="156"/>
        <w:outlineLvl w:val="2"/>
      </w:pPr>
      <w:bookmarkStart w:id="367" w:name="_Toc26634"/>
      <w:bookmarkStart w:id="368" w:name="_Toc26636"/>
      <w:bookmarkStart w:id="369" w:name="_Toc8828"/>
      <w:bookmarkStart w:id="370" w:name="_Toc9118"/>
      <w:bookmarkStart w:id="371" w:name="_Toc8350"/>
      <w:bookmarkStart w:id="372" w:name="_Toc27286"/>
      <w:bookmarkStart w:id="373" w:name="_Toc863"/>
      <w:bookmarkStart w:id="374" w:name="_Toc7020"/>
      <w:bookmarkStart w:id="375" w:name="_Toc17579"/>
      <w:bookmarkStart w:id="376" w:name="_Toc6958"/>
      <w:r>
        <w:rPr>
          <w:rFonts w:hint="eastAsia"/>
        </w:rPr>
        <w:t>交通流检测</w:t>
      </w:r>
      <w:bookmarkEnd w:id="367"/>
      <w:bookmarkEnd w:id="368"/>
      <w:bookmarkEnd w:id="369"/>
      <w:bookmarkEnd w:id="370"/>
      <w:bookmarkEnd w:id="371"/>
      <w:bookmarkEnd w:id="372"/>
      <w:bookmarkEnd w:id="373"/>
      <w:bookmarkEnd w:id="374"/>
      <w:bookmarkEnd w:id="375"/>
      <w:bookmarkEnd w:id="376"/>
    </w:p>
    <w:p>
      <w:pPr>
        <w:pStyle w:val="26"/>
        <w:numPr>
          <w:ilvl w:val="3"/>
          <w:numId w:val="20"/>
        </w:numPr>
        <w:ind w:firstLineChars="0"/>
        <w:rPr>
          <w:szCs w:val="21"/>
        </w:rPr>
      </w:pPr>
      <w:r>
        <w:rPr>
          <w:rFonts w:hint="eastAsia"/>
          <w:szCs w:val="21"/>
        </w:rPr>
        <w:t>通过在智慧灯杆上安装交通流检测器采集城市交通信息，可实时传递交通状态信息，如车流量、车道平均速度、车道拥堵情况等。</w:t>
      </w:r>
    </w:p>
    <w:p>
      <w:pPr>
        <w:pStyle w:val="26"/>
        <w:numPr>
          <w:ilvl w:val="3"/>
          <w:numId w:val="20"/>
        </w:numPr>
        <w:tabs>
          <w:tab w:val="clear" w:pos="4201"/>
          <w:tab w:val="clear" w:pos="9298"/>
        </w:tabs>
        <w:ind w:firstLineChars="0"/>
        <w:rPr>
          <w:szCs w:val="21"/>
        </w:rPr>
      </w:pPr>
      <w:r>
        <w:rPr>
          <w:rFonts w:hint="eastAsia"/>
          <w:szCs w:val="21"/>
        </w:rPr>
        <w:t>交通流检测设备应符合交通部门的相关要求。</w:t>
      </w:r>
    </w:p>
    <w:p>
      <w:pPr>
        <w:pStyle w:val="52"/>
        <w:numPr>
          <w:ilvl w:val="2"/>
          <w:numId w:val="20"/>
        </w:numPr>
        <w:spacing w:before="156" w:after="156"/>
        <w:outlineLvl w:val="2"/>
      </w:pPr>
      <w:bookmarkStart w:id="377" w:name="_Toc1183"/>
      <w:bookmarkStart w:id="378" w:name="_Toc29603"/>
      <w:bookmarkStart w:id="379" w:name="_Toc22191"/>
      <w:bookmarkStart w:id="380" w:name="_Toc14819"/>
      <w:bookmarkStart w:id="381" w:name="_Toc24623"/>
      <w:bookmarkStart w:id="382" w:name="_Toc18839"/>
      <w:bookmarkStart w:id="383" w:name="_Toc9221"/>
      <w:bookmarkStart w:id="384" w:name="_Toc12"/>
      <w:bookmarkStart w:id="385" w:name="_Toc22708"/>
      <w:bookmarkStart w:id="386" w:name="_Toc23582"/>
      <w:r>
        <w:rPr>
          <w:rFonts w:hint="eastAsia"/>
        </w:rPr>
        <w:t>交通执法</w:t>
      </w:r>
      <w:bookmarkEnd w:id="377"/>
      <w:bookmarkEnd w:id="378"/>
      <w:bookmarkEnd w:id="379"/>
      <w:bookmarkEnd w:id="380"/>
      <w:bookmarkEnd w:id="381"/>
      <w:bookmarkEnd w:id="382"/>
      <w:bookmarkEnd w:id="383"/>
      <w:bookmarkEnd w:id="384"/>
      <w:bookmarkEnd w:id="385"/>
      <w:bookmarkEnd w:id="386"/>
    </w:p>
    <w:p>
      <w:pPr>
        <w:pStyle w:val="26"/>
        <w:numPr>
          <w:ilvl w:val="3"/>
          <w:numId w:val="20"/>
        </w:numPr>
        <w:ind w:firstLineChars="0"/>
        <w:rPr>
          <w:szCs w:val="21"/>
        </w:rPr>
      </w:pPr>
      <w:r>
        <w:rPr>
          <w:rFonts w:hint="eastAsia"/>
          <w:szCs w:val="21"/>
        </w:rPr>
        <w:t>通过在智慧灯杆上安装交通执法设备（即电子警察）自动抓拍非现场交通执法，主要涵盖路口、路段等机动车行驶区域的交通行为规范管理。</w:t>
      </w:r>
    </w:p>
    <w:p>
      <w:pPr>
        <w:pStyle w:val="26"/>
        <w:numPr>
          <w:ilvl w:val="3"/>
          <w:numId w:val="20"/>
        </w:numPr>
        <w:ind w:firstLineChars="0"/>
        <w:rPr>
          <w:szCs w:val="21"/>
        </w:rPr>
      </w:pPr>
      <w:r>
        <w:rPr>
          <w:rFonts w:hint="eastAsia"/>
          <w:szCs w:val="21"/>
        </w:rPr>
        <w:t>智慧灯杆可根据交通执法设备的类型和场景，预留相应的安装方式接口，同时满足数据传输的专用网络接口（交通执法系统通常使用的专用网络，如公安网、交通网等）。</w:t>
      </w:r>
    </w:p>
    <w:p>
      <w:pPr>
        <w:pStyle w:val="26"/>
        <w:numPr>
          <w:ilvl w:val="3"/>
          <w:numId w:val="20"/>
        </w:numPr>
        <w:ind w:firstLineChars="0"/>
        <w:rPr>
          <w:szCs w:val="21"/>
        </w:rPr>
      </w:pPr>
      <w:r>
        <w:rPr>
          <w:rFonts w:hint="eastAsia"/>
          <w:szCs w:val="21"/>
        </w:rPr>
        <w:t>智慧灯杆的布设及设备安装须满足执法视角和监控区域范围。</w:t>
      </w:r>
    </w:p>
    <w:p>
      <w:pPr>
        <w:pStyle w:val="26"/>
        <w:numPr>
          <w:ilvl w:val="3"/>
          <w:numId w:val="20"/>
        </w:numPr>
        <w:ind w:firstLineChars="0"/>
        <w:rPr>
          <w:szCs w:val="21"/>
        </w:rPr>
      </w:pPr>
      <w:r>
        <w:rPr>
          <w:rFonts w:hint="eastAsia"/>
          <w:szCs w:val="21"/>
        </w:rPr>
        <w:t>交通执法设备应符合交通部门的相关要求。</w:t>
      </w:r>
    </w:p>
    <w:p>
      <w:pPr>
        <w:pStyle w:val="52"/>
        <w:numPr>
          <w:ilvl w:val="2"/>
          <w:numId w:val="20"/>
        </w:numPr>
        <w:spacing w:before="156" w:after="156"/>
        <w:outlineLvl w:val="2"/>
      </w:pPr>
      <w:bookmarkStart w:id="387" w:name="_Toc11798"/>
      <w:bookmarkStart w:id="388" w:name="_Toc2345"/>
      <w:bookmarkStart w:id="389" w:name="_Toc26662"/>
      <w:bookmarkStart w:id="390" w:name="_Toc23770"/>
      <w:bookmarkStart w:id="391" w:name="_Toc4464"/>
      <w:bookmarkStart w:id="392" w:name="_Toc25036"/>
      <w:bookmarkStart w:id="393" w:name="_Toc14176"/>
      <w:bookmarkStart w:id="394" w:name="_Toc30048"/>
      <w:bookmarkStart w:id="395" w:name="_Toc10641"/>
      <w:bookmarkStart w:id="396" w:name="_Toc17275"/>
      <w:r>
        <w:rPr>
          <w:rFonts w:hint="eastAsia"/>
        </w:rPr>
        <w:t>环境监测</w:t>
      </w:r>
      <w:bookmarkEnd w:id="387"/>
      <w:bookmarkEnd w:id="388"/>
      <w:bookmarkEnd w:id="389"/>
      <w:bookmarkEnd w:id="390"/>
      <w:bookmarkEnd w:id="391"/>
      <w:bookmarkEnd w:id="392"/>
      <w:bookmarkEnd w:id="393"/>
      <w:bookmarkEnd w:id="394"/>
      <w:bookmarkEnd w:id="395"/>
      <w:bookmarkEnd w:id="396"/>
    </w:p>
    <w:p>
      <w:pPr>
        <w:pStyle w:val="26"/>
        <w:numPr>
          <w:ilvl w:val="3"/>
          <w:numId w:val="20"/>
        </w:numPr>
        <w:ind w:firstLineChars="0"/>
        <w:rPr>
          <w:szCs w:val="21"/>
        </w:rPr>
      </w:pPr>
      <w:r>
        <w:rPr>
          <w:rFonts w:hint="eastAsia"/>
          <w:szCs w:val="21"/>
        </w:rPr>
        <w:t>通过在智慧灯杆上安装环境监测设备实现对区域内的污染源等信息实时监测，利用智慧灯杆预留的接口安装各类环境设备或者模块，所有监测模块应支持远程集中管理、控制，满足各监测模块运行状态的监测、查询及定位等功能。</w:t>
      </w:r>
    </w:p>
    <w:p>
      <w:pPr>
        <w:pStyle w:val="26"/>
        <w:numPr>
          <w:ilvl w:val="3"/>
          <w:numId w:val="20"/>
        </w:numPr>
        <w:ind w:firstLineChars="0"/>
        <w:rPr>
          <w:szCs w:val="21"/>
        </w:rPr>
      </w:pPr>
      <w:r>
        <w:rPr>
          <w:rFonts w:hint="eastAsia"/>
          <w:szCs w:val="21"/>
        </w:rPr>
        <w:t>环境监测设备安装、传输等相关技术指标应满足生态环境主管部门相关规定。</w:t>
      </w:r>
    </w:p>
    <w:p>
      <w:bookmarkStart w:id="397" w:name="_Toc22027"/>
      <w:bookmarkStart w:id="398" w:name="_Toc27671"/>
      <w:bookmarkStart w:id="399" w:name="_Toc20169"/>
      <w:bookmarkStart w:id="400" w:name="_Toc2533"/>
      <w:bookmarkStart w:id="401" w:name="_Toc19108"/>
      <w:bookmarkStart w:id="402" w:name="_Toc8886"/>
      <w:bookmarkStart w:id="403" w:name="_Toc29699"/>
      <w:bookmarkStart w:id="404" w:name="_Toc11876"/>
      <w:bookmarkStart w:id="405" w:name="_Toc22362"/>
      <w:bookmarkStart w:id="406" w:name="_Toc23901"/>
      <w:r>
        <w:rPr>
          <w:rFonts w:hint="eastAsia"/>
        </w:rPr>
        <w:br w:type="page"/>
      </w:r>
    </w:p>
    <w:p>
      <w:pPr>
        <w:pStyle w:val="52"/>
        <w:numPr>
          <w:ilvl w:val="2"/>
          <w:numId w:val="20"/>
        </w:numPr>
        <w:spacing w:before="156" w:after="156"/>
        <w:outlineLvl w:val="2"/>
      </w:pPr>
      <w:r>
        <w:rPr>
          <w:rFonts w:hint="eastAsia"/>
        </w:rPr>
        <w:t>气象监测</w:t>
      </w:r>
      <w:bookmarkEnd w:id="397"/>
      <w:bookmarkEnd w:id="398"/>
      <w:bookmarkEnd w:id="399"/>
      <w:bookmarkEnd w:id="400"/>
      <w:bookmarkEnd w:id="401"/>
      <w:bookmarkEnd w:id="402"/>
      <w:bookmarkEnd w:id="403"/>
      <w:bookmarkEnd w:id="404"/>
      <w:bookmarkEnd w:id="405"/>
      <w:bookmarkEnd w:id="406"/>
    </w:p>
    <w:p>
      <w:pPr>
        <w:pStyle w:val="26"/>
        <w:numPr>
          <w:ilvl w:val="3"/>
          <w:numId w:val="20"/>
        </w:numPr>
        <w:ind w:firstLineChars="0"/>
        <w:rPr>
          <w:szCs w:val="21"/>
        </w:rPr>
      </w:pPr>
      <w:r>
        <w:rPr>
          <w:rFonts w:hint="eastAsia"/>
          <w:szCs w:val="21"/>
        </w:rPr>
        <w:t>通过在智慧灯杆上安装小型气象站实现对区域内的温湿度、风速、风向、雨量、气压、能见度、紫外辐射、路面温度、积涝等信息实时监测，利用智慧灯杆预留的接口挂载各类气象监测设备。</w:t>
      </w:r>
    </w:p>
    <w:p>
      <w:pPr>
        <w:pStyle w:val="26"/>
        <w:numPr>
          <w:ilvl w:val="3"/>
          <w:numId w:val="20"/>
        </w:numPr>
        <w:ind w:firstLineChars="0"/>
        <w:rPr>
          <w:szCs w:val="21"/>
        </w:rPr>
      </w:pPr>
      <w:r>
        <w:rPr>
          <w:rFonts w:hint="eastAsia"/>
          <w:szCs w:val="21"/>
        </w:rPr>
        <w:t>所有监测模块应支持远程集中管理、控制，满足各监测模块运行状态的监测、查询及定位等功能。</w:t>
      </w:r>
    </w:p>
    <w:p>
      <w:pPr>
        <w:pStyle w:val="26"/>
        <w:numPr>
          <w:ilvl w:val="3"/>
          <w:numId w:val="20"/>
        </w:numPr>
        <w:ind w:firstLineChars="0"/>
        <w:rPr>
          <w:szCs w:val="21"/>
        </w:rPr>
      </w:pPr>
      <w:bookmarkStart w:id="407" w:name="_Hlk517945613"/>
      <w:r>
        <w:rPr>
          <w:rFonts w:hint="eastAsia"/>
          <w:szCs w:val="21"/>
        </w:rPr>
        <w:t>传感器应符合《传感器通用术语》GB/T 7665、《微波和被动红外复合入侵探测器》GB 10408.6、《信息技术 传感器网络 第701部分：传感器接口：信号接口》GB/T 30269.701、《压力传感器性能试验方法》GB/T 15478、《电容式湿敏元件与湿度传感器总规范》 GB/T 15768中相关规定。</w:t>
      </w:r>
    </w:p>
    <w:p>
      <w:pPr>
        <w:pStyle w:val="26"/>
        <w:numPr>
          <w:ilvl w:val="3"/>
          <w:numId w:val="20"/>
        </w:numPr>
        <w:ind w:firstLineChars="0"/>
        <w:rPr>
          <w:szCs w:val="21"/>
        </w:rPr>
      </w:pPr>
      <w:r>
        <w:rPr>
          <w:rFonts w:hint="eastAsia"/>
          <w:szCs w:val="21"/>
        </w:rPr>
        <w:t>公路气象监测设备的技术要求（包括测量性能要求、采集频率、设备安装等）应符合《公路交通气象监测设施技术要求》GB/T 33697中相关规定。</w:t>
      </w:r>
    </w:p>
    <w:p>
      <w:pPr>
        <w:pStyle w:val="26"/>
        <w:numPr>
          <w:ilvl w:val="3"/>
          <w:numId w:val="20"/>
        </w:numPr>
        <w:ind w:firstLineChars="0"/>
        <w:rPr>
          <w:szCs w:val="21"/>
        </w:rPr>
      </w:pPr>
      <w:r>
        <w:rPr>
          <w:rFonts w:hint="eastAsia"/>
          <w:szCs w:val="21"/>
        </w:rPr>
        <w:t>积涝监测设备应符合《水文监测数据通信规约》S</w:t>
      </w:r>
      <w:r>
        <w:rPr>
          <w:szCs w:val="21"/>
        </w:rPr>
        <w:t>L 651</w:t>
      </w:r>
      <w:r>
        <w:rPr>
          <w:rFonts w:hint="eastAsia"/>
          <w:szCs w:val="21"/>
        </w:rPr>
        <w:t>、《水文自动测报系统技术规范》S</w:t>
      </w:r>
      <w:r>
        <w:rPr>
          <w:szCs w:val="21"/>
        </w:rPr>
        <w:t>L 61</w:t>
      </w:r>
      <w:r>
        <w:rPr>
          <w:rFonts w:hint="eastAsia"/>
          <w:szCs w:val="21"/>
        </w:rPr>
        <w:t>中相关规定。</w:t>
      </w:r>
    </w:p>
    <w:bookmarkEnd w:id="407"/>
    <w:p>
      <w:pPr>
        <w:pStyle w:val="52"/>
        <w:numPr>
          <w:ilvl w:val="2"/>
          <w:numId w:val="20"/>
        </w:numPr>
        <w:spacing w:before="156" w:after="156"/>
        <w:outlineLvl w:val="2"/>
      </w:pPr>
      <w:bookmarkStart w:id="408" w:name="_Toc32251"/>
      <w:bookmarkStart w:id="409" w:name="_Toc11018"/>
      <w:bookmarkStart w:id="410" w:name="_Toc1448"/>
      <w:bookmarkStart w:id="411" w:name="_Toc30897"/>
      <w:bookmarkStart w:id="412" w:name="_Toc12945"/>
      <w:bookmarkStart w:id="413" w:name="_Toc30239"/>
      <w:bookmarkStart w:id="414" w:name="_Toc2337"/>
      <w:bookmarkStart w:id="415" w:name="_Toc13684"/>
      <w:bookmarkStart w:id="416" w:name="_Toc12165"/>
      <w:bookmarkStart w:id="417" w:name="_Toc10538"/>
      <w:r>
        <w:rPr>
          <w:rFonts w:hint="eastAsia"/>
        </w:rPr>
        <w:t>一键呼叫</w:t>
      </w:r>
      <w:bookmarkEnd w:id="408"/>
      <w:bookmarkEnd w:id="409"/>
      <w:bookmarkEnd w:id="410"/>
      <w:bookmarkEnd w:id="411"/>
      <w:bookmarkEnd w:id="412"/>
      <w:bookmarkEnd w:id="413"/>
      <w:bookmarkEnd w:id="414"/>
      <w:bookmarkEnd w:id="415"/>
      <w:bookmarkEnd w:id="416"/>
      <w:bookmarkEnd w:id="417"/>
    </w:p>
    <w:p>
      <w:pPr>
        <w:pStyle w:val="26"/>
        <w:numPr>
          <w:ilvl w:val="3"/>
          <w:numId w:val="20"/>
        </w:numPr>
        <w:ind w:firstLineChars="0"/>
        <w:rPr>
          <w:szCs w:val="21"/>
        </w:rPr>
      </w:pPr>
      <w:r>
        <w:rPr>
          <w:rFonts w:hint="eastAsia"/>
          <w:szCs w:val="21"/>
        </w:rPr>
        <w:t>通过在智慧灯杆上安装一键呼叫按钮模块、一键呼叫处理模块和可视对讲模块，实现应急呼叫及应答，利用智慧灯杆预留的安装插口灵活安装，一键呼叫设备应能远程集中管理、控制。</w:t>
      </w:r>
    </w:p>
    <w:p>
      <w:pPr>
        <w:pStyle w:val="26"/>
        <w:numPr>
          <w:ilvl w:val="3"/>
          <w:numId w:val="20"/>
        </w:numPr>
        <w:ind w:firstLineChars="0"/>
        <w:rPr>
          <w:szCs w:val="21"/>
        </w:rPr>
      </w:pPr>
      <w:r>
        <w:rPr>
          <w:rFonts w:hint="eastAsia"/>
          <w:szCs w:val="21"/>
        </w:rPr>
        <w:t>一键呼叫设备应符合相关要求。</w:t>
      </w:r>
    </w:p>
    <w:p>
      <w:pPr>
        <w:pStyle w:val="52"/>
        <w:numPr>
          <w:ilvl w:val="2"/>
          <w:numId w:val="20"/>
        </w:numPr>
        <w:spacing w:before="156" w:after="156"/>
        <w:outlineLvl w:val="2"/>
      </w:pPr>
      <w:bookmarkStart w:id="418" w:name="_Toc21529"/>
      <w:bookmarkStart w:id="419" w:name="_Toc30193"/>
      <w:bookmarkStart w:id="420" w:name="_Toc8348"/>
      <w:bookmarkStart w:id="421" w:name="_Toc1933"/>
      <w:bookmarkStart w:id="422" w:name="_Toc3741"/>
      <w:bookmarkStart w:id="423" w:name="_Toc28196"/>
      <w:bookmarkStart w:id="424" w:name="_Toc18707"/>
      <w:bookmarkStart w:id="425" w:name="_Toc8004"/>
      <w:bookmarkStart w:id="426" w:name="_Toc1108"/>
      <w:bookmarkStart w:id="427" w:name="_Toc1321"/>
      <w:r>
        <w:rPr>
          <w:rFonts w:hint="eastAsia"/>
        </w:rPr>
        <w:t>信息发布屏</w:t>
      </w:r>
      <w:bookmarkEnd w:id="418"/>
      <w:bookmarkEnd w:id="419"/>
      <w:bookmarkEnd w:id="420"/>
      <w:bookmarkEnd w:id="421"/>
      <w:bookmarkEnd w:id="422"/>
      <w:bookmarkEnd w:id="423"/>
      <w:bookmarkEnd w:id="424"/>
      <w:bookmarkEnd w:id="425"/>
      <w:bookmarkEnd w:id="426"/>
      <w:bookmarkEnd w:id="427"/>
    </w:p>
    <w:p>
      <w:pPr>
        <w:pStyle w:val="26"/>
        <w:numPr>
          <w:ilvl w:val="3"/>
          <w:numId w:val="20"/>
        </w:numPr>
        <w:ind w:firstLineChars="0"/>
        <w:rPr>
          <w:szCs w:val="21"/>
        </w:rPr>
      </w:pPr>
      <w:r>
        <w:rPr>
          <w:rFonts w:hint="eastAsia"/>
          <w:szCs w:val="21"/>
        </w:rPr>
        <w:t>通过在智慧灯杆上安装信息发布屏模块，可显示政府公告、交通信息、气象监测信息及预警、发布广播信息等，信息发布屏展示功能应通过远程集中管理、控制，满足显示屏设备运行状态的监测、查询及定位等功能。</w:t>
      </w:r>
    </w:p>
    <w:p>
      <w:pPr>
        <w:pStyle w:val="26"/>
        <w:numPr>
          <w:ilvl w:val="3"/>
          <w:numId w:val="20"/>
        </w:numPr>
        <w:ind w:firstLineChars="0"/>
        <w:rPr>
          <w:szCs w:val="21"/>
        </w:rPr>
      </w:pPr>
      <w:bookmarkStart w:id="428" w:name="_Hlk517945626"/>
      <w:r>
        <w:rPr>
          <w:rFonts w:hint="eastAsia"/>
          <w:szCs w:val="21"/>
        </w:rPr>
        <w:t>信息发布屏应符合《发光二极管(LED)显示屏通用规范》SJ/T 11141的要求。</w:t>
      </w:r>
    </w:p>
    <w:p>
      <w:pPr>
        <w:pStyle w:val="26"/>
        <w:numPr>
          <w:ilvl w:val="3"/>
          <w:numId w:val="20"/>
        </w:numPr>
        <w:ind w:firstLineChars="0"/>
        <w:rPr>
          <w:szCs w:val="21"/>
        </w:rPr>
      </w:pPr>
      <w:r>
        <w:rPr>
          <w:rFonts w:hint="eastAsia"/>
          <w:szCs w:val="21"/>
        </w:rPr>
        <w:t>安全性应符合《音频、视频及类似电子设备 安全要求》GB 8898、《信息技术设备 安全 第1部分：通用要求》GB 4943.1、《远程视频监控系统的安全技术要求》YD/T 1666中相关要求。</w:t>
      </w:r>
    </w:p>
    <w:p>
      <w:pPr>
        <w:pStyle w:val="26"/>
        <w:numPr>
          <w:ilvl w:val="3"/>
          <w:numId w:val="20"/>
        </w:numPr>
        <w:ind w:firstLineChars="0"/>
        <w:rPr>
          <w:szCs w:val="21"/>
        </w:rPr>
      </w:pPr>
      <w:r>
        <w:rPr>
          <w:rFonts w:hint="eastAsia"/>
          <w:szCs w:val="21"/>
        </w:rPr>
        <w:t>电磁兼容应符合 《声音和电视广播接收机及有关设备 无线电骚扰特性 限值和测量方法》 GB 13837、《信息技术设备的无线电骚扰限值和测量方法》国家标准第1号修改单</w:t>
      </w:r>
      <w:r>
        <w:rPr>
          <w:rFonts w:hint="eastAsia"/>
        </w:rPr>
        <w:fldChar w:fldCharType="begin"/>
      </w:r>
      <w:r>
        <w:instrText xml:space="preserve"> HYPERLINK "http://www.csres.com/detail/237616.html" \t "http://www.csres.com/_blank" </w:instrText>
      </w:r>
      <w:r>
        <w:rPr>
          <w:rFonts w:hint="eastAsia"/>
        </w:rPr>
        <w:fldChar w:fldCharType="separate"/>
      </w:r>
      <w:r>
        <w:rPr>
          <w:rFonts w:hint="eastAsia"/>
          <w:szCs w:val="21"/>
        </w:rPr>
        <w:t>GB 9254-2008/XG1</w:t>
      </w:r>
      <w:r>
        <w:rPr>
          <w:rFonts w:hint="eastAsia"/>
          <w:szCs w:val="21"/>
        </w:rPr>
        <w:fldChar w:fldCharType="end"/>
      </w:r>
      <w:r>
        <w:rPr>
          <w:rFonts w:hint="eastAsia"/>
          <w:szCs w:val="21"/>
        </w:rPr>
        <w:t>中相关要求。</w:t>
      </w:r>
    </w:p>
    <w:p>
      <w:pPr>
        <w:pStyle w:val="26"/>
        <w:numPr>
          <w:ilvl w:val="3"/>
          <w:numId w:val="20"/>
        </w:numPr>
        <w:ind w:firstLineChars="0"/>
        <w:rPr>
          <w:szCs w:val="21"/>
        </w:rPr>
      </w:pPr>
      <w:r>
        <w:rPr>
          <w:rFonts w:hint="eastAsia"/>
          <w:szCs w:val="21"/>
        </w:rPr>
        <w:t>性能应符合《彩色显示器色度测量方法》GB/T 15609、《发光二极管(LED)显示屏测试方法》SJ/T 11281中相关要求</w:t>
      </w:r>
      <w:bookmarkEnd w:id="428"/>
      <w:r>
        <w:rPr>
          <w:rFonts w:hint="eastAsia"/>
          <w:szCs w:val="21"/>
        </w:rPr>
        <w:t>。</w:t>
      </w:r>
    </w:p>
    <w:p>
      <w:pPr>
        <w:pStyle w:val="26"/>
        <w:numPr>
          <w:ilvl w:val="3"/>
          <w:numId w:val="20"/>
        </w:numPr>
        <w:ind w:firstLineChars="0"/>
        <w:rPr>
          <w:szCs w:val="21"/>
        </w:rPr>
      </w:pPr>
      <w:r>
        <w:rPr>
          <w:rFonts w:hint="eastAsia"/>
          <w:szCs w:val="21"/>
        </w:rPr>
        <w:t>广播功能应符合《公共广播系统工程技术规范》GB 50526和《音频、视频及类似电子设备 安全要求》GB 8898中相关规定。</w:t>
      </w:r>
    </w:p>
    <w:p>
      <w:pPr>
        <w:pStyle w:val="26"/>
        <w:numPr>
          <w:ilvl w:val="3"/>
          <w:numId w:val="20"/>
        </w:numPr>
        <w:ind w:firstLineChars="0"/>
        <w:rPr>
          <w:szCs w:val="21"/>
        </w:rPr>
      </w:pPr>
      <w:r>
        <w:rPr>
          <w:rFonts w:hint="eastAsia"/>
          <w:szCs w:val="21"/>
        </w:rPr>
        <w:t>广告类播放内容应符合《城市户外广告设施技术规范》CJJ 149、《江西省户外广告管理条例》中相关规定，并应通过所属辖区相关管理部门批准。</w:t>
      </w:r>
    </w:p>
    <w:p>
      <w:pPr>
        <w:pStyle w:val="52"/>
        <w:numPr>
          <w:ilvl w:val="2"/>
          <w:numId w:val="20"/>
        </w:numPr>
        <w:spacing w:before="156" w:after="156"/>
        <w:outlineLvl w:val="2"/>
      </w:pPr>
      <w:bookmarkStart w:id="429" w:name="_Toc21198"/>
      <w:bookmarkStart w:id="430" w:name="_Toc356"/>
      <w:bookmarkStart w:id="431" w:name="_Toc31485"/>
      <w:bookmarkStart w:id="432" w:name="_Toc32703"/>
      <w:bookmarkStart w:id="433" w:name="_Toc1881"/>
      <w:bookmarkStart w:id="434" w:name="_Toc3264"/>
      <w:bookmarkStart w:id="435" w:name="_Toc17294"/>
      <w:bookmarkStart w:id="436" w:name="_Toc8975"/>
      <w:bookmarkStart w:id="437" w:name="_Toc27282"/>
      <w:bookmarkStart w:id="438" w:name="_Toc12695"/>
      <w:r>
        <w:rPr>
          <w:rFonts w:hint="eastAsia"/>
        </w:rPr>
        <w:t>公共广播</w:t>
      </w:r>
      <w:bookmarkEnd w:id="429"/>
      <w:bookmarkEnd w:id="430"/>
      <w:bookmarkEnd w:id="431"/>
      <w:bookmarkEnd w:id="432"/>
      <w:bookmarkEnd w:id="433"/>
      <w:bookmarkEnd w:id="434"/>
      <w:bookmarkEnd w:id="435"/>
      <w:bookmarkEnd w:id="436"/>
      <w:bookmarkEnd w:id="437"/>
      <w:bookmarkEnd w:id="438"/>
    </w:p>
    <w:p>
      <w:pPr>
        <w:pStyle w:val="26"/>
        <w:numPr>
          <w:ilvl w:val="3"/>
          <w:numId w:val="20"/>
        </w:numPr>
        <w:ind w:firstLineChars="0"/>
        <w:rPr>
          <w:szCs w:val="21"/>
        </w:rPr>
      </w:pPr>
      <w:r>
        <w:rPr>
          <w:rFonts w:hint="eastAsia"/>
          <w:szCs w:val="21"/>
        </w:rPr>
        <w:t xml:space="preserve">利用智慧灯杆（智慧灯杆）上预留的安装插口（以太网口）灵活实现广播喇叭的便捷安装，远程集中管理、控制。 </w:t>
      </w:r>
    </w:p>
    <w:p>
      <w:pPr>
        <w:pStyle w:val="26"/>
        <w:numPr>
          <w:ilvl w:val="3"/>
          <w:numId w:val="20"/>
        </w:numPr>
        <w:ind w:firstLineChars="0"/>
        <w:rPr>
          <w:szCs w:val="21"/>
        </w:rPr>
      </w:pPr>
      <w:r>
        <w:rPr>
          <w:rFonts w:hint="eastAsia"/>
          <w:szCs w:val="21"/>
        </w:rPr>
        <w:t>为便于部署，宜采用IP广播，公共广播设备性能及安装要求应符合《公共广播系统工程技术规范》</w:t>
      </w:r>
      <w:r>
        <w:rPr>
          <w:rFonts w:hint="eastAsia"/>
        </w:rPr>
        <w:fldChar w:fldCharType="begin"/>
      </w:r>
      <w:r>
        <w:instrText xml:space="preserve"> HYPERLINK "http://www.csres.com/detail/211373.html" \t "http://www.csres.com/_blank" </w:instrText>
      </w:r>
      <w:r>
        <w:rPr>
          <w:rFonts w:hint="eastAsia"/>
        </w:rPr>
        <w:fldChar w:fldCharType="separate"/>
      </w:r>
      <w:r>
        <w:rPr>
          <w:rFonts w:hint="eastAsia"/>
          <w:szCs w:val="21"/>
        </w:rPr>
        <w:t>GB 50526</w:t>
      </w:r>
      <w:r>
        <w:rPr>
          <w:rFonts w:hint="eastAsia"/>
          <w:szCs w:val="21"/>
        </w:rPr>
        <w:fldChar w:fldCharType="end"/>
      </w:r>
      <w:r>
        <w:rPr>
          <w:rFonts w:hint="eastAsia"/>
          <w:szCs w:val="21"/>
        </w:rPr>
        <w:t>和《音频、视频及类似电子设备 安全要求》</w:t>
      </w:r>
      <w:r>
        <w:fldChar w:fldCharType="begin"/>
      </w:r>
      <w:r>
        <w:instrText xml:space="preserve"> HYPERLINK "http://www.csres.com/detail/221300.html" \t "http://www.csres.com/_blank" </w:instrText>
      </w:r>
      <w:r>
        <w:fldChar w:fldCharType="separate"/>
      </w:r>
      <w:r>
        <w:rPr>
          <w:rFonts w:hint="eastAsia"/>
          <w:szCs w:val="21"/>
        </w:rPr>
        <w:t>GB 8898</w:t>
      </w:r>
      <w:r>
        <w:rPr>
          <w:rFonts w:hint="eastAsia"/>
          <w:szCs w:val="21"/>
        </w:rPr>
        <w:fldChar w:fldCharType="end"/>
      </w:r>
      <w:r>
        <w:rPr>
          <w:rFonts w:hint="eastAsia"/>
          <w:szCs w:val="21"/>
        </w:rPr>
        <w:t xml:space="preserve">中相关规定，广播内容应通过所属辖区相关管理部门批准。 </w:t>
      </w:r>
    </w:p>
    <w:p>
      <w:pPr>
        <w:pStyle w:val="52"/>
        <w:numPr>
          <w:ilvl w:val="2"/>
          <w:numId w:val="20"/>
        </w:numPr>
        <w:spacing w:before="156" w:after="156"/>
        <w:outlineLvl w:val="2"/>
      </w:pPr>
      <w:bookmarkStart w:id="439" w:name="_Toc3795"/>
      <w:bookmarkStart w:id="440" w:name="_Toc14186"/>
      <w:bookmarkStart w:id="441" w:name="_Toc6134"/>
      <w:bookmarkStart w:id="442" w:name="_Toc13637"/>
      <w:bookmarkStart w:id="443" w:name="_Toc7891"/>
      <w:bookmarkStart w:id="444" w:name="_Toc17785"/>
      <w:bookmarkStart w:id="445" w:name="_Toc267"/>
      <w:bookmarkStart w:id="446" w:name="_Toc4492"/>
      <w:bookmarkStart w:id="447" w:name="_Toc17734"/>
      <w:bookmarkStart w:id="448" w:name="_Toc16514"/>
      <w:r>
        <w:rPr>
          <w:rFonts w:hint="eastAsia"/>
        </w:rPr>
        <w:t>多媒体交互终端</w:t>
      </w:r>
      <w:bookmarkEnd w:id="439"/>
      <w:bookmarkEnd w:id="440"/>
      <w:bookmarkEnd w:id="441"/>
      <w:bookmarkEnd w:id="442"/>
      <w:bookmarkEnd w:id="443"/>
      <w:bookmarkEnd w:id="444"/>
      <w:bookmarkEnd w:id="445"/>
      <w:bookmarkEnd w:id="446"/>
      <w:bookmarkEnd w:id="447"/>
      <w:bookmarkEnd w:id="448"/>
    </w:p>
    <w:p>
      <w:pPr>
        <w:pStyle w:val="26"/>
        <w:numPr>
          <w:ilvl w:val="3"/>
          <w:numId w:val="20"/>
        </w:numPr>
        <w:ind w:firstLineChars="0"/>
        <w:rPr>
          <w:szCs w:val="21"/>
        </w:rPr>
      </w:pPr>
      <w:r>
        <w:rPr>
          <w:rFonts w:hint="eastAsia"/>
          <w:szCs w:val="21"/>
        </w:rPr>
        <w:t>通过在智慧灯杆上安装多媒体交互终端设备可</w:t>
      </w:r>
      <w:r>
        <w:rPr>
          <w:szCs w:val="21"/>
        </w:rPr>
        <w:t>传播文字、声音、图像等方面的信息</w:t>
      </w:r>
      <w:r>
        <w:rPr>
          <w:rFonts w:hint="eastAsia"/>
          <w:szCs w:val="21"/>
        </w:rPr>
        <w:t>，通过传感器实现人机之间的交互沟通。</w:t>
      </w:r>
    </w:p>
    <w:p>
      <w:pPr>
        <w:pStyle w:val="26"/>
        <w:numPr>
          <w:ilvl w:val="3"/>
          <w:numId w:val="20"/>
        </w:numPr>
        <w:ind w:firstLineChars="0"/>
        <w:rPr>
          <w:szCs w:val="21"/>
        </w:rPr>
      </w:pPr>
      <w:r>
        <w:rPr>
          <w:rFonts w:hint="eastAsia"/>
          <w:szCs w:val="21"/>
        </w:rPr>
        <w:t>多媒体交互终端应符合《发光二极管(LED)显示屏通用规范》SJ/T 11141中相关要求。</w:t>
      </w:r>
    </w:p>
    <w:p>
      <w:pPr>
        <w:pStyle w:val="26"/>
        <w:numPr>
          <w:ilvl w:val="3"/>
          <w:numId w:val="20"/>
        </w:numPr>
        <w:ind w:firstLineChars="0"/>
        <w:rPr>
          <w:szCs w:val="21"/>
        </w:rPr>
      </w:pPr>
      <w:r>
        <w:rPr>
          <w:rFonts w:hint="eastAsia"/>
          <w:szCs w:val="21"/>
        </w:rPr>
        <w:t>安全方面应符合《音频、视频及类似电子设备 安全要求》GB 8898、《信息技术设备 安全 第1部分：通用要求》GB 4943.1中相关要求。</w:t>
      </w:r>
    </w:p>
    <w:p>
      <w:pPr>
        <w:pStyle w:val="26"/>
        <w:numPr>
          <w:ilvl w:val="3"/>
          <w:numId w:val="20"/>
        </w:numPr>
        <w:ind w:firstLineChars="0"/>
        <w:rPr>
          <w:szCs w:val="21"/>
        </w:rPr>
      </w:pPr>
      <w:r>
        <w:rPr>
          <w:rFonts w:hint="eastAsia"/>
          <w:szCs w:val="21"/>
        </w:rPr>
        <w:t>电磁兼容方面应符合《声音和电视广播接收机及有关设备 无线电骚扰特性 限值和测量方法》GB 13837、《信息技术设备的无线电骚扰限值和测量方法》国家标准第1号修改单</w:t>
      </w:r>
      <w:r>
        <w:rPr>
          <w:rFonts w:hint="eastAsia"/>
        </w:rPr>
        <w:fldChar w:fldCharType="begin"/>
      </w:r>
      <w:r>
        <w:instrText xml:space="preserve"> HYPERLINK "http://www.csres.com/detail/237616.html" \t "http://www.csres.com/_blank" </w:instrText>
      </w:r>
      <w:r>
        <w:rPr>
          <w:rFonts w:hint="eastAsia"/>
        </w:rPr>
        <w:fldChar w:fldCharType="separate"/>
      </w:r>
      <w:r>
        <w:rPr>
          <w:rFonts w:hint="eastAsia"/>
          <w:szCs w:val="21"/>
        </w:rPr>
        <w:t>GB 9254-2008/XG1-2013</w:t>
      </w:r>
      <w:r>
        <w:rPr>
          <w:rFonts w:hint="eastAsia"/>
          <w:szCs w:val="21"/>
        </w:rPr>
        <w:fldChar w:fldCharType="end"/>
      </w:r>
      <w:r>
        <w:rPr>
          <w:rFonts w:hint="eastAsia"/>
          <w:szCs w:val="21"/>
        </w:rPr>
        <w:t>中相关要求。</w:t>
      </w:r>
    </w:p>
    <w:p>
      <w:pPr>
        <w:pStyle w:val="26"/>
        <w:numPr>
          <w:ilvl w:val="3"/>
          <w:numId w:val="20"/>
        </w:numPr>
        <w:ind w:firstLineChars="0"/>
        <w:rPr>
          <w:szCs w:val="21"/>
        </w:rPr>
      </w:pPr>
      <w:r>
        <w:rPr>
          <w:rFonts w:hint="eastAsia"/>
          <w:szCs w:val="21"/>
        </w:rPr>
        <w:t>性能方面应符合《彩色显示器色度测量方法》GB/T 15609、《发光二极管(LED)显示屏测试方法》SJ/T 11281中相关要求。</w:t>
      </w:r>
    </w:p>
    <w:p>
      <w:pPr>
        <w:pStyle w:val="52"/>
        <w:numPr>
          <w:ilvl w:val="2"/>
          <w:numId w:val="20"/>
        </w:numPr>
        <w:spacing w:before="156" w:after="156"/>
        <w:outlineLvl w:val="2"/>
        <w:rPr>
          <w:rFonts w:hAnsi="Times New Roman"/>
        </w:rPr>
      </w:pPr>
      <w:bookmarkStart w:id="449" w:name="_Toc474832020"/>
      <w:bookmarkStart w:id="450" w:name="_Toc475103514"/>
      <w:bookmarkStart w:id="451" w:name="_Toc474831933"/>
      <w:bookmarkStart w:id="452" w:name="_Toc31175"/>
      <w:bookmarkStart w:id="453" w:name="_Toc29102"/>
      <w:bookmarkStart w:id="454" w:name="_Toc12568"/>
      <w:bookmarkStart w:id="455" w:name="_Toc25988"/>
      <w:bookmarkStart w:id="456" w:name="_Toc1895"/>
      <w:bookmarkStart w:id="457" w:name="_Toc1295"/>
      <w:bookmarkStart w:id="458" w:name="_Toc14884"/>
      <w:bookmarkStart w:id="459" w:name="_Toc20276"/>
      <w:bookmarkStart w:id="460" w:name="_Toc12885"/>
      <w:bookmarkStart w:id="461" w:name="_Toc29134"/>
      <w:r>
        <w:rPr>
          <w:rFonts w:hint="eastAsia" w:hAnsi="Times New Roman"/>
        </w:rPr>
        <w:t>公共W</w:t>
      </w:r>
      <w:bookmarkEnd w:id="449"/>
      <w:bookmarkEnd w:id="450"/>
      <w:bookmarkEnd w:id="451"/>
      <w:r>
        <w:rPr>
          <w:rFonts w:hint="eastAsia" w:hAnsi="Times New Roman"/>
        </w:rPr>
        <w:t>LAN</w:t>
      </w:r>
      <w:bookmarkEnd w:id="452"/>
      <w:bookmarkEnd w:id="453"/>
      <w:bookmarkEnd w:id="454"/>
      <w:bookmarkEnd w:id="455"/>
      <w:bookmarkEnd w:id="456"/>
      <w:bookmarkEnd w:id="457"/>
      <w:bookmarkEnd w:id="458"/>
      <w:bookmarkEnd w:id="459"/>
      <w:bookmarkEnd w:id="460"/>
      <w:bookmarkEnd w:id="461"/>
    </w:p>
    <w:p>
      <w:pPr>
        <w:pStyle w:val="26"/>
        <w:numPr>
          <w:ilvl w:val="3"/>
          <w:numId w:val="20"/>
        </w:numPr>
        <w:ind w:firstLineChars="0"/>
        <w:rPr>
          <w:rFonts w:hAnsi="Times New Roman"/>
          <w:szCs w:val="21"/>
        </w:rPr>
      </w:pPr>
      <w:r>
        <w:rPr>
          <w:rFonts w:hint="eastAsia" w:hAnsi="Times New Roman"/>
          <w:szCs w:val="21"/>
        </w:rPr>
        <w:t>公共WLAN功能应能便捷加载，通过智慧灯杆预留的安装插口实现无线AP的便捷安装。</w:t>
      </w:r>
    </w:p>
    <w:p>
      <w:pPr>
        <w:pStyle w:val="26"/>
        <w:numPr>
          <w:ilvl w:val="3"/>
          <w:numId w:val="20"/>
        </w:numPr>
        <w:ind w:firstLineChars="0"/>
        <w:rPr>
          <w:rFonts w:hAnsi="Times New Roman"/>
          <w:szCs w:val="21"/>
        </w:rPr>
      </w:pPr>
      <w:r>
        <w:rPr>
          <w:rFonts w:hint="eastAsia" w:hAnsi="Times New Roman"/>
          <w:szCs w:val="21"/>
        </w:rPr>
        <w:t>无线AP设备以及WLAN功能应可通过远程集中管理、控制，满足AP设备运行状态、WLAN网络运行状态的监测，以及便捷的AP设备查询、定位等功能。</w:t>
      </w:r>
    </w:p>
    <w:p>
      <w:pPr>
        <w:pStyle w:val="26"/>
        <w:numPr>
          <w:ilvl w:val="3"/>
          <w:numId w:val="20"/>
        </w:numPr>
        <w:ind w:firstLineChars="0"/>
        <w:rPr>
          <w:rFonts w:hAnsi="Times New Roman"/>
          <w:szCs w:val="21"/>
        </w:rPr>
      </w:pPr>
      <w:r>
        <w:rPr>
          <w:rFonts w:hint="eastAsia" w:hAnsi="Times New Roman"/>
          <w:szCs w:val="21"/>
        </w:rPr>
        <w:t>公共WLAN应符合《信息技术设备 安全 第1部分：通用要求》GB 4943.1中相关规定。</w:t>
      </w:r>
    </w:p>
    <w:p>
      <w:pPr>
        <w:pStyle w:val="52"/>
        <w:numPr>
          <w:ilvl w:val="2"/>
          <w:numId w:val="20"/>
        </w:numPr>
        <w:spacing w:before="156" w:after="156"/>
        <w:outlineLvl w:val="2"/>
      </w:pPr>
      <w:bookmarkStart w:id="462" w:name="_Toc7818"/>
      <w:bookmarkStart w:id="463" w:name="_Toc10172"/>
      <w:bookmarkStart w:id="464" w:name="_Toc23029"/>
      <w:bookmarkStart w:id="465" w:name="_Toc28128"/>
      <w:bookmarkStart w:id="466" w:name="_Toc18135"/>
      <w:bookmarkStart w:id="467" w:name="_Toc6847"/>
      <w:bookmarkStart w:id="468" w:name="_Toc13420"/>
      <w:bookmarkStart w:id="469" w:name="_Toc9509"/>
      <w:bookmarkStart w:id="470" w:name="_Toc22903"/>
      <w:bookmarkStart w:id="471" w:name="_Toc4015"/>
      <w:r>
        <w:rPr>
          <w:rFonts w:hint="eastAsia"/>
        </w:rPr>
        <w:t>充电桩</w:t>
      </w:r>
      <w:bookmarkEnd w:id="462"/>
      <w:bookmarkEnd w:id="463"/>
      <w:bookmarkEnd w:id="464"/>
      <w:bookmarkEnd w:id="465"/>
      <w:bookmarkEnd w:id="466"/>
      <w:bookmarkEnd w:id="467"/>
      <w:bookmarkEnd w:id="468"/>
      <w:bookmarkEnd w:id="469"/>
      <w:bookmarkEnd w:id="470"/>
      <w:bookmarkEnd w:id="471"/>
    </w:p>
    <w:p>
      <w:pPr>
        <w:pStyle w:val="26"/>
        <w:numPr>
          <w:ilvl w:val="3"/>
          <w:numId w:val="20"/>
        </w:numPr>
        <w:ind w:firstLineChars="0"/>
        <w:rPr>
          <w:szCs w:val="21"/>
        </w:rPr>
      </w:pPr>
      <w:r>
        <w:rPr>
          <w:rFonts w:hint="eastAsia"/>
          <w:szCs w:val="21"/>
        </w:rPr>
        <w:t>通过在智慧灯杆底座内置安装充电模块，可实现智慧灯杆与充电桩一体化设计。</w:t>
      </w:r>
      <w:bookmarkStart w:id="472" w:name="_Hlk517945642"/>
    </w:p>
    <w:p>
      <w:pPr>
        <w:pStyle w:val="26"/>
        <w:numPr>
          <w:ilvl w:val="3"/>
          <w:numId w:val="20"/>
        </w:numPr>
        <w:ind w:firstLineChars="0"/>
        <w:rPr>
          <w:szCs w:val="21"/>
        </w:rPr>
      </w:pPr>
      <w:r>
        <w:rPr>
          <w:rFonts w:hint="eastAsia"/>
          <w:szCs w:val="21"/>
        </w:rPr>
        <w:t>充电桩系统应符合《电动汽车传导充电系统 第1部分：通用要求》GB/T 18487.1、《电动汽车传导充电用连接装置 第1部分：通用要求》GB/T 20234.1、《电动汽车传导充电用连接装置 第2部分：交流充电接口》GB/T 20234.2、《电动汽车传导充电用连接装置 第3部分：直流充电接口》GB/T 20234.3、</w:t>
      </w:r>
      <w:bookmarkEnd w:id="472"/>
      <w:r>
        <w:rPr>
          <w:rFonts w:hint="eastAsia"/>
          <w:szCs w:val="21"/>
        </w:rPr>
        <w:t>《电动汽车交流充电桩技术条件》NB/T 33002中的相关要求。</w:t>
      </w:r>
    </w:p>
    <w:p>
      <w:pPr>
        <w:pStyle w:val="26"/>
        <w:numPr>
          <w:ilvl w:val="3"/>
          <w:numId w:val="20"/>
        </w:numPr>
        <w:ind w:firstLineChars="0"/>
        <w:rPr>
          <w:szCs w:val="21"/>
        </w:rPr>
      </w:pPr>
      <w:r>
        <w:rPr>
          <w:rFonts w:hint="eastAsia"/>
          <w:szCs w:val="21"/>
        </w:rPr>
        <w:t>充电桩的设计应外形美观，整体安全可靠。</w:t>
      </w:r>
    </w:p>
    <w:p>
      <w:pPr>
        <w:pStyle w:val="26"/>
        <w:numPr>
          <w:ilvl w:val="3"/>
          <w:numId w:val="20"/>
        </w:numPr>
        <w:ind w:firstLineChars="0"/>
        <w:rPr>
          <w:szCs w:val="21"/>
        </w:rPr>
      </w:pPr>
      <w:r>
        <w:rPr>
          <w:rFonts w:hint="eastAsia"/>
          <w:szCs w:val="21"/>
        </w:rPr>
        <w:t>充电桩的设置应满足城市交通的建设要求，</w:t>
      </w:r>
      <w:r>
        <w:rPr>
          <w:szCs w:val="21"/>
        </w:rPr>
        <w:t>宜</w:t>
      </w:r>
      <w:r>
        <w:rPr>
          <w:rFonts w:hint="eastAsia"/>
          <w:szCs w:val="21"/>
        </w:rPr>
        <w:t>设置在杆体周围有</w:t>
      </w:r>
      <w:r>
        <w:rPr>
          <w:szCs w:val="21"/>
        </w:rPr>
        <w:t>专用</w:t>
      </w:r>
      <w:r>
        <w:rPr>
          <w:rFonts w:hint="eastAsia"/>
          <w:szCs w:val="21"/>
        </w:rPr>
        <w:t>充电</w:t>
      </w:r>
      <w:r>
        <w:rPr>
          <w:szCs w:val="21"/>
        </w:rPr>
        <w:t>停车位</w:t>
      </w:r>
      <w:r>
        <w:rPr>
          <w:rFonts w:hint="eastAsia"/>
          <w:szCs w:val="21"/>
        </w:rPr>
        <w:t>或停车</w:t>
      </w:r>
      <w:r>
        <w:rPr>
          <w:szCs w:val="21"/>
        </w:rPr>
        <w:t>位周转率较低的路段或区域</w:t>
      </w:r>
      <w:r>
        <w:rPr>
          <w:rFonts w:hint="eastAsia"/>
          <w:szCs w:val="21"/>
        </w:rPr>
        <w:t>。</w:t>
      </w:r>
    </w:p>
    <w:bookmarkEnd w:id="284"/>
    <w:bookmarkEnd w:id="285"/>
    <w:p>
      <w:pPr>
        <w:pStyle w:val="85"/>
        <w:numPr>
          <w:ilvl w:val="0"/>
          <w:numId w:val="20"/>
        </w:numPr>
        <w:spacing w:before="312" w:after="312"/>
        <w:outlineLvl w:val="0"/>
      </w:pPr>
      <w:r>
        <w:rPr>
          <w:rFonts w:hint="eastAsia"/>
        </w:rPr>
        <w:br w:type="page"/>
      </w:r>
      <w:bookmarkStart w:id="473" w:name="_Toc3065"/>
      <w:bookmarkStart w:id="474" w:name="_Toc19038"/>
      <w:bookmarkStart w:id="475" w:name="_Toc15880"/>
      <w:bookmarkStart w:id="476" w:name="_Toc30791"/>
      <w:bookmarkStart w:id="477" w:name="_Toc1561"/>
      <w:bookmarkStart w:id="478" w:name="_Toc30989"/>
      <w:bookmarkStart w:id="479" w:name="_Toc32526"/>
      <w:bookmarkStart w:id="480" w:name="_Toc30029"/>
      <w:bookmarkStart w:id="481" w:name="_Toc17483"/>
      <w:bookmarkStart w:id="482" w:name="_Toc11479"/>
      <w:r>
        <w:rPr>
          <w:rFonts w:hint="eastAsia"/>
        </w:rPr>
        <w:t>附属配套</w:t>
      </w:r>
      <w:bookmarkEnd w:id="473"/>
      <w:bookmarkEnd w:id="474"/>
      <w:bookmarkEnd w:id="475"/>
      <w:bookmarkEnd w:id="476"/>
      <w:bookmarkEnd w:id="477"/>
      <w:bookmarkEnd w:id="478"/>
      <w:bookmarkEnd w:id="479"/>
      <w:bookmarkEnd w:id="480"/>
      <w:bookmarkEnd w:id="481"/>
      <w:bookmarkEnd w:id="482"/>
    </w:p>
    <w:p>
      <w:pPr>
        <w:pStyle w:val="53"/>
        <w:numPr>
          <w:ilvl w:val="1"/>
          <w:numId w:val="20"/>
        </w:numPr>
        <w:spacing w:before="156" w:after="156"/>
        <w:outlineLvl w:val="1"/>
      </w:pPr>
      <w:bookmarkStart w:id="483" w:name="_Toc13698"/>
      <w:bookmarkStart w:id="484" w:name="_Toc18010"/>
      <w:bookmarkStart w:id="485" w:name="_Toc31610"/>
      <w:bookmarkStart w:id="486" w:name="_Toc7913"/>
      <w:bookmarkStart w:id="487" w:name="_Toc25816"/>
      <w:bookmarkStart w:id="488" w:name="_Toc16425"/>
      <w:bookmarkStart w:id="489" w:name="_Toc22731"/>
      <w:bookmarkStart w:id="490" w:name="_Toc22033"/>
      <w:bookmarkStart w:id="491" w:name="_Toc7208"/>
      <w:bookmarkStart w:id="492" w:name="_Toc6096"/>
      <w:r>
        <w:rPr>
          <w:rFonts w:hint="eastAsia"/>
        </w:rPr>
        <w:t>供电系统</w:t>
      </w:r>
      <w:bookmarkEnd w:id="483"/>
      <w:bookmarkEnd w:id="484"/>
      <w:bookmarkEnd w:id="485"/>
      <w:bookmarkEnd w:id="486"/>
      <w:bookmarkEnd w:id="487"/>
      <w:bookmarkEnd w:id="488"/>
      <w:bookmarkEnd w:id="489"/>
      <w:bookmarkEnd w:id="490"/>
      <w:bookmarkEnd w:id="491"/>
      <w:bookmarkEnd w:id="492"/>
    </w:p>
    <w:bookmarkEnd w:id="160"/>
    <w:bookmarkEnd w:id="161"/>
    <w:p>
      <w:pPr>
        <w:pStyle w:val="49"/>
        <w:numPr>
          <w:ilvl w:val="2"/>
          <w:numId w:val="20"/>
        </w:numPr>
      </w:pPr>
      <w:r>
        <w:rPr>
          <w:rFonts w:hint="eastAsia"/>
        </w:rPr>
        <w:t>结合智慧灯杆应统一沿线道路照明、监控、交通等多种杆和机箱设施以及其他用电设施的供电需求，设置综合机箱向设施供电，满足近期和远期各类设施用电需求。</w:t>
      </w:r>
    </w:p>
    <w:p>
      <w:pPr>
        <w:pStyle w:val="170"/>
        <w:numPr>
          <w:ilvl w:val="2"/>
          <w:numId w:val="20"/>
        </w:numPr>
        <w:spacing w:line="360" w:lineRule="auto"/>
        <w:ind w:firstLineChars="0"/>
        <w:rPr>
          <w:rFonts w:ascii="宋体" w:hAnsi="宋体" w:cs="宋体"/>
          <w:szCs w:val="21"/>
        </w:rPr>
      </w:pPr>
      <w:r>
        <w:rPr>
          <w:rFonts w:hint="eastAsia" w:ascii="宋体" w:hAnsi="宋体" w:cs="宋体"/>
          <w:szCs w:val="21"/>
        </w:rPr>
        <w:t>智慧灯杆和综合机箱设施用电负荷为三级负荷，城市中的重要道路、交通枢纽及人流集中的广场等区段的照明可为二级负荷。不同等级负荷的供电要求应符合现行国家标准《供配电系统设计规范》</w:t>
      </w:r>
      <w:r>
        <w:rPr>
          <w:rFonts w:ascii="宋体" w:hAnsi="宋体" w:cs="宋体"/>
          <w:szCs w:val="21"/>
        </w:rPr>
        <w:t xml:space="preserve">GB 50052 </w:t>
      </w:r>
      <w:r>
        <w:rPr>
          <w:rFonts w:hint="eastAsia" w:ascii="宋体" w:hAnsi="宋体" w:cs="宋体"/>
          <w:szCs w:val="21"/>
        </w:rPr>
        <w:t>的规定。</w:t>
      </w:r>
    </w:p>
    <w:p>
      <w:pPr>
        <w:pStyle w:val="170"/>
        <w:numPr>
          <w:ilvl w:val="2"/>
          <w:numId w:val="20"/>
        </w:numPr>
        <w:spacing w:line="360" w:lineRule="auto"/>
        <w:ind w:firstLineChars="0"/>
        <w:rPr>
          <w:rFonts w:ascii="宋体" w:hAnsi="宋体" w:cs="宋体"/>
          <w:szCs w:val="21"/>
        </w:rPr>
      </w:pPr>
      <w:r>
        <w:rPr>
          <w:rFonts w:hint="eastAsia" w:ascii="宋体" w:hAnsi="宋体" w:cs="宋体"/>
          <w:szCs w:val="21"/>
        </w:rPr>
        <w:t>智慧照明模块、移动通信模块与智慧灯杆挂载的其他设施电源应采用不同回路供电，分路计量，电源设备统一布设在综合机箱内；</w:t>
      </w:r>
      <w:r>
        <w:rPr>
          <w:rFonts w:hint="eastAsia"/>
          <w:szCs w:val="21"/>
        </w:rPr>
        <w:t>移动通信模块宜采用直流供电</w:t>
      </w:r>
      <w:r>
        <w:rPr>
          <w:rFonts w:hint="eastAsia" w:ascii="宋体" w:hAnsi="宋体" w:cs="宋体"/>
          <w:szCs w:val="21"/>
        </w:rPr>
        <w:t>。</w:t>
      </w:r>
    </w:p>
    <w:p>
      <w:pPr>
        <w:pStyle w:val="170"/>
        <w:numPr>
          <w:ilvl w:val="2"/>
          <w:numId w:val="20"/>
        </w:numPr>
        <w:spacing w:line="360" w:lineRule="auto"/>
        <w:ind w:firstLineChars="0"/>
        <w:rPr>
          <w:rFonts w:ascii="宋体" w:hAnsi="宋体" w:cs="宋体"/>
          <w:szCs w:val="21"/>
        </w:rPr>
      </w:pPr>
      <w:r>
        <w:rPr>
          <w:rFonts w:hint="eastAsia" w:ascii="宋体" w:hAnsi="宋体" w:cs="宋体"/>
          <w:szCs w:val="21"/>
        </w:rPr>
        <w:t>配电系统设计时应重新核算用电容量，配电电源点应布设在用电负荷集中区域。</w:t>
      </w:r>
    </w:p>
    <w:p>
      <w:pPr>
        <w:pStyle w:val="170"/>
        <w:numPr>
          <w:ilvl w:val="2"/>
          <w:numId w:val="20"/>
        </w:numPr>
        <w:spacing w:line="360" w:lineRule="auto"/>
        <w:ind w:firstLineChars="0"/>
        <w:rPr>
          <w:rFonts w:ascii="宋体" w:hAnsi="宋体" w:cs="宋体"/>
          <w:szCs w:val="21"/>
        </w:rPr>
      </w:pPr>
      <w:r>
        <w:rPr>
          <w:rFonts w:hint="eastAsia" w:ascii="宋体" w:hAnsi="宋体" w:cs="宋体"/>
          <w:szCs w:val="21"/>
        </w:rPr>
        <w:t>配电系统接线方式宜采用放射式和树干式相结合的方式，即各级综合机箱间配电系统采用树干式接线，综合机箱至终端用电设备配电系统采用放射式接线。</w:t>
      </w:r>
    </w:p>
    <w:p>
      <w:pPr>
        <w:pStyle w:val="170"/>
        <w:numPr>
          <w:ilvl w:val="2"/>
          <w:numId w:val="20"/>
        </w:numPr>
        <w:spacing w:line="360" w:lineRule="auto"/>
        <w:ind w:firstLineChars="0"/>
        <w:rPr>
          <w:rFonts w:ascii="宋体" w:hAnsi="宋体" w:cs="宋体"/>
          <w:szCs w:val="21"/>
        </w:rPr>
      </w:pPr>
      <w:r>
        <w:rPr>
          <w:rFonts w:hint="eastAsia" w:ascii="宋体" w:hAnsi="宋体" w:cs="宋体"/>
          <w:szCs w:val="21"/>
        </w:rPr>
        <w:t>配电系统中保护开关、配电线缆选择应满足《低压配电设计规范》GB 50054的规定。</w:t>
      </w:r>
    </w:p>
    <w:p>
      <w:pPr>
        <w:pStyle w:val="170"/>
        <w:numPr>
          <w:ilvl w:val="2"/>
          <w:numId w:val="20"/>
        </w:numPr>
        <w:spacing w:line="360" w:lineRule="auto"/>
        <w:ind w:firstLineChars="0"/>
        <w:rPr>
          <w:szCs w:val="21"/>
        </w:rPr>
      </w:pPr>
      <w:r>
        <w:rPr>
          <w:rFonts w:hint="eastAsia"/>
          <w:szCs w:val="21"/>
        </w:rPr>
        <w:t>设备应采用多个分路空气开关，空气开关宜设置在杆体底座设备检修门处，维修相关设备时只需断开相应的空气开关，不用断电影响其他设备运行。空气开关应根据设备安装需求数量配置，对于后期可能加装的设备应预留空气开关或导轨，满足一定的可拓展需求。</w:t>
      </w:r>
    </w:p>
    <w:p>
      <w:pPr>
        <w:pStyle w:val="53"/>
        <w:numPr>
          <w:ilvl w:val="1"/>
          <w:numId w:val="20"/>
        </w:numPr>
        <w:spacing w:before="156" w:after="156"/>
        <w:outlineLvl w:val="1"/>
      </w:pPr>
      <w:bookmarkStart w:id="493" w:name="_Toc25152"/>
      <w:bookmarkStart w:id="494" w:name="_Toc6202"/>
      <w:bookmarkStart w:id="495" w:name="_Toc19677"/>
      <w:bookmarkStart w:id="496" w:name="_Toc2538"/>
      <w:bookmarkStart w:id="497" w:name="_Toc5938"/>
      <w:bookmarkStart w:id="498" w:name="_Toc27872"/>
      <w:bookmarkStart w:id="499" w:name="_Toc8579"/>
      <w:bookmarkStart w:id="500" w:name="_Toc16546"/>
      <w:bookmarkStart w:id="501" w:name="_Toc22762"/>
      <w:bookmarkStart w:id="502" w:name="_Toc23584"/>
      <w:r>
        <w:rPr>
          <w:rFonts w:hint="eastAsia"/>
        </w:rPr>
        <w:t>配套管道</w:t>
      </w:r>
      <w:bookmarkEnd w:id="493"/>
      <w:bookmarkEnd w:id="494"/>
      <w:bookmarkEnd w:id="495"/>
      <w:bookmarkEnd w:id="496"/>
      <w:bookmarkEnd w:id="497"/>
      <w:bookmarkEnd w:id="498"/>
      <w:bookmarkEnd w:id="499"/>
      <w:bookmarkEnd w:id="500"/>
      <w:bookmarkEnd w:id="501"/>
      <w:bookmarkEnd w:id="502"/>
    </w:p>
    <w:p>
      <w:pPr>
        <w:pStyle w:val="26"/>
        <w:numPr>
          <w:ilvl w:val="2"/>
          <w:numId w:val="20"/>
        </w:numPr>
        <w:tabs>
          <w:tab w:val="clear" w:pos="0"/>
          <w:tab w:val="clear" w:pos="4201"/>
          <w:tab w:val="clear" w:pos="9298"/>
        </w:tabs>
        <w:ind w:firstLineChars="0"/>
        <w:rPr>
          <w:szCs w:val="21"/>
        </w:rPr>
      </w:pPr>
      <w:r>
        <w:rPr>
          <w:rFonts w:hint="eastAsia"/>
          <w:szCs w:val="21"/>
        </w:rPr>
        <w:t>配套管道敷设应符合《电力工程电缆设计标准》GB50217和《通信管道与通道工程设计标准》GB 50373的规定。</w:t>
      </w:r>
    </w:p>
    <w:p>
      <w:pPr>
        <w:pStyle w:val="26"/>
        <w:numPr>
          <w:ilvl w:val="2"/>
          <w:numId w:val="20"/>
        </w:numPr>
        <w:tabs>
          <w:tab w:val="clear" w:pos="0"/>
          <w:tab w:val="clear" w:pos="4201"/>
          <w:tab w:val="clear" w:pos="9298"/>
        </w:tabs>
        <w:ind w:firstLineChars="0"/>
        <w:rPr>
          <w:szCs w:val="21"/>
        </w:rPr>
      </w:pPr>
      <w:r>
        <w:rPr>
          <w:rFonts w:hint="eastAsia"/>
          <w:szCs w:val="21"/>
        </w:rPr>
        <w:t>强电、弱电走线应独立设计、互不干扰；宜具备保护开关，并具有漏电监测和告警功能。</w:t>
      </w:r>
    </w:p>
    <w:p>
      <w:pPr>
        <w:pStyle w:val="26"/>
        <w:numPr>
          <w:ilvl w:val="2"/>
          <w:numId w:val="20"/>
        </w:numPr>
        <w:tabs>
          <w:tab w:val="clear" w:pos="0"/>
          <w:tab w:val="clear" w:pos="4201"/>
          <w:tab w:val="clear" w:pos="9298"/>
        </w:tabs>
        <w:ind w:firstLineChars="0"/>
        <w:rPr>
          <w:szCs w:val="21"/>
        </w:rPr>
      </w:pPr>
      <w:r>
        <w:rPr>
          <w:rFonts w:hint="eastAsia"/>
          <w:szCs w:val="21"/>
        </w:rPr>
        <w:t>电缆线路应</w:t>
      </w:r>
      <w:r>
        <w:rPr>
          <w:szCs w:val="21"/>
        </w:rPr>
        <w:t>采用穿管敷设方式，电缆</w:t>
      </w:r>
      <w:r>
        <w:rPr>
          <w:rFonts w:hint="eastAsia"/>
          <w:szCs w:val="21"/>
        </w:rPr>
        <w:t>保护</w:t>
      </w:r>
      <w:r>
        <w:rPr>
          <w:szCs w:val="21"/>
        </w:rPr>
        <w:t>管连接应牢固，密封良好</w:t>
      </w:r>
      <w:r>
        <w:rPr>
          <w:rFonts w:hint="eastAsia"/>
          <w:szCs w:val="21"/>
        </w:rPr>
        <w:t>；强电、弱电管线应分别单独穿管敷设，强电与弱电管线之间敷设净距不应小于0.25米。</w:t>
      </w:r>
    </w:p>
    <w:p>
      <w:pPr>
        <w:pStyle w:val="26"/>
        <w:numPr>
          <w:ilvl w:val="2"/>
          <w:numId w:val="20"/>
        </w:numPr>
        <w:tabs>
          <w:tab w:val="clear" w:pos="0"/>
          <w:tab w:val="clear" w:pos="4201"/>
          <w:tab w:val="clear" w:pos="9298"/>
        </w:tabs>
        <w:ind w:firstLineChars="0"/>
        <w:rPr>
          <w:szCs w:val="21"/>
        </w:rPr>
      </w:pPr>
      <w:r>
        <w:rPr>
          <w:rFonts w:hint="eastAsia"/>
          <w:szCs w:val="21"/>
        </w:rPr>
        <w:t>防电磁干扰应符合下列要求：</w:t>
      </w:r>
    </w:p>
    <w:p>
      <w:pPr>
        <w:pStyle w:val="26"/>
        <w:numPr>
          <w:ilvl w:val="0"/>
          <w:numId w:val="22"/>
        </w:numPr>
        <w:tabs>
          <w:tab w:val="clear" w:pos="0"/>
          <w:tab w:val="clear" w:pos="4201"/>
          <w:tab w:val="clear" w:pos="9298"/>
        </w:tabs>
        <w:ind w:left="420" w:leftChars="200" w:firstLineChars="0"/>
        <w:rPr>
          <w:szCs w:val="21"/>
        </w:rPr>
      </w:pPr>
      <w:r>
        <w:rPr>
          <w:rFonts w:hint="eastAsia"/>
          <w:szCs w:val="21"/>
        </w:rPr>
        <w:t>应采用接地方式防止外界电磁干扰和设备寄生耦合干扰；</w:t>
      </w:r>
    </w:p>
    <w:p>
      <w:pPr>
        <w:pStyle w:val="26"/>
        <w:numPr>
          <w:ilvl w:val="0"/>
          <w:numId w:val="22"/>
        </w:numPr>
        <w:tabs>
          <w:tab w:val="clear" w:pos="0"/>
          <w:tab w:val="clear" w:pos="4201"/>
          <w:tab w:val="clear" w:pos="9298"/>
        </w:tabs>
        <w:ind w:left="420" w:leftChars="200" w:firstLineChars="0"/>
        <w:rPr>
          <w:szCs w:val="21"/>
        </w:rPr>
      </w:pPr>
      <w:r>
        <w:rPr>
          <w:rFonts w:hint="eastAsia"/>
          <w:szCs w:val="21"/>
        </w:rPr>
        <w:t>电源线和通信线缆应隔离铺设，避免互相干扰；</w:t>
      </w:r>
    </w:p>
    <w:p>
      <w:pPr>
        <w:pStyle w:val="26"/>
        <w:numPr>
          <w:ilvl w:val="0"/>
          <w:numId w:val="22"/>
        </w:numPr>
        <w:tabs>
          <w:tab w:val="clear" w:pos="0"/>
          <w:tab w:val="clear" w:pos="4201"/>
          <w:tab w:val="clear" w:pos="9298"/>
        </w:tabs>
        <w:ind w:left="420" w:leftChars="200" w:firstLineChars="0"/>
        <w:rPr>
          <w:szCs w:val="21"/>
        </w:rPr>
      </w:pPr>
      <w:r>
        <w:rPr>
          <w:rFonts w:hint="eastAsia"/>
          <w:szCs w:val="21"/>
        </w:rPr>
        <w:t>应对关键设备和磁介质实施电磁屏蔽。</w:t>
      </w:r>
    </w:p>
    <w:p>
      <w:pPr>
        <w:pStyle w:val="26"/>
        <w:numPr>
          <w:ilvl w:val="2"/>
          <w:numId w:val="20"/>
        </w:numPr>
        <w:tabs>
          <w:tab w:val="clear" w:pos="0"/>
          <w:tab w:val="clear" w:pos="4201"/>
          <w:tab w:val="clear" w:pos="9298"/>
        </w:tabs>
        <w:ind w:firstLineChars="0"/>
        <w:rPr>
          <w:szCs w:val="21"/>
        </w:rPr>
      </w:pPr>
      <w:r>
        <w:rPr>
          <w:rFonts w:hint="eastAsia"/>
          <w:szCs w:val="21"/>
        </w:rPr>
        <w:t>应充分结合建设方要求，预留通信配套传输管道。</w:t>
      </w:r>
    </w:p>
    <w:p>
      <w:pPr>
        <w:pStyle w:val="26"/>
        <w:numPr>
          <w:ilvl w:val="2"/>
          <w:numId w:val="20"/>
        </w:numPr>
        <w:tabs>
          <w:tab w:val="clear" w:pos="0"/>
          <w:tab w:val="clear" w:pos="4201"/>
          <w:tab w:val="clear" w:pos="9298"/>
        </w:tabs>
        <w:ind w:firstLineChars="0"/>
        <w:rPr>
          <w:szCs w:val="21"/>
        </w:rPr>
      </w:pPr>
      <w:r>
        <w:rPr>
          <w:rFonts w:hint="eastAsia"/>
          <w:szCs w:val="21"/>
        </w:rPr>
        <w:t>管线敷设量应不少于6孔Φ75~Φ110mm管道。</w:t>
      </w:r>
    </w:p>
    <w:p>
      <w:pPr>
        <w:pStyle w:val="26"/>
        <w:numPr>
          <w:ilvl w:val="2"/>
          <w:numId w:val="20"/>
        </w:numPr>
        <w:tabs>
          <w:tab w:val="clear" w:pos="0"/>
          <w:tab w:val="clear" w:pos="4201"/>
          <w:tab w:val="clear" w:pos="9298"/>
        </w:tabs>
        <w:ind w:firstLineChars="0"/>
        <w:rPr>
          <w:szCs w:val="21"/>
        </w:rPr>
      </w:pPr>
      <w:r>
        <w:rPr>
          <w:rFonts w:hint="eastAsia"/>
          <w:szCs w:val="21"/>
        </w:rPr>
        <w:t>管线连接及管线埋设示意图见图</w:t>
      </w:r>
      <w:r>
        <w:rPr>
          <w:szCs w:val="21"/>
        </w:rPr>
        <w:t>6.2.</w:t>
      </w:r>
      <w:r>
        <w:rPr>
          <w:rFonts w:hint="eastAsia"/>
          <w:szCs w:val="21"/>
        </w:rPr>
        <w:t>6-</w:t>
      </w:r>
      <w:r>
        <w:rPr>
          <w:szCs w:val="21"/>
        </w:rPr>
        <w:t>1</w:t>
      </w:r>
      <w:r>
        <w:rPr>
          <w:rFonts w:hint="eastAsia"/>
          <w:szCs w:val="21"/>
        </w:rPr>
        <w:t>、图</w:t>
      </w:r>
      <w:r>
        <w:rPr>
          <w:szCs w:val="21"/>
        </w:rPr>
        <w:t>6.2.</w:t>
      </w:r>
      <w:r>
        <w:rPr>
          <w:rFonts w:hint="eastAsia"/>
          <w:szCs w:val="21"/>
        </w:rPr>
        <w:t>6-</w:t>
      </w:r>
      <w:r>
        <w:rPr>
          <w:szCs w:val="21"/>
        </w:rPr>
        <w:t>2</w:t>
      </w:r>
      <w:r>
        <w:rPr>
          <w:rFonts w:hint="eastAsia"/>
          <w:szCs w:val="21"/>
        </w:rPr>
        <w:t>。</w:t>
      </w:r>
    </w:p>
    <w:p>
      <w:pPr>
        <w:pStyle w:val="26"/>
        <w:tabs>
          <w:tab w:val="clear" w:pos="4201"/>
          <w:tab w:val="clear" w:pos="9298"/>
        </w:tabs>
        <w:ind w:firstLine="0" w:firstLineChars="0"/>
        <w:jc w:val="center"/>
        <w:rPr>
          <w:color w:val="FF0000"/>
          <w:szCs w:val="21"/>
        </w:rPr>
      </w:pPr>
      <w:r>
        <w:rPr>
          <w:color w:val="FF0000"/>
          <w:szCs w:val="21"/>
        </w:rPr>
        <w:drawing>
          <wp:inline distT="0" distB="0" distL="0" distR="0">
            <wp:extent cx="5353050" cy="2348230"/>
            <wp:effectExtent l="0" t="0" r="0" b="13970"/>
            <wp:docPr id="9" name="图片 26" descr="C:\Users\47296\Desktop\111.jpg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6" descr="C:\Users\47296\Desktop\111.jpg111"/>
                    <pic:cNvPicPr>
                      <a:picLocks noChangeAspect="1" noChangeArrowheads="1"/>
                    </pic:cNvPicPr>
                  </pic:nvPicPr>
                  <pic:blipFill>
                    <a:blip r:embed="rId20"/>
                    <a:srcRect/>
                    <a:stretch>
                      <a:fillRect/>
                    </a:stretch>
                  </pic:blipFill>
                  <pic:spPr>
                    <a:xfrm>
                      <a:off x="0" y="0"/>
                      <a:ext cx="5353050" cy="2348230"/>
                    </a:xfrm>
                    <a:prstGeom prst="rect">
                      <a:avLst/>
                    </a:prstGeom>
                    <a:noFill/>
                    <a:ln w="9525" cmpd="sng">
                      <a:noFill/>
                      <a:miter lim="800000"/>
                      <a:headEnd/>
                      <a:tailEnd/>
                    </a:ln>
                    <a:effectLst/>
                  </pic:spPr>
                </pic:pic>
              </a:graphicData>
            </a:graphic>
          </wp:inline>
        </w:drawing>
      </w:r>
    </w:p>
    <w:p>
      <w:pPr>
        <w:pStyle w:val="26"/>
        <w:tabs>
          <w:tab w:val="clear" w:pos="4201"/>
          <w:tab w:val="clear" w:pos="9298"/>
        </w:tabs>
        <w:ind w:firstLine="0" w:firstLineChars="0"/>
        <w:jc w:val="center"/>
        <w:rPr>
          <w:szCs w:val="21"/>
        </w:rPr>
      </w:pPr>
      <w:r>
        <w:rPr>
          <w:rFonts w:hint="eastAsia"/>
          <w:szCs w:val="21"/>
        </w:rPr>
        <w:t>图</w:t>
      </w:r>
      <w:r>
        <w:rPr>
          <w:szCs w:val="21"/>
        </w:rPr>
        <w:t>6.2.</w:t>
      </w:r>
      <w:r>
        <w:rPr>
          <w:rFonts w:hint="eastAsia"/>
          <w:szCs w:val="21"/>
        </w:rPr>
        <w:t>6-</w:t>
      </w:r>
      <w:r>
        <w:rPr>
          <w:szCs w:val="21"/>
        </w:rPr>
        <w:t xml:space="preserve">1 </w:t>
      </w:r>
      <w:r>
        <w:rPr>
          <w:rFonts w:hint="eastAsia"/>
          <w:szCs w:val="21"/>
        </w:rPr>
        <w:t>新建智慧灯杆管线连接示意图</w:t>
      </w:r>
    </w:p>
    <w:p>
      <w:pPr>
        <w:pStyle w:val="26"/>
        <w:tabs>
          <w:tab w:val="clear" w:pos="4201"/>
          <w:tab w:val="clear" w:pos="9298"/>
        </w:tabs>
        <w:ind w:firstLine="0" w:firstLineChars="0"/>
        <w:jc w:val="center"/>
        <w:rPr>
          <w:color w:val="FF0000"/>
          <w:szCs w:val="21"/>
        </w:rPr>
      </w:pPr>
      <w:r>
        <w:rPr>
          <w:color w:val="FF0000"/>
          <w:szCs w:val="21"/>
        </w:rPr>
        <w:drawing>
          <wp:inline distT="0" distB="0" distL="0" distR="0">
            <wp:extent cx="3131185" cy="1983740"/>
            <wp:effectExtent l="0" t="0" r="12065" b="16510"/>
            <wp:docPr id="10" name="图片 25" descr="C:\Users\47296\Desktop\222.png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descr="C:\Users\47296\Desktop\222.png222"/>
                    <pic:cNvPicPr>
                      <a:picLocks noChangeAspect="1" noChangeArrowheads="1"/>
                    </pic:cNvPicPr>
                  </pic:nvPicPr>
                  <pic:blipFill>
                    <a:blip r:embed="rId21"/>
                    <a:srcRect/>
                    <a:stretch>
                      <a:fillRect/>
                    </a:stretch>
                  </pic:blipFill>
                  <pic:spPr>
                    <a:xfrm>
                      <a:off x="0" y="0"/>
                      <a:ext cx="3131185" cy="1983740"/>
                    </a:xfrm>
                    <a:prstGeom prst="rect">
                      <a:avLst/>
                    </a:prstGeom>
                    <a:noFill/>
                    <a:ln w="9525" cmpd="sng">
                      <a:noFill/>
                      <a:miter lim="800000"/>
                      <a:headEnd/>
                      <a:tailEnd/>
                    </a:ln>
                  </pic:spPr>
                </pic:pic>
              </a:graphicData>
            </a:graphic>
          </wp:inline>
        </w:drawing>
      </w:r>
    </w:p>
    <w:p>
      <w:pPr>
        <w:pStyle w:val="26"/>
        <w:tabs>
          <w:tab w:val="clear" w:pos="4201"/>
          <w:tab w:val="clear" w:pos="9298"/>
        </w:tabs>
        <w:ind w:firstLine="0" w:firstLineChars="0"/>
        <w:jc w:val="center"/>
        <w:rPr>
          <w:szCs w:val="21"/>
        </w:rPr>
      </w:pPr>
      <w:r>
        <w:rPr>
          <w:rFonts w:hint="eastAsia"/>
          <w:szCs w:val="21"/>
        </w:rPr>
        <w:t>图</w:t>
      </w:r>
      <w:r>
        <w:rPr>
          <w:szCs w:val="21"/>
        </w:rPr>
        <w:t>6.2.</w:t>
      </w:r>
      <w:r>
        <w:rPr>
          <w:rFonts w:hint="eastAsia"/>
          <w:szCs w:val="21"/>
        </w:rPr>
        <w:t>6-</w:t>
      </w:r>
      <w:r>
        <w:rPr>
          <w:szCs w:val="21"/>
        </w:rPr>
        <w:t>2 管道埋设</w:t>
      </w:r>
      <w:r>
        <w:rPr>
          <w:rFonts w:hint="eastAsia"/>
          <w:szCs w:val="21"/>
        </w:rPr>
        <w:t>示意图</w:t>
      </w:r>
    </w:p>
    <w:bookmarkEnd w:id="162"/>
    <w:bookmarkEnd w:id="163"/>
    <w:p>
      <w:pPr>
        <w:pStyle w:val="53"/>
        <w:numPr>
          <w:ilvl w:val="1"/>
          <w:numId w:val="20"/>
        </w:numPr>
        <w:spacing w:before="156" w:after="156"/>
        <w:outlineLvl w:val="1"/>
      </w:pPr>
      <w:bookmarkStart w:id="503" w:name="_Toc23822"/>
      <w:bookmarkStart w:id="504" w:name="_Toc24722"/>
      <w:bookmarkStart w:id="505" w:name="_Toc8640"/>
      <w:bookmarkStart w:id="506" w:name="_Toc26615"/>
      <w:bookmarkStart w:id="507" w:name="_Toc23213"/>
      <w:bookmarkStart w:id="508" w:name="_Toc3300"/>
      <w:bookmarkStart w:id="509" w:name="_Toc285"/>
      <w:bookmarkStart w:id="510" w:name="_Toc15198"/>
      <w:bookmarkStart w:id="511" w:name="_Toc2293"/>
      <w:bookmarkStart w:id="512" w:name="_Toc23324"/>
      <w:r>
        <w:rPr>
          <w:rFonts w:hint="eastAsia"/>
        </w:rPr>
        <w:t>综合机箱</w:t>
      </w:r>
      <w:bookmarkEnd w:id="503"/>
      <w:bookmarkEnd w:id="504"/>
      <w:bookmarkEnd w:id="505"/>
      <w:bookmarkEnd w:id="506"/>
      <w:bookmarkEnd w:id="507"/>
      <w:bookmarkEnd w:id="508"/>
      <w:bookmarkEnd w:id="509"/>
      <w:bookmarkEnd w:id="510"/>
      <w:bookmarkEnd w:id="511"/>
      <w:bookmarkEnd w:id="512"/>
    </w:p>
    <w:p>
      <w:pPr>
        <w:pStyle w:val="26"/>
        <w:numPr>
          <w:ilvl w:val="2"/>
          <w:numId w:val="20"/>
        </w:numPr>
        <w:tabs>
          <w:tab w:val="clear" w:pos="0"/>
          <w:tab w:val="clear" w:pos="4201"/>
          <w:tab w:val="clear" w:pos="9298"/>
        </w:tabs>
        <w:ind w:firstLineChars="0"/>
        <w:rPr>
          <w:szCs w:val="21"/>
        </w:rPr>
      </w:pPr>
      <w:r>
        <w:rPr>
          <w:rFonts w:hint="eastAsia"/>
          <w:szCs w:val="21"/>
        </w:rPr>
        <w:t>综合机箱应与智慧灯杆配套设置，各功能模块不应单独设置室外机箱，应采用多合一箱体，统筹各行业规划需求，在满足功能性的前提下进行整合共享，减少城市户外箱体数量及体量。</w:t>
      </w:r>
    </w:p>
    <w:p>
      <w:pPr>
        <w:pStyle w:val="26"/>
        <w:numPr>
          <w:ilvl w:val="2"/>
          <w:numId w:val="20"/>
        </w:numPr>
        <w:tabs>
          <w:tab w:val="clear" w:pos="0"/>
          <w:tab w:val="clear" w:pos="4201"/>
          <w:tab w:val="clear" w:pos="9298"/>
        </w:tabs>
        <w:ind w:firstLineChars="0"/>
        <w:rPr>
          <w:szCs w:val="21"/>
        </w:rPr>
      </w:pPr>
      <w:r>
        <w:rPr>
          <w:rFonts w:hint="eastAsia"/>
          <w:szCs w:val="21"/>
        </w:rPr>
        <w:t>综合机箱的箱体设计应采用分仓设计，同时考虑智慧城市发展需求，预留相应功能的位置空间。</w:t>
      </w:r>
    </w:p>
    <w:p>
      <w:pPr>
        <w:pStyle w:val="26"/>
        <w:numPr>
          <w:ilvl w:val="2"/>
          <w:numId w:val="20"/>
        </w:numPr>
        <w:tabs>
          <w:tab w:val="clear" w:pos="0"/>
          <w:tab w:val="clear" w:pos="4201"/>
          <w:tab w:val="clear" w:pos="9298"/>
        </w:tabs>
        <w:ind w:firstLineChars="0"/>
        <w:rPr>
          <w:szCs w:val="21"/>
        </w:rPr>
      </w:pPr>
      <w:r>
        <w:rPr>
          <w:rFonts w:hint="eastAsia"/>
          <w:szCs w:val="21"/>
        </w:rPr>
        <w:t>综合机箱的规格应结合业务需求和城市地形地貌进行确定，颜色应符合城市道路交通和景观要求。</w:t>
      </w:r>
    </w:p>
    <w:p>
      <w:pPr>
        <w:pStyle w:val="26"/>
        <w:numPr>
          <w:ilvl w:val="2"/>
          <w:numId w:val="20"/>
        </w:numPr>
        <w:tabs>
          <w:tab w:val="clear" w:pos="0"/>
          <w:tab w:val="clear" w:pos="4201"/>
          <w:tab w:val="clear" w:pos="9298"/>
        </w:tabs>
        <w:ind w:firstLineChars="0"/>
        <w:rPr>
          <w:szCs w:val="21"/>
        </w:rPr>
      </w:pPr>
      <w:r>
        <w:rPr>
          <w:rFonts w:hint="eastAsia"/>
          <w:szCs w:val="21"/>
        </w:rPr>
        <w:t>综合机箱的安装位置应综合考虑地理位置、管线资源、网络布局、光缆传输衰耗等因素，并确保箱体安全，不影响道路交通，且维护方便。</w:t>
      </w:r>
    </w:p>
    <w:p>
      <w:pPr>
        <w:pStyle w:val="26"/>
        <w:numPr>
          <w:ilvl w:val="2"/>
          <w:numId w:val="20"/>
        </w:numPr>
        <w:tabs>
          <w:tab w:val="clear" w:pos="0"/>
          <w:tab w:val="clear" w:pos="4201"/>
          <w:tab w:val="clear" w:pos="9298"/>
        </w:tabs>
        <w:ind w:firstLineChars="0"/>
        <w:rPr>
          <w:szCs w:val="21"/>
        </w:rPr>
      </w:pPr>
      <w:r>
        <w:rPr>
          <w:rFonts w:hint="eastAsia"/>
          <w:szCs w:val="21"/>
        </w:rPr>
        <w:t>综合机箱应设置在不易积水处。当设置在地势低洼处，应抬高基础并应采取防水、排水措施。</w:t>
      </w:r>
    </w:p>
    <w:p>
      <w:pPr>
        <w:pStyle w:val="26"/>
        <w:numPr>
          <w:ilvl w:val="2"/>
          <w:numId w:val="20"/>
        </w:numPr>
        <w:tabs>
          <w:tab w:val="clear" w:pos="0"/>
          <w:tab w:val="clear" w:pos="4201"/>
          <w:tab w:val="clear" w:pos="9298"/>
        </w:tabs>
        <w:ind w:firstLineChars="0"/>
        <w:rPr>
          <w:szCs w:val="21"/>
        </w:rPr>
      </w:pPr>
      <w:r>
        <w:rPr>
          <w:rFonts w:hint="eastAsia"/>
          <w:szCs w:val="21"/>
        </w:rPr>
        <w:t>综合机箱布设区域：街头公共绿地、道路公共空间、人行道侧石处、机非隔离带；综合机箱宜设置在主要路口或以5</w:t>
      </w:r>
      <w:r>
        <w:rPr>
          <w:szCs w:val="21"/>
        </w:rPr>
        <w:t>00</w:t>
      </w:r>
      <w:r>
        <w:rPr>
          <w:rFonts w:hint="eastAsia"/>
          <w:szCs w:val="21"/>
        </w:rPr>
        <w:t>m为间隔设置。</w:t>
      </w:r>
    </w:p>
    <w:p>
      <w:pPr>
        <w:pStyle w:val="26"/>
        <w:numPr>
          <w:ilvl w:val="2"/>
          <w:numId w:val="20"/>
        </w:numPr>
        <w:tabs>
          <w:tab w:val="clear" w:pos="0"/>
          <w:tab w:val="clear" w:pos="4201"/>
          <w:tab w:val="clear" w:pos="9298"/>
        </w:tabs>
        <w:ind w:firstLineChars="0"/>
        <w:rPr>
          <w:szCs w:val="21"/>
        </w:rPr>
      </w:pPr>
      <w:r>
        <w:rPr>
          <w:rFonts w:hint="eastAsia"/>
        </w:rPr>
        <w:t>智慧灯杆及其挂载设备应由综合机箱统一供电；供电、配电设计时，将照明与其他挂载设备的供电线路进行分路设计与安装。</w:t>
      </w:r>
    </w:p>
    <w:p>
      <w:pPr>
        <w:pStyle w:val="26"/>
        <w:numPr>
          <w:ilvl w:val="2"/>
          <w:numId w:val="20"/>
        </w:numPr>
        <w:tabs>
          <w:tab w:val="clear" w:pos="0"/>
          <w:tab w:val="clear" w:pos="4201"/>
          <w:tab w:val="clear" w:pos="9298"/>
        </w:tabs>
        <w:ind w:firstLineChars="0"/>
        <w:rPr>
          <w:szCs w:val="21"/>
        </w:rPr>
      </w:pPr>
      <w:r>
        <w:rPr>
          <w:rFonts w:hint="eastAsia"/>
          <w:szCs w:val="21"/>
        </w:rPr>
        <w:t>综合机箱引电容量不宜小于30KW，电缆导体结构和性能参数应符合现行国家标准《电工铜圆线》GB/T 3953、《电工圆铝线》GB/T 3955、《电缆的导体》GB/T 3956、《电缆导体用铝合金线》GB/T 30552 等的规定。</w:t>
      </w:r>
    </w:p>
    <w:p>
      <w:pPr>
        <w:pStyle w:val="26"/>
        <w:numPr>
          <w:ilvl w:val="2"/>
          <w:numId w:val="20"/>
        </w:numPr>
        <w:tabs>
          <w:tab w:val="clear" w:pos="0"/>
          <w:tab w:val="clear" w:pos="4201"/>
          <w:tab w:val="clear" w:pos="9298"/>
        </w:tabs>
        <w:ind w:firstLineChars="0"/>
        <w:rPr>
          <w:szCs w:val="21"/>
        </w:rPr>
      </w:pPr>
      <w:r>
        <w:rPr>
          <w:rFonts w:hint="eastAsia"/>
          <w:szCs w:val="21"/>
        </w:rPr>
        <w:t>综合机箱安装时宜设置混凝土基座，基座采用下沉式设置，基座高出道路水平基准线5cm，基座高度3</w:t>
      </w:r>
      <w:r>
        <w:rPr>
          <w:szCs w:val="21"/>
        </w:rPr>
        <w:t>0</w:t>
      </w:r>
      <w:r>
        <w:rPr>
          <w:rFonts w:hint="eastAsia"/>
          <w:szCs w:val="21"/>
        </w:rPr>
        <w:t>-</w:t>
      </w:r>
      <w:r>
        <w:rPr>
          <w:szCs w:val="21"/>
        </w:rPr>
        <w:t>50</w:t>
      </w:r>
      <w:r>
        <w:rPr>
          <w:rFonts w:hint="eastAsia"/>
          <w:szCs w:val="21"/>
        </w:rPr>
        <w:t>cm为宜。</w:t>
      </w:r>
    </w:p>
    <w:p>
      <w:pPr>
        <w:pStyle w:val="26"/>
        <w:numPr>
          <w:ilvl w:val="2"/>
          <w:numId w:val="20"/>
        </w:numPr>
        <w:tabs>
          <w:tab w:val="clear" w:pos="0"/>
          <w:tab w:val="clear" w:pos="4201"/>
          <w:tab w:val="clear" w:pos="9298"/>
        </w:tabs>
        <w:ind w:firstLineChars="0"/>
        <w:rPr>
          <w:szCs w:val="21"/>
        </w:rPr>
      </w:pPr>
      <w:r>
        <w:rPr>
          <w:rFonts w:hint="eastAsia"/>
          <w:szCs w:val="21"/>
        </w:rPr>
        <w:t>综合机箱及相关金属构件应接地，接地电阻不应大于4Ω。</w:t>
      </w:r>
    </w:p>
    <w:p>
      <w:pPr>
        <w:pStyle w:val="26"/>
        <w:numPr>
          <w:ilvl w:val="2"/>
          <w:numId w:val="20"/>
        </w:numPr>
        <w:tabs>
          <w:tab w:val="clear" w:pos="0"/>
          <w:tab w:val="clear" w:pos="4201"/>
          <w:tab w:val="clear" w:pos="9298"/>
        </w:tabs>
        <w:ind w:firstLineChars="0"/>
        <w:rPr>
          <w:szCs w:val="21"/>
        </w:rPr>
      </w:pPr>
      <w:r>
        <w:rPr>
          <w:rFonts w:hint="eastAsia"/>
          <w:szCs w:val="21"/>
        </w:rPr>
        <w:t>综合机箱宜配备智能监管系统，实时监测箱体运行状态。</w:t>
      </w:r>
    </w:p>
    <w:p>
      <w:pPr>
        <w:pStyle w:val="26"/>
        <w:numPr>
          <w:ilvl w:val="2"/>
          <w:numId w:val="20"/>
        </w:numPr>
        <w:tabs>
          <w:tab w:val="clear" w:pos="0"/>
          <w:tab w:val="clear" w:pos="4201"/>
          <w:tab w:val="clear" w:pos="9298"/>
        </w:tabs>
        <w:ind w:firstLineChars="0"/>
        <w:jc w:val="left"/>
        <w:rPr>
          <w:szCs w:val="21"/>
        </w:rPr>
      </w:pPr>
      <w:r>
        <w:rPr>
          <w:rFonts w:hint="eastAsia"/>
          <w:szCs w:val="21"/>
        </w:rPr>
        <w:t>综合机箱宜安装智能门锁，锁具应安全可靠、简单易用。</w:t>
      </w:r>
    </w:p>
    <w:p>
      <w:pPr>
        <w:pStyle w:val="26"/>
        <w:numPr>
          <w:ilvl w:val="2"/>
          <w:numId w:val="20"/>
        </w:numPr>
        <w:tabs>
          <w:tab w:val="clear" w:pos="0"/>
          <w:tab w:val="clear" w:pos="4201"/>
          <w:tab w:val="clear" w:pos="9298"/>
        </w:tabs>
        <w:ind w:firstLineChars="0"/>
        <w:jc w:val="left"/>
        <w:rPr>
          <w:szCs w:val="21"/>
          <w:u w:val="single"/>
        </w:rPr>
      </w:pPr>
      <w:r>
        <w:rPr>
          <w:rFonts w:hint="eastAsia"/>
          <w:szCs w:val="21"/>
        </w:rPr>
        <w:t>综合机箱箱顶应有斜度，箱顶不应有积水的沟槽。所有箱门、壁板、顶盖为双层结构，层间敷设保温隔热材料，具有阻隔阳光辐射热的效果。</w:t>
      </w:r>
    </w:p>
    <w:p>
      <w:pPr>
        <w:pStyle w:val="53"/>
        <w:numPr>
          <w:ilvl w:val="1"/>
          <w:numId w:val="20"/>
        </w:numPr>
        <w:spacing w:before="156" w:after="156"/>
        <w:outlineLvl w:val="1"/>
      </w:pPr>
      <w:bookmarkStart w:id="513" w:name="_Toc6895"/>
      <w:bookmarkStart w:id="514" w:name="_Toc30298"/>
      <w:bookmarkStart w:id="515" w:name="_Toc23419"/>
      <w:bookmarkStart w:id="516" w:name="_Toc26526"/>
      <w:bookmarkStart w:id="517" w:name="_Toc145"/>
      <w:bookmarkStart w:id="518" w:name="_Toc24484"/>
      <w:bookmarkStart w:id="519" w:name="_Toc13963"/>
      <w:bookmarkStart w:id="520" w:name="_Toc24249"/>
      <w:bookmarkStart w:id="521" w:name="_Toc8841"/>
      <w:r>
        <w:rPr>
          <w:rFonts w:hint="eastAsia"/>
        </w:rPr>
        <w:t>综合机房</w:t>
      </w:r>
      <w:bookmarkEnd w:id="513"/>
      <w:bookmarkEnd w:id="514"/>
      <w:bookmarkEnd w:id="515"/>
      <w:bookmarkEnd w:id="516"/>
      <w:bookmarkEnd w:id="517"/>
      <w:bookmarkEnd w:id="518"/>
      <w:bookmarkEnd w:id="519"/>
      <w:bookmarkEnd w:id="520"/>
      <w:bookmarkEnd w:id="521"/>
    </w:p>
    <w:p>
      <w:pPr>
        <w:pStyle w:val="26"/>
        <w:numPr>
          <w:ilvl w:val="2"/>
          <w:numId w:val="20"/>
        </w:numPr>
        <w:tabs>
          <w:tab w:val="clear" w:pos="0"/>
          <w:tab w:val="clear" w:pos="4201"/>
          <w:tab w:val="clear" w:pos="9298"/>
        </w:tabs>
        <w:ind w:firstLineChars="0"/>
        <w:rPr>
          <w:szCs w:val="21"/>
        </w:rPr>
      </w:pPr>
      <w:r>
        <w:rPr>
          <w:rFonts w:hint="eastAsia"/>
          <w:szCs w:val="21"/>
        </w:rPr>
        <w:t>应考虑综合机房运行的安全性和稳定性，综合机房的选址应符合以下规定：</w:t>
      </w:r>
    </w:p>
    <w:p>
      <w:pPr>
        <w:pStyle w:val="26"/>
        <w:numPr>
          <w:ilvl w:val="0"/>
          <w:numId w:val="23"/>
        </w:numPr>
        <w:tabs>
          <w:tab w:val="clear" w:pos="4201"/>
          <w:tab w:val="clear" w:pos="9298"/>
        </w:tabs>
        <w:ind w:left="840" w:firstLineChars="0"/>
        <w:rPr>
          <w:szCs w:val="21"/>
        </w:rPr>
      </w:pPr>
      <w:r>
        <w:rPr>
          <w:szCs w:val="21"/>
        </w:rPr>
        <w:t>应综合考虑地理环境、行政区划、业务和道路的分布、网络组网的合理性和管理维护的便利性等因素，优先设置在业务区域的中心位置；</w:t>
      </w:r>
    </w:p>
    <w:p>
      <w:pPr>
        <w:pStyle w:val="26"/>
        <w:numPr>
          <w:ilvl w:val="0"/>
          <w:numId w:val="23"/>
        </w:numPr>
        <w:tabs>
          <w:tab w:val="clear" w:pos="4201"/>
          <w:tab w:val="clear" w:pos="9298"/>
        </w:tabs>
        <w:ind w:left="840" w:firstLineChars="0"/>
        <w:rPr>
          <w:szCs w:val="21"/>
        </w:rPr>
      </w:pPr>
      <w:r>
        <w:rPr>
          <w:szCs w:val="21"/>
        </w:rPr>
        <w:t>应优先设置在公用设施用地范围内；</w:t>
      </w:r>
    </w:p>
    <w:p>
      <w:pPr>
        <w:pStyle w:val="26"/>
        <w:numPr>
          <w:ilvl w:val="0"/>
          <w:numId w:val="23"/>
        </w:numPr>
        <w:tabs>
          <w:tab w:val="clear" w:pos="4201"/>
          <w:tab w:val="clear" w:pos="9298"/>
        </w:tabs>
        <w:ind w:left="840" w:firstLineChars="0"/>
        <w:rPr>
          <w:szCs w:val="21"/>
        </w:rPr>
      </w:pPr>
      <w:r>
        <w:rPr>
          <w:szCs w:val="21"/>
        </w:rPr>
        <w:t>应优先设置在主干管道附近；</w:t>
      </w:r>
    </w:p>
    <w:p>
      <w:pPr>
        <w:pStyle w:val="26"/>
        <w:numPr>
          <w:ilvl w:val="0"/>
          <w:numId w:val="23"/>
        </w:numPr>
        <w:tabs>
          <w:tab w:val="clear" w:pos="4201"/>
          <w:tab w:val="clear" w:pos="9298"/>
        </w:tabs>
        <w:ind w:left="840" w:firstLineChars="0"/>
        <w:rPr>
          <w:szCs w:val="21"/>
        </w:rPr>
      </w:pPr>
      <w:r>
        <w:rPr>
          <w:szCs w:val="21"/>
        </w:rPr>
        <w:t>电力供给应充足可靠，通信应快速畅通，交通应便捷；</w:t>
      </w:r>
    </w:p>
    <w:p>
      <w:pPr>
        <w:pStyle w:val="26"/>
        <w:numPr>
          <w:ilvl w:val="0"/>
          <w:numId w:val="23"/>
        </w:numPr>
        <w:tabs>
          <w:tab w:val="clear" w:pos="4201"/>
          <w:tab w:val="clear" w:pos="9298"/>
        </w:tabs>
        <w:ind w:left="840" w:firstLineChars="0"/>
        <w:rPr>
          <w:szCs w:val="21"/>
        </w:rPr>
      </w:pPr>
      <w:r>
        <w:rPr>
          <w:szCs w:val="21"/>
        </w:rPr>
        <w:t>应远离产生粉尘、油烟、有害气体以及生产或贮存具有腐蚀性、易燃易爆物品的场所；</w:t>
      </w:r>
    </w:p>
    <w:p>
      <w:pPr>
        <w:pStyle w:val="26"/>
        <w:numPr>
          <w:ilvl w:val="0"/>
          <w:numId w:val="23"/>
        </w:numPr>
        <w:tabs>
          <w:tab w:val="clear" w:pos="4201"/>
          <w:tab w:val="clear" w:pos="9298"/>
        </w:tabs>
        <w:ind w:left="840" w:firstLineChars="0"/>
        <w:rPr>
          <w:szCs w:val="21"/>
        </w:rPr>
      </w:pPr>
      <w:r>
        <w:rPr>
          <w:szCs w:val="21"/>
        </w:rPr>
        <w:t>应远离水灾、地震等自然灾害隐患区域；</w:t>
      </w:r>
    </w:p>
    <w:p>
      <w:pPr>
        <w:pStyle w:val="26"/>
        <w:numPr>
          <w:ilvl w:val="0"/>
          <w:numId w:val="23"/>
        </w:numPr>
        <w:tabs>
          <w:tab w:val="clear" w:pos="4201"/>
          <w:tab w:val="clear" w:pos="9298"/>
        </w:tabs>
        <w:ind w:left="840" w:firstLineChars="0"/>
        <w:rPr>
          <w:szCs w:val="21"/>
        </w:rPr>
      </w:pPr>
      <w:r>
        <w:rPr>
          <w:szCs w:val="21"/>
        </w:rPr>
        <w:t>应远离强振源和强噪声源；</w:t>
      </w:r>
    </w:p>
    <w:p>
      <w:pPr>
        <w:pStyle w:val="26"/>
        <w:numPr>
          <w:ilvl w:val="0"/>
          <w:numId w:val="23"/>
        </w:numPr>
        <w:tabs>
          <w:tab w:val="clear" w:pos="4201"/>
          <w:tab w:val="clear" w:pos="9298"/>
        </w:tabs>
        <w:ind w:left="840" w:firstLineChars="0"/>
        <w:rPr>
          <w:szCs w:val="21"/>
        </w:rPr>
      </w:pPr>
      <w:r>
        <w:rPr>
          <w:szCs w:val="21"/>
        </w:rPr>
        <w:t>应避开强电磁场干扰。</w:t>
      </w:r>
    </w:p>
    <w:p>
      <w:pPr>
        <w:pStyle w:val="26"/>
        <w:numPr>
          <w:ilvl w:val="2"/>
          <w:numId w:val="20"/>
        </w:numPr>
        <w:tabs>
          <w:tab w:val="clear" w:pos="0"/>
          <w:tab w:val="clear" w:pos="4201"/>
          <w:tab w:val="clear" w:pos="9298"/>
        </w:tabs>
        <w:ind w:firstLineChars="0"/>
        <w:rPr>
          <w:szCs w:val="21"/>
        </w:rPr>
      </w:pPr>
      <w:r>
        <w:rPr>
          <w:rFonts w:hint="eastAsia"/>
          <w:szCs w:val="21"/>
        </w:rPr>
        <w:t>综合机房的设计、面积、消防、装修应符合《数据中心设计规范》GB 50174、《通信建筑工程设计规范》YD 5003的相关规定。</w:t>
      </w:r>
    </w:p>
    <w:p>
      <w:pPr>
        <w:pStyle w:val="26"/>
        <w:numPr>
          <w:ilvl w:val="2"/>
          <w:numId w:val="20"/>
        </w:numPr>
        <w:tabs>
          <w:tab w:val="clear" w:pos="0"/>
          <w:tab w:val="clear" w:pos="4201"/>
          <w:tab w:val="clear" w:pos="9298"/>
        </w:tabs>
        <w:ind w:firstLineChars="0"/>
        <w:rPr>
          <w:szCs w:val="21"/>
        </w:rPr>
      </w:pPr>
      <w:r>
        <w:rPr>
          <w:szCs w:val="21"/>
        </w:rPr>
        <w:t>当</w:t>
      </w:r>
      <w:r>
        <w:rPr>
          <w:rFonts w:hint="eastAsia"/>
          <w:szCs w:val="21"/>
        </w:rPr>
        <w:t>综合机房</w:t>
      </w:r>
      <w:r>
        <w:rPr>
          <w:szCs w:val="21"/>
        </w:rPr>
        <w:t>作为独立建筑时，建筑物防雷</w:t>
      </w:r>
      <w:r>
        <w:rPr>
          <w:rFonts w:hint="eastAsia"/>
          <w:szCs w:val="21"/>
        </w:rPr>
        <w:t>应符合《建筑物防雷设计规范》</w:t>
      </w:r>
      <w:r>
        <w:rPr>
          <w:szCs w:val="21"/>
        </w:rPr>
        <w:t>GB</w:t>
      </w:r>
      <w:r>
        <w:rPr>
          <w:rFonts w:hint="eastAsia"/>
          <w:szCs w:val="21"/>
        </w:rPr>
        <w:t xml:space="preserve"> </w:t>
      </w:r>
      <w:r>
        <w:rPr>
          <w:szCs w:val="21"/>
        </w:rPr>
        <w:t>50057的规定</w:t>
      </w:r>
      <w:r>
        <w:rPr>
          <w:rFonts w:hint="eastAsia"/>
          <w:szCs w:val="21"/>
        </w:rPr>
        <w:t>，机房与架空电力线路之间的安全距离应符合《城市电力规划规范》GB/T 50293的规定</w:t>
      </w:r>
      <w:r>
        <w:rPr>
          <w:szCs w:val="21"/>
        </w:rPr>
        <w:t>。</w:t>
      </w:r>
    </w:p>
    <w:p>
      <w:pPr>
        <w:pStyle w:val="26"/>
        <w:numPr>
          <w:ilvl w:val="2"/>
          <w:numId w:val="20"/>
        </w:numPr>
        <w:tabs>
          <w:tab w:val="clear" w:pos="0"/>
          <w:tab w:val="clear" w:pos="4201"/>
          <w:tab w:val="clear" w:pos="9298"/>
        </w:tabs>
        <w:ind w:firstLineChars="0"/>
        <w:rPr>
          <w:szCs w:val="21"/>
        </w:rPr>
      </w:pPr>
      <w:r>
        <w:rPr>
          <w:rFonts w:hint="eastAsia"/>
          <w:szCs w:val="21"/>
        </w:rPr>
        <w:t>当综合机房</w:t>
      </w:r>
      <w:r>
        <w:rPr>
          <w:szCs w:val="21"/>
        </w:rPr>
        <w:t>位于建筑物内时</w:t>
      </w:r>
      <w:r>
        <w:rPr>
          <w:rFonts w:hint="eastAsia"/>
          <w:szCs w:val="21"/>
        </w:rPr>
        <w:t>，综合机房防雷</w:t>
      </w:r>
      <w:r>
        <w:rPr>
          <w:szCs w:val="21"/>
        </w:rPr>
        <w:t>应符合</w:t>
      </w:r>
      <w:r>
        <w:rPr>
          <w:rFonts w:hint="eastAsia"/>
          <w:szCs w:val="21"/>
        </w:rPr>
        <w:t>《建筑物电子信息系统防雷技术规范》</w:t>
      </w:r>
      <w:r>
        <w:rPr>
          <w:szCs w:val="21"/>
        </w:rPr>
        <w:t>GB/T 50343的规定。</w:t>
      </w:r>
    </w:p>
    <w:p>
      <w:pPr>
        <w:pStyle w:val="26"/>
        <w:numPr>
          <w:ilvl w:val="2"/>
          <w:numId w:val="20"/>
        </w:numPr>
        <w:tabs>
          <w:tab w:val="clear" w:pos="0"/>
          <w:tab w:val="clear" w:pos="4201"/>
          <w:tab w:val="clear" w:pos="9298"/>
        </w:tabs>
        <w:ind w:firstLineChars="0"/>
        <w:rPr>
          <w:szCs w:val="21"/>
        </w:rPr>
      </w:pPr>
      <w:r>
        <w:rPr>
          <w:szCs w:val="21"/>
        </w:rPr>
        <w:t>综合机房应根据机房位置合理设置独立的电缆、光缆等线缆孔洞</w:t>
      </w:r>
      <w:r>
        <w:rPr>
          <w:rFonts w:hint="eastAsia"/>
          <w:szCs w:val="21"/>
        </w:rPr>
        <w:t>，</w:t>
      </w:r>
      <w:r>
        <w:rPr>
          <w:szCs w:val="21"/>
        </w:rPr>
        <w:t>所有进出综合机房的孔洞应按《通信建设工程安全生产操作规范》YD 5201的规定进行封堵</w:t>
      </w:r>
      <w:r>
        <w:rPr>
          <w:rFonts w:hint="eastAsia"/>
          <w:szCs w:val="21"/>
        </w:rPr>
        <w:t>。</w:t>
      </w:r>
    </w:p>
    <w:p>
      <w:pPr>
        <w:pStyle w:val="26"/>
        <w:numPr>
          <w:ilvl w:val="2"/>
          <w:numId w:val="20"/>
        </w:numPr>
        <w:tabs>
          <w:tab w:val="clear" w:pos="0"/>
          <w:tab w:val="clear" w:pos="4201"/>
          <w:tab w:val="clear" w:pos="9298"/>
        </w:tabs>
        <w:ind w:firstLineChars="0"/>
        <w:rPr>
          <w:szCs w:val="21"/>
        </w:rPr>
      </w:pPr>
      <w:r>
        <w:rPr>
          <w:szCs w:val="21"/>
        </w:rPr>
        <w:t>与</w:t>
      </w:r>
      <w:r>
        <w:rPr>
          <w:rFonts w:hint="eastAsia"/>
          <w:szCs w:val="21"/>
        </w:rPr>
        <w:t>综合</w:t>
      </w:r>
      <w:r>
        <w:rPr>
          <w:szCs w:val="21"/>
        </w:rPr>
        <w:t>机房无关的水管不宜从机房内穿过。</w:t>
      </w:r>
    </w:p>
    <w:p>
      <w:pPr>
        <w:pStyle w:val="26"/>
        <w:numPr>
          <w:ilvl w:val="2"/>
          <w:numId w:val="20"/>
        </w:numPr>
        <w:tabs>
          <w:tab w:val="clear" w:pos="0"/>
          <w:tab w:val="clear" w:pos="4201"/>
          <w:tab w:val="clear" w:pos="9298"/>
        </w:tabs>
        <w:ind w:firstLineChars="0"/>
        <w:rPr>
          <w:rFonts w:cs="宋体"/>
          <w:szCs w:val="21"/>
        </w:rPr>
      </w:pPr>
      <w:r>
        <w:rPr>
          <w:rFonts w:cs="宋体"/>
          <w:szCs w:val="21"/>
        </w:rPr>
        <w:t>机房出入口应配置电子门禁系统，并通过专人值守、视频监控等方式做好防盗措施。</w:t>
      </w:r>
    </w:p>
    <w:p>
      <w:pPr>
        <w:rPr>
          <w:szCs w:val="28"/>
        </w:rPr>
      </w:pPr>
      <w:bookmarkStart w:id="522" w:name="_Toc5342"/>
      <w:bookmarkStart w:id="523" w:name="_Toc5070"/>
      <w:bookmarkStart w:id="524" w:name="_Toc9681"/>
      <w:bookmarkStart w:id="525" w:name="_Toc23867"/>
      <w:bookmarkStart w:id="526" w:name="_Toc25266"/>
      <w:bookmarkStart w:id="527" w:name="_Toc14323"/>
      <w:bookmarkStart w:id="528" w:name="_Toc7222"/>
      <w:r>
        <w:rPr>
          <w:rFonts w:hint="eastAsia"/>
          <w:szCs w:val="28"/>
        </w:rPr>
        <w:br w:type="page"/>
      </w:r>
    </w:p>
    <w:p>
      <w:pPr>
        <w:pStyle w:val="85"/>
        <w:numPr>
          <w:ilvl w:val="0"/>
          <w:numId w:val="20"/>
        </w:numPr>
        <w:spacing w:before="312" w:after="312"/>
        <w:outlineLvl w:val="0"/>
      </w:pPr>
      <w:bookmarkStart w:id="529" w:name="_Toc31656"/>
      <w:bookmarkStart w:id="530" w:name="_Toc23176"/>
      <w:r>
        <w:rPr>
          <w:rFonts w:hint="eastAsia"/>
        </w:rPr>
        <w:t>系统平台</w:t>
      </w:r>
      <w:bookmarkEnd w:id="522"/>
      <w:bookmarkEnd w:id="523"/>
      <w:bookmarkEnd w:id="524"/>
      <w:bookmarkEnd w:id="525"/>
      <w:bookmarkEnd w:id="526"/>
      <w:bookmarkEnd w:id="527"/>
      <w:bookmarkEnd w:id="528"/>
      <w:bookmarkEnd w:id="529"/>
      <w:bookmarkEnd w:id="530"/>
    </w:p>
    <w:p>
      <w:pPr>
        <w:pStyle w:val="53"/>
        <w:numPr>
          <w:ilvl w:val="1"/>
          <w:numId w:val="20"/>
        </w:numPr>
        <w:spacing w:before="156" w:after="156"/>
        <w:outlineLvl w:val="1"/>
      </w:pPr>
      <w:bookmarkStart w:id="531" w:name="_Toc24090"/>
      <w:bookmarkStart w:id="532" w:name="_Toc4303"/>
      <w:bookmarkStart w:id="533" w:name="_Toc29906"/>
      <w:bookmarkStart w:id="534" w:name="_Toc8676"/>
      <w:bookmarkStart w:id="535" w:name="_Toc1747"/>
      <w:bookmarkStart w:id="536" w:name="_Toc1728"/>
      <w:bookmarkStart w:id="537" w:name="_Toc15326"/>
      <w:bookmarkStart w:id="538" w:name="_Toc8559"/>
      <w:r>
        <w:rPr>
          <w:rFonts w:hint="eastAsia"/>
        </w:rPr>
        <w:t>平台功能</w:t>
      </w:r>
      <w:bookmarkEnd w:id="531"/>
      <w:bookmarkEnd w:id="532"/>
      <w:bookmarkEnd w:id="533"/>
      <w:bookmarkEnd w:id="534"/>
      <w:bookmarkEnd w:id="535"/>
      <w:bookmarkEnd w:id="536"/>
      <w:bookmarkEnd w:id="537"/>
      <w:bookmarkEnd w:id="538"/>
    </w:p>
    <w:p>
      <w:pPr>
        <w:pStyle w:val="49"/>
        <w:numPr>
          <w:ilvl w:val="2"/>
          <w:numId w:val="20"/>
        </w:numPr>
        <w:tabs>
          <w:tab w:val="center" w:pos="4201"/>
          <w:tab w:val="right" w:leader="dot" w:pos="9298"/>
        </w:tabs>
      </w:pPr>
      <w:r>
        <w:rPr>
          <w:u w:color="4F81BD"/>
        </w:rPr>
        <w:t>系统平台应具备组织机构资源的管理功能，包括组织机构的添加、删除和修改功能，添加删除任意节点和设备功能，修改编辑节点和设备的设置和属性功能等。</w:t>
      </w:r>
    </w:p>
    <w:p>
      <w:pPr>
        <w:pStyle w:val="49"/>
        <w:numPr>
          <w:ilvl w:val="2"/>
          <w:numId w:val="20"/>
        </w:numPr>
        <w:tabs>
          <w:tab w:val="center" w:pos="4201"/>
          <w:tab w:val="right" w:leader="dot" w:pos="9298"/>
        </w:tabs>
        <w:rPr>
          <w:u w:color="4F81BD"/>
        </w:rPr>
      </w:pPr>
      <w:r>
        <w:rPr>
          <w:u w:color="4F81BD"/>
        </w:rPr>
        <w:t>系统平台应具备对杆件及各挂载设备的标识、状态、用户信息采集等功能，实现实时显示杆件和设备的关键数据信息等功能。</w:t>
      </w:r>
    </w:p>
    <w:p>
      <w:pPr>
        <w:pStyle w:val="49"/>
        <w:numPr>
          <w:ilvl w:val="2"/>
          <w:numId w:val="20"/>
        </w:numPr>
        <w:tabs>
          <w:tab w:val="center" w:pos="4201"/>
          <w:tab w:val="right" w:leader="dot" w:pos="9298"/>
        </w:tabs>
        <w:rPr>
          <w:u w:color="4F81BD"/>
        </w:rPr>
      </w:pPr>
      <w:r>
        <w:rPr>
          <w:u w:color="4F81BD"/>
        </w:rPr>
        <w:t>系统平台应具备电子地图管理功能，结合GIS（地理信息系统）将所有杆件位置信息载入管理平台，形成站点地图。实现对智慧灯杆的资产统计、精准定位及追溯；可实现单控、组控、群控、地图圈定区域控制等多种控制方式。</w:t>
      </w:r>
    </w:p>
    <w:p>
      <w:pPr>
        <w:pStyle w:val="49"/>
        <w:numPr>
          <w:ilvl w:val="2"/>
          <w:numId w:val="20"/>
        </w:numPr>
        <w:tabs>
          <w:tab w:val="center" w:pos="4201"/>
          <w:tab w:val="right" w:leader="dot" w:pos="9298"/>
        </w:tabs>
        <w:rPr>
          <w:u w:color="4F81BD"/>
        </w:rPr>
      </w:pPr>
      <w:r>
        <w:t xml:space="preserve"> </w:t>
      </w:r>
      <w:r>
        <w:rPr>
          <w:u w:color="4F81BD"/>
        </w:rPr>
        <w:t>系统平台应具备完备的操作日志保存和日志管理功能，对平台管理服务器和各类服务器以及前端设备的设置、修改，资料的删除等进行完整记录。</w:t>
      </w:r>
    </w:p>
    <w:p>
      <w:pPr>
        <w:pStyle w:val="49"/>
        <w:numPr>
          <w:ilvl w:val="2"/>
          <w:numId w:val="20"/>
        </w:numPr>
        <w:tabs>
          <w:tab w:val="center" w:pos="4201"/>
          <w:tab w:val="right" w:leader="dot" w:pos="9298"/>
        </w:tabs>
      </w:pPr>
      <w:r>
        <w:rPr>
          <w:u w:color="4F81BD"/>
        </w:rPr>
        <w:t>系统平台应具备统一的认证、授权管理机制。对于不同的管理者分配不同的管理角色，提供不同的管理界面，对访问者进行身份码和密码双重认证。</w:t>
      </w:r>
      <w:r>
        <w:rPr>
          <w:rFonts w:hint="eastAsia"/>
        </w:rPr>
        <w:t>权限管理应符合以下规定：</w:t>
      </w:r>
    </w:p>
    <w:p>
      <w:pPr>
        <w:pStyle w:val="26"/>
        <w:numPr>
          <w:ilvl w:val="0"/>
          <w:numId w:val="24"/>
        </w:numPr>
        <w:tabs>
          <w:tab w:val="clear" w:pos="4201"/>
          <w:tab w:val="clear" w:pos="9298"/>
        </w:tabs>
        <w:ind w:left="845" w:firstLineChars="0"/>
      </w:pPr>
      <w:r>
        <w:rPr>
          <w:rFonts w:hint="eastAsia"/>
        </w:rPr>
        <w:t>权限配置可分为三部分:用户、部门、角色，不同用户可设置所属部门和隶属角色。</w:t>
      </w:r>
    </w:p>
    <w:p>
      <w:pPr>
        <w:pStyle w:val="26"/>
        <w:numPr>
          <w:ilvl w:val="0"/>
          <w:numId w:val="24"/>
        </w:numPr>
        <w:tabs>
          <w:tab w:val="clear" w:pos="4201"/>
          <w:tab w:val="clear" w:pos="9298"/>
        </w:tabs>
        <w:ind w:left="845" w:firstLineChars="0"/>
      </w:pPr>
      <w:r>
        <w:rPr>
          <w:rFonts w:hint="eastAsia"/>
        </w:rPr>
        <w:t>应根据用户优先级为优先级高的用户提供优先使用权。用户权限可在线进行授权、转移和取消。</w:t>
      </w:r>
    </w:p>
    <w:p>
      <w:pPr>
        <w:pStyle w:val="26"/>
        <w:numPr>
          <w:ilvl w:val="0"/>
          <w:numId w:val="24"/>
        </w:numPr>
        <w:tabs>
          <w:tab w:val="clear" w:pos="4201"/>
          <w:tab w:val="clear" w:pos="9298"/>
        </w:tabs>
        <w:ind w:left="845" w:firstLineChars="0"/>
        <w:rPr>
          <w:u w:color="4F81BD"/>
        </w:rPr>
      </w:pPr>
      <w:r>
        <w:rPr>
          <w:rFonts w:hint="eastAsia"/>
        </w:rPr>
        <w:t>角色权限配置应支持针对功能进行授权，包括控制模块的权限、查看系统日志权限、设备广播权限等。</w:t>
      </w:r>
    </w:p>
    <w:p>
      <w:pPr>
        <w:pStyle w:val="49"/>
        <w:numPr>
          <w:ilvl w:val="2"/>
          <w:numId w:val="20"/>
        </w:numPr>
        <w:tabs>
          <w:tab w:val="center" w:pos="4201"/>
          <w:tab w:val="right" w:leader="dot" w:pos="9298"/>
        </w:tabs>
        <w:rPr>
          <w:u w:color="4F81BD"/>
        </w:rPr>
      </w:pPr>
      <w:r>
        <w:rPr>
          <w:u w:color="4F81BD"/>
        </w:rPr>
        <w:t xml:space="preserve">系统平台应具备实时监听报警信息，接收各设备上报的告警和故障通知，并提供故障告警级别分类等功能。 </w:t>
      </w:r>
    </w:p>
    <w:p>
      <w:pPr>
        <w:pStyle w:val="49"/>
        <w:numPr>
          <w:ilvl w:val="2"/>
          <w:numId w:val="20"/>
        </w:numPr>
        <w:tabs>
          <w:tab w:val="center" w:pos="4201"/>
          <w:tab w:val="right" w:leader="dot" w:pos="9298"/>
        </w:tabs>
        <w:rPr>
          <w:u w:color="4F81BD"/>
        </w:rPr>
      </w:pPr>
      <w:r>
        <w:rPr>
          <w:u w:color="4F81BD"/>
        </w:rPr>
        <w:t>平台设备通信发生中断时，应能够保证在断网离线的状态下按设定的计划和模式正常工作。不同故障宜定义不同故障登记，并配置组合不同的报警提醒方式。</w:t>
      </w:r>
    </w:p>
    <w:p>
      <w:pPr>
        <w:pStyle w:val="49"/>
        <w:numPr>
          <w:ilvl w:val="2"/>
          <w:numId w:val="20"/>
        </w:numPr>
        <w:tabs>
          <w:tab w:val="center" w:pos="4201"/>
          <w:tab w:val="right" w:leader="dot" w:pos="9298"/>
        </w:tabs>
        <w:rPr>
          <w:u w:color="4F81BD"/>
        </w:rPr>
      </w:pPr>
      <w:r>
        <w:rPr>
          <w:rFonts w:hint="eastAsia"/>
          <w:u w:color="4F81BD"/>
        </w:rPr>
        <w:t>系统平台应具备自动校时与手动校时功能，提高设备管理、数据采集的时间记录正确性。</w:t>
      </w:r>
    </w:p>
    <w:p>
      <w:bookmarkStart w:id="539" w:name="_Toc30797"/>
      <w:bookmarkStart w:id="540" w:name="_Toc2606"/>
      <w:bookmarkStart w:id="541" w:name="_Toc1335"/>
      <w:bookmarkStart w:id="542" w:name="_Toc14951"/>
      <w:bookmarkStart w:id="543" w:name="_Toc524077718"/>
      <w:bookmarkStart w:id="544" w:name="_Toc22116"/>
      <w:bookmarkStart w:id="545" w:name="_Toc3427"/>
      <w:bookmarkStart w:id="546" w:name="_Toc30635"/>
      <w:bookmarkStart w:id="547" w:name="_Toc7077"/>
      <w:r>
        <w:br w:type="page"/>
      </w:r>
    </w:p>
    <w:p>
      <w:pPr>
        <w:pStyle w:val="53"/>
        <w:numPr>
          <w:ilvl w:val="1"/>
          <w:numId w:val="20"/>
        </w:numPr>
        <w:spacing w:before="156" w:after="156"/>
        <w:outlineLvl w:val="1"/>
      </w:pPr>
      <w:bookmarkStart w:id="548" w:name="_Toc1954"/>
      <w:bookmarkStart w:id="549" w:name="_Toc3481"/>
      <w:r>
        <w:t>信息安全</w:t>
      </w:r>
      <w:bookmarkEnd w:id="539"/>
      <w:bookmarkEnd w:id="540"/>
      <w:bookmarkEnd w:id="541"/>
      <w:bookmarkEnd w:id="542"/>
      <w:bookmarkEnd w:id="543"/>
      <w:bookmarkEnd w:id="544"/>
      <w:bookmarkEnd w:id="545"/>
      <w:bookmarkEnd w:id="546"/>
      <w:bookmarkEnd w:id="547"/>
      <w:bookmarkEnd w:id="548"/>
      <w:bookmarkEnd w:id="549"/>
    </w:p>
    <w:p>
      <w:pPr>
        <w:pStyle w:val="49"/>
        <w:numPr>
          <w:ilvl w:val="2"/>
          <w:numId w:val="20"/>
        </w:numPr>
        <w:tabs>
          <w:tab w:val="center" w:pos="4201"/>
          <w:tab w:val="right" w:leader="dot" w:pos="9298"/>
        </w:tabs>
        <w:rPr>
          <w:u w:color="4F81BD"/>
        </w:rPr>
      </w:pPr>
      <w:r>
        <w:rPr>
          <w:u w:color="4F81BD"/>
        </w:rPr>
        <w:t>智慧灯杆所承载的信息化设备本身接收或传播大量数据，建设过程中必须考虑其数据信息安全。</w:t>
      </w:r>
    </w:p>
    <w:p>
      <w:pPr>
        <w:pStyle w:val="49"/>
        <w:numPr>
          <w:ilvl w:val="2"/>
          <w:numId w:val="20"/>
        </w:numPr>
        <w:tabs>
          <w:tab w:val="center" w:pos="4201"/>
          <w:tab w:val="right" w:leader="dot" w:pos="9298"/>
        </w:tabs>
        <w:rPr>
          <w:u w:color="4F81BD"/>
        </w:rPr>
      </w:pPr>
      <w:r>
        <w:rPr>
          <w:u w:color="4F81BD"/>
        </w:rPr>
        <w:t>信息安全设计及管理应严格执行</w:t>
      </w:r>
      <w:r>
        <w:rPr>
          <w:rFonts w:hint="eastAsia"/>
          <w:u w:color="4F81BD"/>
        </w:rPr>
        <w:t>《软件工程 软件产品质量要求与评价（SQuaRE）SQuaRE指南》</w:t>
      </w:r>
      <w:r>
        <w:rPr>
          <w:u w:color="4F81BD"/>
        </w:rPr>
        <w:t>GB/T 25000.1、</w:t>
      </w:r>
      <w:r>
        <w:rPr>
          <w:rFonts w:hint="eastAsia"/>
          <w:u w:color="4F81BD"/>
        </w:rPr>
        <w:t>《信息安全技术 网络安全等级保护基本要求》</w:t>
      </w:r>
      <w:r>
        <w:rPr>
          <w:u w:color="4F81BD"/>
        </w:rPr>
        <w:t>GB/T 22239、</w:t>
      </w:r>
      <w:r>
        <w:rPr>
          <w:rFonts w:hint="eastAsia"/>
          <w:u w:color="4F81BD"/>
        </w:rPr>
        <w:t>《信息安全技术 信息系统安全管理要求》</w:t>
      </w:r>
      <w:r>
        <w:rPr>
          <w:u w:color="4F81BD"/>
        </w:rPr>
        <w:t>GB/T20269和</w:t>
      </w:r>
      <w:r>
        <w:rPr>
          <w:rFonts w:hint="eastAsia"/>
          <w:u w:color="4F81BD"/>
        </w:rPr>
        <w:t>《信息安全技术 信息系统安全工程管理要求》</w:t>
      </w:r>
      <w:r>
        <w:rPr>
          <w:u w:color="4F81BD"/>
        </w:rPr>
        <w:t>GB/T20282及中华人民共和国公安部第82号令等国家安全标准的有关规定，</w:t>
      </w:r>
      <w:r>
        <w:rPr>
          <w:rFonts w:hint="eastAsia"/>
          <w:u w:color="4F81BD"/>
        </w:rPr>
        <w:t>信息安全保护等级要求不低于二级，</w:t>
      </w:r>
      <w:r>
        <w:rPr>
          <w:u w:color="4F81BD"/>
        </w:rPr>
        <w:t>确保整体及各模块的运行安全发和信息安全。</w:t>
      </w:r>
    </w:p>
    <w:p>
      <w:pPr>
        <w:pStyle w:val="49"/>
        <w:numPr>
          <w:ilvl w:val="2"/>
          <w:numId w:val="20"/>
        </w:numPr>
        <w:tabs>
          <w:tab w:val="center" w:pos="4201"/>
          <w:tab w:val="right" w:leader="dot" w:pos="9298"/>
        </w:tabs>
        <w:rPr>
          <w:u w:color="4F81BD"/>
        </w:rPr>
      </w:pPr>
      <w:r>
        <w:rPr>
          <w:rFonts w:hint="eastAsia"/>
          <w:u w:color="4F81BD"/>
        </w:rPr>
        <w:t>应</w:t>
      </w:r>
      <w:r>
        <w:rPr>
          <w:u w:color="4F81BD"/>
        </w:rPr>
        <w:t>建立信息安全应急响应机制，制定应急预案，定期演练、重新评估和完善应急响应机制</w:t>
      </w:r>
      <w:r>
        <w:rPr>
          <w:rFonts w:hint="eastAsia"/>
          <w:u w:color="4F81BD"/>
        </w:rPr>
        <w:t>。</w:t>
      </w:r>
    </w:p>
    <w:p>
      <w:pPr>
        <w:pStyle w:val="53"/>
        <w:numPr>
          <w:ilvl w:val="1"/>
          <w:numId w:val="20"/>
        </w:numPr>
        <w:spacing w:before="156" w:after="156"/>
        <w:outlineLvl w:val="1"/>
      </w:pPr>
      <w:bookmarkStart w:id="550" w:name="_Toc19897"/>
      <w:bookmarkStart w:id="551" w:name="_Toc32564"/>
      <w:bookmarkStart w:id="552" w:name="_Toc524077719"/>
      <w:bookmarkStart w:id="553" w:name="_Toc20526"/>
      <w:bookmarkStart w:id="554" w:name="_Toc22299"/>
      <w:bookmarkStart w:id="555" w:name="_Toc24746"/>
      <w:bookmarkStart w:id="556" w:name="_Toc5556"/>
      <w:bookmarkStart w:id="557" w:name="_Toc7431"/>
      <w:bookmarkStart w:id="558" w:name="_Toc13032"/>
      <w:bookmarkStart w:id="559" w:name="_Toc2720"/>
      <w:bookmarkStart w:id="560" w:name="_Toc17112"/>
      <w:r>
        <w:t>数据共享</w:t>
      </w:r>
      <w:bookmarkEnd w:id="550"/>
      <w:bookmarkEnd w:id="551"/>
      <w:bookmarkEnd w:id="552"/>
      <w:bookmarkEnd w:id="553"/>
      <w:bookmarkEnd w:id="554"/>
      <w:bookmarkEnd w:id="555"/>
      <w:bookmarkEnd w:id="556"/>
      <w:bookmarkEnd w:id="557"/>
      <w:bookmarkEnd w:id="558"/>
      <w:bookmarkEnd w:id="559"/>
      <w:bookmarkEnd w:id="560"/>
    </w:p>
    <w:p>
      <w:pPr>
        <w:pStyle w:val="49"/>
        <w:numPr>
          <w:ilvl w:val="2"/>
          <w:numId w:val="20"/>
        </w:numPr>
        <w:tabs>
          <w:tab w:val="center" w:pos="4201"/>
          <w:tab w:val="right" w:leader="dot" w:pos="9298"/>
        </w:tabs>
        <w:rPr>
          <w:u w:color="4F81BD"/>
        </w:rPr>
      </w:pPr>
      <w:r>
        <w:rPr>
          <w:u w:color="4F81BD"/>
        </w:rPr>
        <w:t>智慧灯杆系统应具有完善</w:t>
      </w:r>
      <w:r>
        <w:rPr>
          <w:rFonts w:hint="eastAsia"/>
          <w:u w:color="4F81BD"/>
        </w:rPr>
        <w:t>、安全</w:t>
      </w:r>
      <w:r>
        <w:rPr>
          <w:u w:color="4F81BD"/>
        </w:rPr>
        <w:t>的数据共享机制，可实现数据信息高效</w:t>
      </w:r>
      <w:r>
        <w:rPr>
          <w:rFonts w:hint="eastAsia"/>
          <w:u w:color="4F81BD"/>
        </w:rPr>
        <w:t>、</w:t>
      </w:r>
      <w:r>
        <w:rPr>
          <w:u w:color="4F81BD"/>
        </w:rPr>
        <w:t>同步交换</w:t>
      </w:r>
      <w:r>
        <w:rPr>
          <w:rFonts w:hint="eastAsia"/>
          <w:u w:color="4F81BD"/>
        </w:rPr>
        <w:t>，</w:t>
      </w:r>
      <w:r>
        <w:rPr>
          <w:u w:color="4F81BD"/>
        </w:rPr>
        <w:t>满足不同单位的数据共享要求。</w:t>
      </w:r>
    </w:p>
    <w:p>
      <w:pPr>
        <w:pStyle w:val="49"/>
        <w:numPr>
          <w:ilvl w:val="2"/>
          <w:numId w:val="20"/>
        </w:numPr>
        <w:tabs>
          <w:tab w:val="center" w:pos="4201"/>
          <w:tab w:val="right" w:leader="dot" w:pos="9298"/>
        </w:tabs>
        <w:jc w:val="left"/>
        <w:rPr>
          <w:u w:color="4F81BD"/>
        </w:rPr>
      </w:pPr>
      <w:r>
        <w:rPr>
          <w:u w:color="4F81BD"/>
        </w:rPr>
        <w:t>智慧灯杆系统应有完善的资源共享网络安全管理体系</w:t>
      </w:r>
      <w:r>
        <w:rPr>
          <w:rFonts w:hint="eastAsia"/>
          <w:u w:color="4F81BD"/>
        </w:rPr>
        <w:t>，</w:t>
      </w:r>
      <w:r>
        <w:rPr>
          <w:u w:color="4F81BD"/>
        </w:rPr>
        <w:t>内容与数据等</w:t>
      </w:r>
      <w:r>
        <w:rPr>
          <w:rFonts w:hint="eastAsia"/>
          <w:u w:color="4F81BD"/>
        </w:rPr>
        <w:t>需</w:t>
      </w:r>
      <w:r>
        <w:rPr>
          <w:u w:color="4F81BD"/>
        </w:rPr>
        <w:t>经相关主管部门审批的</w:t>
      </w:r>
      <w:r>
        <w:rPr>
          <w:rFonts w:hint="eastAsia"/>
          <w:u w:color="4F81BD"/>
        </w:rPr>
        <w:t>从其规定</w:t>
      </w:r>
      <w:r>
        <w:rPr>
          <w:u w:color="4F81BD"/>
        </w:rPr>
        <w:t>。</w:t>
      </w:r>
    </w:p>
    <w:p>
      <w:bookmarkStart w:id="561" w:name="_Toc13061"/>
      <w:bookmarkStart w:id="562" w:name="_Toc16009"/>
      <w:bookmarkStart w:id="563" w:name="_Toc26917"/>
      <w:bookmarkStart w:id="564" w:name="_Toc304"/>
      <w:bookmarkStart w:id="565" w:name="_Toc4136"/>
      <w:bookmarkStart w:id="566" w:name="_Toc17886"/>
      <w:bookmarkStart w:id="567" w:name="_Toc4052"/>
      <w:bookmarkStart w:id="568" w:name="_Toc13310"/>
      <w:r>
        <w:br w:type="page"/>
      </w:r>
    </w:p>
    <w:p>
      <w:pPr>
        <w:pStyle w:val="85"/>
        <w:numPr>
          <w:ilvl w:val="0"/>
          <w:numId w:val="20"/>
        </w:numPr>
        <w:spacing w:before="312" w:after="312"/>
        <w:outlineLvl w:val="0"/>
      </w:pPr>
      <w:bookmarkStart w:id="569" w:name="_Toc15348"/>
      <w:bookmarkStart w:id="570" w:name="_Toc16449"/>
      <w:r>
        <w:t>建设要求</w:t>
      </w:r>
      <w:bookmarkEnd w:id="561"/>
      <w:bookmarkEnd w:id="562"/>
      <w:bookmarkEnd w:id="563"/>
      <w:bookmarkEnd w:id="564"/>
      <w:bookmarkEnd w:id="565"/>
      <w:bookmarkEnd w:id="566"/>
      <w:bookmarkEnd w:id="567"/>
      <w:bookmarkEnd w:id="568"/>
      <w:bookmarkEnd w:id="569"/>
      <w:bookmarkEnd w:id="570"/>
    </w:p>
    <w:p>
      <w:pPr>
        <w:pStyle w:val="53"/>
        <w:numPr>
          <w:ilvl w:val="1"/>
          <w:numId w:val="20"/>
        </w:numPr>
        <w:spacing w:before="156" w:after="156"/>
        <w:outlineLvl w:val="1"/>
      </w:pPr>
      <w:bookmarkStart w:id="571" w:name="_Toc23885"/>
      <w:bookmarkStart w:id="572" w:name="_Toc24566"/>
      <w:bookmarkStart w:id="573" w:name="_Toc5721"/>
      <w:bookmarkStart w:id="574" w:name="_Toc478"/>
      <w:bookmarkStart w:id="575" w:name="_Toc16958"/>
      <w:bookmarkStart w:id="576" w:name="_Toc16152"/>
      <w:bookmarkStart w:id="577" w:name="_Toc23979"/>
      <w:bookmarkStart w:id="578" w:name="_Toc27723"/>
      <w:bookmarkStart w:id="579" w:name="_Toc2272"/>
      <w:bookmarkStart w:id="580" w:name="_Toc11371"/>
      <w:bookmarkStart w:id="581" w:name="_Toc510542186"/>
      <w:bookmarkStart w:id="582" w:name="_Toc510542244"/>
      <w:r>
        <w:rPr>
          <w:rFonts w:hint="eastAsia"/>
        </w:rPr>
        <w:t>总体要求</w:t>
      </w:r>
      <w:bookmarkEnd w:id="571"/>
      <w:bookmarkEnd w:id="572"/>
      <w:bookmarkEnd w:id="573"/>
      <w:bookmarkEnd w:id="574"/>
      <w:bookmarkEnd w:id="575"/>
      <w:bookmarkEnd w:id="576"/>
      <w:bookmarkEnd w:id="577"/>
      <w:bookmarkEnd w:id="578"/>
      <w:bookmarkEnd w:id="579"/>
      <w:bookmarkEnd w:id="580"/>
    </w:p>
    <w:p>
      <w:pPr>
        <w:pStyle w:val="49"/>
        <w:numPr>
          <w:ilvl w:val="2"/>
          <w:numId w:val="20"/>
        </w:numPr>
        <w:tabs>
          <w:tab w:val="center" w:pos="4201"/>
          <w:tab w:val="right" w:leader="dot" w:pos="9298"/>
        </w:tabs>
        <w:rPr>
          <w:color w:val="000000"/>
          <w:u w:color="548DD4"/>
        </w:rPr>
      </w:pPr>
      <w:r>
        <w:t>在新建和改建</w:t>
      </w:r>
      <w:r>
        <w:rPr>
          <w:u w:color="4F81BD"/>
        </w:rPr>
        <w:t>智慧灯杆</w:t>
      </w:r>
      <w:r>
        <w:t>时，</w:t>
      </w:r>
      <w:r>
        <w:rPr>
          <w:rFonts w:hint="eastAsia"/>
        </w:rPr>
        <w:t>应遵循</w:t>
      </w:r>
      <w:r>
        <w:rPr>
          <w:color w:val="000000"/>
          <w:u w:color="548DD4"/>
        </w:rPr>
        <w:t>规划先行</w:t>
      </w:r>
      <w:r>
        <w:rPr>
          <w:rFonts w:hint="eastAsia"/>
          <w:color w:val="000000"/>
          <w:u w:color="548DD4"/>
        </w:rPr>
        <w:t>的原则</w:t>
      </w:r>
      <w:r>
        <w:rPr>
          <w:color w:val="000000"/>
          <w:u w:color="548DD4"/>
        </w:rPr>
        <w:t>，</w:t>
      </w:r>
      <w:r>
        <w:rPr>
          <w:rFonts w:hint="eastAsia"/>
          <w:color w:val="000000"/>
          <w:u w:color="548DD4"/>
        </w:rPr>
        <w:t>统筹各行业需求，</w:t>
      </w:r>
      <w:r>
        <w:rPr>
          <w:color w:val="000000"/>
          <w:u w:color="548DD4"/>
        </w:rPr>
        <w:t>以智慧灯杆系统网络为基础，以区块为基本规划单元编制智慧灯杆专项规划，明确智慧灯杆系统的杆体、供电系统、配套管道、综合机箱、综合机房等基础设施的总体建设目标、建设规模、布点规划等内容。</w:t>
      </w:r>
    </w:p>
    <w:p>
      <w:pPr>
        <w:pStyle w:val="49"/>
        <w:numPr>
          <w:ilvl w:val="2"/>
          <w:numId w:val="20"/>
        </w:numPr>
        <w:tabs>
          <w:tab w:val="center" w:pos="4201"/>
          <w:tab w:val="right" w:leader="dot" w:pos="9298"/>
        </w:tabs>
      </w:pPr>
      <w:r>
        <w:rPr>
          <w:color w:val="000000"/>
          <w:u w:color="548DD4"/>
        </w:rPr>
        <w:t>结合建设现状，对建设业务需求和使用对象进行预测，确定建设规模的规划思路与模型，明确智慧灯杆的建设规模；</w:t>
      </w:r>
      <w:r>
        <w:rPr>
          <w:u w:color="4F81BD"/>
        </w:rPr>
        <w:t>按照合杆建设规划的要求</w:t>
      </w:r>
      <w:r>
        <w:t>，与道路管线工程“同步规划、同步设计、同步施工、同步验收”。</w:t>
      </w:r>
    </w:p>
    <w:p>
      <w:pPr>
        <w:pStyle w:val="49"/>
        <w:numPr>
          <w:ilvl w:val="2"/>
          <w:numId w:val="20"/>
        </w:numPr>
        <w:tabs>
          <w:tab w:val="center" w:pos="4201"/>
          <w:tab w:val="right" w:leader="dot" w:pos="9298"/>
        </w:tabs>
      </w:pPr>
      <w:r>
        <w:rPr>
          <w:color w:val="000000"/>
          <w:u w:color="548DD4"/>
        </w:rPr>
        <w:t>智慧灯杆专项规划与通信、管道、供电、传输、机房等相关配套设施规划同步编制，科学指导智慧灯杆建设。</w:t>
      </w:r>
    </w:p>
    <w:p>
      <w:pPr>
        <w:pStyle w:val="49"/>
        <w:numPr>
          <w:ilvl w:val="2"/>
          <w:numId w:val="20"/>
        </w:numPr>
        <w:tabs>
          <w:tab w:val="center" w:pos="4201"/>
          <w:tab w:val="right" w:leader="dot" w:pos="9298"/>
        </w:tabs>
      </w:pPr>
      <w:r>
        <w:t>智慧城市所需挂载设备应按需配置，应用场景和推荐配置可参考表5.1</w:t>
      </w:r>
      <w:r>
        <w:rPr>
          <w:rFonts w:hint="eastAsia"/>
        </w:rPr>
        <w:t>.3-1和表5.1.3-2</w:t>
      </w:r>
      <w:r>
        <w:t>设置。</w:t>
      </w:r>
    </w:p>
    <w:p>
      <w:pPr>
        <w:pStyle w:val="49"/>
        <w:numPr>
          <w:ilvl w:val="2"/>
          <w:numId w:val="20"/>
        </w:numPr>
        <w:tabs>
          <w:tab w:val="center" w:pos="4201"/>
          <w:tab w:val="right" w:leader="dot" w:pos="9298"/>
        </w:tabs>
      </w:pPr>
      <w:r>
        <w:rPr>
          <w:color w:val="000000"/>
          <w:u w:color="548DD4"/>
        </w:rPr>
        <w:t>智慧灯杆功能（建设）需求包括但不限于：城管、公安、自然资源、交通运输、生态环境、水利、林业等政府单位关于视频监控、交通管理、环境监测、信息交互、应急求助等信息化业务的相关需求；通信运营商、广电和物联网等企业关于无线通信的需求。</w:t>
      </w:r>
    </w:p>
    <w:p>
      <w:pPr>
        <w:pStyle w:val="53"/>
        <w:numPr>
          <w:ilvl w:val="1"/>
          <w:numId w:val="20"/>
        </w:numPr>
        <w:spacing w:before="156" w:after="156"/>
        <w:outlineLvl w:val="1"/>
      </w:pPr>
      <w:bookmarkStart w:id="583" w:name="_Toc3048"/>
      <w:bookmarkStart w:id="584" w:name="_Toc28443"/>
      <w:bookmarkStart w:id="585" w:name="_Toc6716"/>
      <w:bookmarkStart w:id="586" w:name="_Toc19540"/>
      <w:bookmarkStart w:id="587" w:name="_Toc30150"/>
      <w:bookmarkStart w:id="588" w:name="_Toc3127"/>
      <w:bookmarkStart w:id="589" w:name="_Toc9089"/>
      <w:bookmarkStart w:id="590" w:name="_Toc5007"/>
      <w:bookmarkStart w:id="591" w:name="_Toc16038"/>
      <w:bookmarkStart w:id="592" w:name="_Toc30684"/>
      <w:r>
        <w:rPr>
          <w:rFonts w:hint="eastAsia"/>
        </w:rPr>
        <w:t>新建要求</w:t>
      </w:r>
      <w:bookmarkEnd w:id="583"/>
      <w:bookmarkEnd w:id="584"/>
      <w:bookmarkEnd w:id="585"/>
      <w:bookmarkEnd w:id="586"/>
      <w:bookmarkEnd w:id="587"/>
      <w:bookmarkEnd w:id="588"/>
      <w:bookmarkEnd w:id="589"/>
      <w:bookmarkEnd w:id="590"/>
      <w:bookmarkEnd w:id="591"/>
      <w:bookmarkEnd w:id="592"/>
    </w:p>
    <w:p>
      <w:pPr>
        <w:pStyle w:val="49"/>
        <w:numPr>
          <w:ilvl w:val="2"/>
          <w:numId w:val="20"/>
        </w:numPr>
        <w:tabs>
          <w:tab w:val="center" w:pos="4201"/>
          <w:tab w:val="right" w:leader="dot" w:pos="9298"/>
        </w:tabs>
      </w:pPr>
      <w:r>
        <w:t>新建</w:t>
      </w:r>
      <w:r>
        <w:rPr>
          <w:u w:color="4F81BD"/>
        </w:rPr>
        <w:t>智慧</w:t>
      </w:r>
      <w:r>
        <w:t>杆的杆体、挂载设备、附属配套、设备编码标识、系统平台均应满足本标准要求。</w:t>
      </w:r>
      <w:r>
        <w:rPr>
          <w:color w:val="000000"/>
          <w:u w:color="548DD4"/>
        </w:rPr>
        <w:t>按照多杆合一、多箱合一的要求，对各类杆件、机箱、配套管线、电力和监控设施、系统平台等进行集约化设置，实现共建共享，互联互通。</w:t>
      </w:r>
    </w:p>
    <w:p>
      <w:pPr>
        <w:pStyle w:val="49"/>
        <w:numPr>
          <w:ilvl w:val="2"/>
          <w:numId w:val="20"/>
        </w:numPr>
        <w:tabs>
          <w:tab w:val="center" w:pos="4201"/>
          <w:tab w:val="right" w:leader="dot" w:pos="9298"/>
        </w:tabs>
      </w:pPr>
      <w:r>
        <w:t>新建智慧灯杆的基础杆和管槽应在建设时一步到位。</w:t>
      </w:r>
      <w:r>
        <w:rPr>
          <w:color w:val="000000"/>
          <w:u w:color="548DD4"/>
        </w:rPr>
        <w:t>新建道路的智慧灯杆建设应与其他市政设施同步设计、同步施工、同步投入使用。</w:t>
      </w:r>
    </w:p>
    <w:p>
      <w:pPr>
        <w:pStyle w:val="53"/>
        <w:numPr>
          <w:ilvl w:val="1"/>
          <w:numId w:val="20"/>
        </w:numPr>
        <w:spacing w:before="156" w:after="156"/>
        <w:outlineLvl w:val="1"/>
      </w:pPr>
      <w:bookmarkStart w:id="593" w:name="_Toc19811"/>
      <w:bookmarkStart w:id="594" w:name="_Toc27354"/>
      <w:bookmarkStart w:id="595" w:name="_Toc14420"/>
      <w:bookmarkStart w:id="596" w:name="_Toc21781"/>
      <w:bookmarkStart w:id="597" w:name="_Toc25839"/>
      <w:bookmarkStart w:id="598" w:name="_Toc1272"/>
      <w:bookmarkStart w:id="599" w:name="_Toc28282"/>
      <w:bookmarkStart w:id="600" w:name="_Toc23924"/>
      <w:bookmarkStart w:id="601" w:name="_Toc32514"/>
      <w:bookmarkStart w:id="602" w:name="_Toc1452"/>
      <w:r>
        <w:rPr>
          <w:rFonts w:hint="eastAsia"/>
        </w:rPr>
        <w:t>改造要求</w:t>
      </w:r>
      <w:bookmarkEnd w:id="593"/>
      <w:bookmarkEnd w:id="594"/>
      <w:bookmarkEnd w:id="595"/>
      <w:bookmarkEnd w:id="596"/>
      <w:bookmarkEnd w:id="597"/>
      <w:bookmarkEnd w:id="598"/>
      <w:bookmarkEnd w:id="599"/>
      <w:bookmarkEnd w:id="600"/>
      <w:bookmarkEnd w:id="601"/>
      <w:bookmarkEnd w:id="602"/>
    </w:p>
    <w:p>
      <w:pPr>
        <w:pStyle w:val="49"/>
        <w:numPr>
          <w:ilvl w:val="2"/>
          <w:numId w:val="20"/>
        </w:numPr>
        <w:tabs>
          <w:tab w:val="center" w:pos="4201"/>
          <w:tab w:val="right" w:leader="dot" w:pos="9298"/>
        </w:tabs>
      </w:pPr>
      <w:r>
        <w:rPr>
          <w:color w:val="000000"/>
          <w:u w:color="548DD4"/>
        </w:rPr>
        <w:t>现有道路的智慧灯杆改造应结合各行业业务需求，落实改造的优先次序，并充分共享现有杆体资源。</w:t>
      </w:r>
      <w:r>
        <w:t>改造智慧灯杆前必须经过有资质的单位进行评估鉴定；原有杆体评估不合格的，应选择改建智慧灯杆；原有杆体评估合格的，应根据评估结果加装重量较轻、用电负荷不高的设备。对评估合格的杆体，可在杆体合适高度处通过抱箍的方式安装设备，抱箍应符合《架空通信线路铁件 抱箍类》YD/T206.27中相关要求；或将机架单元固定在杆件上，通过增加背板安装设备，设备安装必须满足安全要求。</w:t>
      </w:r>
    </w:p>
    <w:p>
      <w:pPr>
        <w:pStyle w:val="49"/>
        <w:numPr>
          <w:ilvl w:val="2"/>
          <w:numId w:val="20"/>
        </w:numPr>
        <w:tabs>
          <w:tab w:val="center" w:pos="4201"/>
          <w:tab w:val="right" w:leader="dot" w:pos="9298"/>
        </w:tabs>
      </w:pPr>
      <w:r>
        <w:t>对用电复核不满足的杆体，则可进行电路改造；原杆件改造安全评估风险较大时，应选择改建智慧灯杆。</w:t>
      </w:r>
    </w:p>
    <w:p>
      <w:pPr>
        <w:pStyle w:val="49"/>
        <w:numPr>
          <w:ilvl w:val="2"/>
          <w:numId w:val="20"/>
        </w:numPr>
        <w:tabs>
          <w:tab w:val="center" w:pos="4201"/>
          <w:tab w:val="right" w:leader="dot" w:pos="9298"/>
        </w:tabs>
      </w:pPr>
      <w:r>
        <w:t>改造智慧灯杆评估鉴定的内容包括但不限于：</w:t>
      </w:r>
    </w:p>
    <w:p>
      <w:pPr>
        <w:pStyle w:val="49"/>
        <w:numPr>
          <w:ilvl w:val="2"/>
          <w:numId w:val="20"/>
        </w:numPr>
        <w:tabs>
          <w:tab w:val="center" w:pos="4201"/>
          <w:tab w:val="right" w:leader="dot" w:pos="9298"/>
        </w:tabs>
        <w:ind w:left="420" w:leftChars="200"/>
      </w:pPr>
      <w:r>
        <w:t>设施老旧，不能承受外加荷载，杆体强度和稳定性无法保证，存在安全隐患；</w:t>
      </w:r>
    </w:p>
    <w:p>
      <w:pPr>
        <w:pStyle w:val="49"/>
        <w:numPr>
          <w:ilvl w:val="2"/>
          <w:numId w:val="20"/>
        </w:numPr>
        <w:tabs>
          <w:tab w:val="center" w:pos="4201"/>
          <w:tab w:val="right" w:leader="dot" w:pos="9298"/>
        </w:tabs>
        <w:ind w:left="420" w:leftChars="200"/>
      </w:pPr>
      <w:r>
        <w:t>地下线缆均运行多年，存在着不同程度的绝缘损耗及老化，存在用电隐患；</w:t>
      </w:r>
    </w:p>
    <w:p>
      <w:pPr>
        <w:pStyle w:val="49"/>
        <w:numPr>
          <w:ilvl w:val="2"/>
          <w:numId w:val="20"/>
        </w:numPr>
        <w:tabs>
          <w:tab w:val="center" w:pos="4201"/>
          <w:tab w:val="right" w:leader="dot" w:pos="9298"/>
        </w:tabs>
        <w:ind w:left="420" w:leftChars="200"/>
      </w:pPr>
      <w:r>
        <w:t>原杆体无光纤传输网管道，路面开挖回填难度大，建设周期性长，不适合规模上量；</w:t>
      </w:r>
    </w:p>
    <w:p>
      <w:pPr>
        <w:pStyle w:val="49"/>
        <w:numPr>
          <w:ilvl w:val="2"/>
          <w:numId w:val="20"/>
        </w:numPr>
        <w:tabs>
          <w:tab w:val="center" w:pos="4201"/>
          <w:tab w:val="right" w:leader="dot" w:pos="9298"/>
        </w:tabs>
        <w:ind w:left="420" w:leftChars="200"/>
      </w:pPr>
      <w:r>
        <w:t>用电时间呈周期性（如路灯杆），现成的电力线路无法满足其他信息化设备24小时运行需求；</w:t>
      </w:r>
    </w:p>
    <w:p>
      <w:pPr>
        <w:pStyle w:val="49"/>
        <w:numPr>
          <w:ilvl w:val="2"/>
          <w:numId w:val="20"/>
        </w:numPr>
        <w:tabs>
          <w:tab w:val="center" w:pos="4201"/>
          <w:tab w:val="right" w:leader="dot" w:pos="9298"/>
        </w:tabs>
        <w:ind w:left="420" w:leftChars="200"/>
      </w:pPr>
      <w:r>
        <w:t>原电源点、供电线路的设计并未考虑新增负荷因素，新增设施的用电将超出原设计的容量。对于已建的各类城市杆件设施可进行利旧改造，减少路面开挖、重新敷设传输线路的现象，充分利用现有资源，实现资源共享。</w:t>
      </w:r>
    </w:p>
    <w:p>
      <w:pPr>
        <w:pStyle w:val="49"/>
        <w:numPr>
          <w:ilvl w:val="2"/>
          <w:numId w:val="20"/>
        </w:numPr>
        <w:tabs>
          <w:tab w:val="center" w:pos="4201"/>
          <w:tab w:val="right" w:leader="dot" w:pos="9298"/>
        </w:tabs>
      </w:pPr>
      <w:r>
        <w:t>改建和改造智慧灯杆应符合本</w:t>
      </w:r>
      <w:r>
        <w:rPr>
          <w:rFonts w:hint="eastAsia"/>
        </w:rPr>
        <w:t>标准</w:t>
      </w:r>
      <w:r>
        <w:t>4.6安全设计要求。</w:t>
      </w:r>
    </w:p>
    <w:bookmarkEnd w:id="581"/>
    <w:bookmarkEnd w:id="582"/>
    <w:p>
      <w:pPr>
        <w:pStyle w:val="53"/>
        <w:numPr>
          <w:ilvl w:val="1"/>
          <w:numId w:val="20"/>
        </w:numPr>
        <w:spacing w:before="156" w:after="156"/>
        <w:outlineLvl w:val="1"/>
      </w:pPr>
      <w:bookmarkStart w:id="603" w:name="_Toc1192"/>
      <w:bookmarkStart w:id="604" w:name="_Toc30606"/>
      <w:bookmarkStart w:id="605" w:name="_Toc11954"/>
      <w:bookmarkStart w:id="606" w:name="_Toc29840"/>
      <w:bookmarkStart w:id="607" w:name="_Toc11853"/>
      <w:bookmarkStart w:id="608" w:name="_Toc9190"/>
      <w:bookmarkStart w:id="609" w:name="_Toc9270"/>
      <w:bookmarkStart w:id="610" w:name="_Toc26071"/>
      <w:bookmarkStart w:id="611" w:name="_Toc15863"/>
      <w:bookmarkStart w:id="612" w:name="_Toc8597"/>
      <w:r>
        <w:rPr>
          <w:rFonts w:hint="eastAsia"/>
        </w:rPr>
        <w:t>杆体</w:t>
      </w:r>
      <w:bookmarkEnd w:id="603"/>
      <w:bookmarkStart w:id="613" w:name="_Hlk516769178"/>
      <w:r>
        <w:rPr>
          <w:rFonts w:hint="eastAsia"/>
        </w:rPr>
        <w:t>布设</w:t>
      </w:r>
      <w:bookmarkEnd w:id="604"/>
      <w:bookmarkEnd w:id="605"/>
      <w:bookmarkEnd w:id="606"/>
      <w:bookmarkEnd w:id="607"/>
      <w:bookmarkEnd w:id="608"/>
      <w:bookmarkEnd w:id="609"/>
      <w:bookmarkEnd w:id="610"/>
      <w:bookmarkEnd w:id="611"/>
      <w:bookmarkEnd w:id="612"/>
    </w:p>
    <w:p>
      <w:pPr>
        <w:pStyle w:val="49"/>
        <w:numPr>
          <w:ilvl w:val="2"/>
          <w:numId w:val="20"/>
        </w:numPr>
        <w:tabs>
          <w:tab w:val="center" w:pos="4201"/>
          <w:tab w:val="right" w:leader="dot" w:pos="9298"/>
        </w:tabs>
      </w:pPr>
      <w:r>
        <w:t>智慧灯杆布设时应充分考虑各功能模块的有效覆盖范围，结合用户和业务的分布情况，合理选择杆体布设方式；杆件应尽可能平均分布，并与周边环境基本保持一致。</w:t>
      </w:r>
    </w:p>
    <w:p>
      <w:pPr>
        <w:pStyle w:val="49"/>
        <w:numPr>
          <w:ilvl w:val="2"/>
          <w:numId w:val="20"/>
        </w:numPr>
        <w:tabs>
          <w:tab w:val="center" w:pos="4201"/>
          <w:tab w:val="right" w:leader="dot" w:pos="9298"/>
        </w:tabs>
      </w:pPr>
      <w:r>
        <w:t>智慧灯杆布设应考虑建设维护方便，选择安全、卫生、无强干扰的点位。</w:t>
      </w:r>
    </w:p>
    <w:p>
      <w:pPr>
        <w:pStyle w:val="49"/>
        <w:numPr>
          <w:ilvl w:val="2"/>
          <w:numId w:val="20"/>
        </w:numPr>
        <w:tabs>
          <w:tab w:val="center" w:pos="4201"/>
          <w:tab w:val="right" w:leader="dot" w:pos="9298"/>
        </w:tabs>
      </w:pPr>
      <w:r>
        <w:t>智慧灯杆应设在设施带、绿化带或安全有效区域，杆件、设备等不得侵入道路建筑界限。</w:t>
      </w:r>
    </w:p>
    <w:p>
      <w:pPr>
        <w:pStyle w:val="49"/>
        <w:numPr>
          <w:ilvl w:val="2"/>
          <w:numId w:val="20"/>
        </w:numPr>
        <w:tabs>
          <w:tab w:val="center" w:pos="4201"/>
          <w:tab w:val="right" w:leader="dot" w:pos="9298"/>
        </w:tabs>
      </w:pPr>
      <w:r>
        <w:t>智慧灯杆布设应符合安全性要求，应远离树林、高压线；必须设在高压线附近时，与高压线之间的距离不应低于100m；站址设置在公共基础设施附近时，应满足与公共基础设施的最小安全距离。</w:t>
      </w:r>
    </w:p>
    <w:p>
      <w:pPr>
        <w:pStyle w:val="49"/>
        <w:numPr>
          <w:ilvl w:val="2"/>
          <w:numId w:val="20"/>
        </w:numPr>
        <w:tabs>
          <w:tab w:val="center" w:pos="4201"/>
          <w:tab w:val="right" w:leader="dot" w:pos="9298"/>
        </w:tabs>
      </w:pPr>
      <w:r>
        <w:t>智慧灯杆布设间距应根据《城市道路照明设计标准》CJJ 45及《LED城市道路照明应用技术要求》GB/T31832相关规范确定。智慧灯杆挂载设备安装间距可参考表</w:t>
      </w:r>
      <w:r>
        <w:rPr>
          <w:rFonts w:hint="eastAsia"/>
          <w:lang w:val="en-US" w:eastAsia="zh-CN"/>
        </w:rPr>
        <w:t>8</w:t>
      </w:r>
      <w:r>
        <w:t>.2.</w:t>
      </w:r>
      <w:r>
        <w:rPr>
          <w:rFonts w:hint="eastAsia"/>
          <w:lang w:val="en-US" w:eastAsia="zh-CN"/>
        </w:rPr>
        <w:t>5</w:t>
      </w:r>
      <w:r>
        <w:t>。</w:t>
      </w:r>
    </w:p>
    <w:p>
      <w:r>
        <w:rPr>
          <w:rFonts w:hint="eastAsia"/>
        </w:rPr>
        <w:br w:type="page"/>
      </w:r>
    </w:p>
    <w:p>
      <w:pPr>
        <w:pStyle w:val="144"/>
        <w:tabs>
          <w:tab w:val="left" w:pos="363"/>
        </w:tabs>
        <w:spacing w:before="156" w:after="156"/>
      </w:pPr>
      <w:r>
        <w:rPr>
          <w:rFonts w:hint="eastAsia"/>
        </w:rPr>
        <w:t>表</w:t>
      </w:r>
      <w:r>
        <w:rPr>
          <w:rFonts w:hint="eastAsia"/>
          <w:lang w:val="en-US" w:eastAsia="zh-CN"/>
        </w:rPr>
        <w:t>8</w:t>
      </w:r>
      <w:r>
        <w:t>.2.</w:t>
      </w:r>
      <w:r>
        <w:rPr>
          <w:rFonts w:hint="eastAsia"/>
          <w:lang w:val="en-US" w:eastAsia="zh-CN"/>
        </w:rPr>
        <w:t>5</w:t>
      </w:r>
      <w:r>
        <w:t xml:space="preserve"> </w:t>
      </w:r>
      <w:r>
        <w:rPr>
          <w:rFonts w:hint="eastAsia"/>
        </w:rPr>
        <w:t>智慧灯杆的布设场景及</w:t>
      </w:r>
      <w:r>
        <w:t>间距</w:t>
      </w:r>
      <w:r>
        <w:rPr>
          <w:rFonts w:hint="eastAsia"/>
        </w:rPr>
        <w:t>参照表</w:t>
      </w:r>
    </w:p>
    <w:tbl>
      <w:tblPr>
        <w:tblStyle w:val="37"/>
        <w:tblW w:w="0" w:type="auto"/>
        <w:jc w:val="center"/>
        <w:tblLayout w:type="fixed"/>
        <w:tblCellMar>
          <w:top w:w="0" w:type="dxa"/>
          <w:left w:w="0" w:type="dxa"/>
          <w:bottom w:w="0" w:type="dxa"/>
          <w:right w:w="0" w:type="dxa"/>
        </w:tblCellMar>
      </w:tblPr>
      <w:tblGrid>
        <w:gridCol w:w="1384"/>
        <w:gridCol w:w="653"/>
        <w:gridCol w:w="575"/>
        <w:gridCol w:w="578"/>
        <w:gridCol w:w="540"/>
        <w:gridCol w:w="540"/>
        <w:gridCol w:w="539"/>
        <w:gridCol w:w="540"/>
        <w:gridCol w:w="575"/>
        <w:gridCol w:w="575"/>
        <w:gridCol w:w="573"/>
        <w:gridCol w:w="575"/>
        <w:gridCol w:w="574"/>
        <w:gridCol w:w="572"/>
        <w:gridCol w:w="581"/>
        <w:gridCol w:w="766"/>
      </w:tblGrid>
      <w:tr>
        <w:tblPrEx>
          <w:tblCellMar>
            <w:top w:w="0" w:type="dxa"/>
            <w:left w:w="0" w:type="dxa"/>
            <w:bottom w:w="0" w:type="dxa"/>
            <w:right w:w="0" w:type="dxa"/>
          </w:tblCellMar>
        </w:tblPrEx>
        <w:trPr>
          <w:trHeight w:val="288" w:hRule="atLeast"/>
          <w:jc w:val="center"/>
        </w:trPr>
        <w:tc>
          <w:tcPr>
            <w:tcW w:w="1384"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典型场景</w:t>
            </w:r>
          </w:p>
        </w:tc>
        <w:tc>
          <w:tcPr>
            <w:tcW w:w="8756" w:type="dxa"/>
            <w:gridSpan w:val="1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建议安装间距（m）</w:t>
            </w:r>
          </w:p>
        </w:tc>
      </w:tr>
      <w:tr>
        <w:tblPrEx>
          <w:tblCellMar>
            <w:top w:w="0" w:type="dxa"/>
            <w:left w:w="0" w:type="dxa"/>
            <w:bottom w:w="0" w:type="dxa"/>
            <w:right w:w="0" w:type="dxa"/>
          </w:tblCellMar>
        </w:tblPrEx>
        <w:trPr>
          <w:trHeight w:val="1087" w:hRule="atLeast"/>
          <w:jc w:val="center"/>
        </w:trPr>
        <w:tc>
          <w:tcPr>
            <w:tcW w:w="138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ind w:firstLine="420" w:firstLineChars="200"/>
              <w:jc w:val="center"/>
              <w:rPr>
                <w:rFonts w:ascii="宋体"/>
                <w:szCs w:val="21"/>
              </w:rPr>
            </w:pPr>
          </w:p>
        </w:tc>
        <w:tc>
          <w:tcPr>
            <w:tcW w:w="6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智慧照明</w:t>
            </w:r>
          </w:p>
        </w:tc>
        <w:tc>
          <w:tcPr>
            <w:tcW w:w="5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视频采集</w:t>
            </w:r>
          </w:p>
        </w:tc>
        <w:tc>
          <w:tcPr>
            <w:tcW w:w="5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移动通信</w:t>
            </w:r>
          </w:p>
        </w:tc>
        <w:tc>
          <w:tcPr>
            <w:tcW w:w="5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交通标志</w:t>
            </w:r>
          </w:p>
        </w:tc>
        <w:tc>
          <w:tcPr>
            <w:tcW w:w="5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交通信号灯</w:t>
            </w:r>
          </w:p>
        </w:tc>
        <w:tc>
          <w:tcPr>
            <w:tcW w:w="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交通流检测</w:t>
            </w:r>
          </w:p>
        </w:tc>
        <w:tc>
          <w:tcPr>
            <w:tcW w:w="5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交通执法</w:t>
            </w:r>
          </w:p>
        </w:tc>
        <w:tc>
          <w:tcPr>
            <w:tcW w:w="5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环境监测</w:t>
            </w:r>
          </w:p>
        </w:tc>
        <w:tc>
          <w:tcPr>
            <w:tcW w:w="5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气象监测</w:t>
            </w:r>
          </w:p>
        </w:tc>
        <w:tc>
          <w:tcPr>
            <w:tcW w:w="5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一键呼叫</w:t>
            </w:r>
          </w:p>
        </w:tc>
        <w:tc>
          <w:tcPr>
            <w:tcW w:w="5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信息发布屏</w:t>
            </w:r>
          </w:p>
        </w:tc>
        <w:tc>
          <w:tcPr>
            <w:tcW w:w="5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公共广播</w:t>
            </w:r>
          </w:p>
        </w:tc>
        <w:tc>
          <w:tcPr>
            <w:tcW w:w="5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多媒体交互终端</w:t>
            </w:r>
          </w:p>
        </w:tc>
        <w:tc>
          <w:tcPr>
            <w:tcW w:w="5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公共WLAN</w:t>
            </w:r>
          </w:p>
        </w:tc>
        <w:tc>
          <w:tcPr>
            <w:tcW w:w="7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充电桩</w:t>
            </w:r>
          </w:p>
        </w:tc>
      </w:tr>
      <w:tr>
        <w:tblPrEx>
          <w:tblCellMar>
            <w:top w:w="0" w:type="dxa"/>
            <w:left w:w="0" w:type="dxa"/>
            <w:bottom w:w="0" w:type="dxa"/>
            <w:right w:w="0" w:type="dxa"/>
          </w:tblCellMar>
        </w:tblPrEx>
        <w:trPr>
          <w:trHeight w:val="554" w:hRule="atLeast"/>
          <w:jc w:val="center"/>
        </w:trPr>
        <w:tc>
          <w:tcPr>
            <w:tcW w:w="13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商业步行街</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20~30</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200</w:t>
            </w:r>
          </w:p>
        </w:tc>
        <w:tc>
          <w:tcPr>
            <w:tcW w:w="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40~60</w:t>
            </w:r>
          </w:p>
        </w:tc>
        <w:tc>
          <w:tcPr>
            <w:tcW w:w="2159" w:type="dxa"/>
            <w:gridSpan w:val="4"/>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根据</w:t>
            </w:r>
            <w:r>
              <w:rPr>
                <w:rFonts w:hint="eastAsia" w:ascii="宋体"/>
                <w:szCs w:val="21"/>
              </w:rPr>
              <w:t>实际</w:t>
            </w:r>
            <w:r>
              <w:rPr>
                <w:rFonts w:ascii="宋体"/>
                <w:szCs w:val="21"/>
              </w:rPr>
              <w:t>需求情况确定</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300~</w:t>
            </w:r>
          </w:p>
          <w:p>
            <w:pPr>
              <w:tabs>
                <w:tab w:val="center" w:pos="4201"/>
                <w:tab w:val="right" w:leader="dot" w:pos="9298"/>
              </w:tabs>
              <w:autoSpaceDE w:val="0"/>
              <w:autoSpaceDN w:val="0"/>
              <w:jc w:val="center"/>
              <w:rPr>
                <w:rFonts w:ascii="宋体"/>
                <w:szCs w:val="21"/>
              </w:rPr>
            </w:pPr>
            <w:r>
              <w:rPr>
                <w:rFonts w:ascii="宋体"/>
                <w:szCs w:val="21"/>
              </w:rPr>
              <w:t>400</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300~</w:t>
            </w:r>
          </w:p>
          <w:p>
            <w:pPr>
              <w:tabs>
                <w:tab w:val="center" w:pos="4201"/>
                <w:tab w:val="right" w:leader="dot" w:pos="9298"/>
              </w:tabs>
              <w:autoSpaceDE w:val="0"/>
              <w:autoSpaceDN w:val="0"/>
              <w:jc w:val="center"/>
              <w:rPr>
                <w:rFonts w:ascii="宋体"/>
                <w:szCs w:val="21"/>
              </w:rPr>
            </w:pPr>
            <w:r>
              <w:rPr>
                <w:rFonts w:ascii="宋体"/>
                <w:szCs w:val="21"/>
              </w:rPr>
              <w:t>400</w:t>
            </w:r>
          </w:p>
        </w:tc>
        <w:tc>
          <w:tcPr>
            <w:tcW w:w="5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20~30</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20~30</w:t>
            </w: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100~</w:t>
            </w:r>
          </w:p>
          <w:p>
            <w:pPr>
              <w:tabs>
                <w:tab w:val="center" w:pos="4201"/>
                <w:tab w:val="right" w:leader="dot" w:pos="9298"/>
              </w:tabs>
              <w:autoSpaceDE w:val="0"/>
              <w:autoSpaceDN w:val="0"/>
              <w:jc w:val="center"/>
              <w:rPr>
                <w:rFonts w:ascii="宋体"/>
                <w:szCs w:val="21"/>
              </w:rPr>
            </w:pPr>
            <w:r>
              <w:rPr>
                <w:rFonts w:ascii="宋体"/>
                <w:szCs w:val="21"/>
              </w:rPr>
              <w:t>200</w:t>
            </w:r>
          </w:p>
        </w:tc>
        <w:tc>
          <w:tcPr>
            <w:tcW w:w="5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20~30</w:t>
            </w:r>
          </w:p>
        </w:tc>
        <w:tc>
          <w:tcPr>
            <w:tcW w:w="5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hint="eastAsia" w:ascii="宋体"/>
                <w:szCs w:val="21"/>
              </w:rPr>
              <w:t>50~</w:t>
            </w:r>
          </w:p>
          <w:p>
            <w:pPr>
              <w:tabs>
                <w:tab w:val="center" w:pos="4201"/>
                <w:tab w:val="right" w:leader="dot" w:pos="9298"/>
              </w:tabs>
              <w:autoSpaceDE w:val="0"/>
              <w:autoSpaceDN w:val="0"/>
              <w:jc w:val="center"/>
              <w:rPr>
                <w:rFonts w:ascii="宋体"/>
                <w:szCs w:val="21"/>
              </w:rPr>
            </w:pPr>
            <w:r>
              <w:rPr>
                <w:rFonts w:hint="eastAsia" w:ascii="宋体"/>
                <w:szCs w:val="21"/>
              </w:rPr>
              <w:t>100</w:t>
            </w:r>
          </w:p>
        </w:tc>
        <w:tc>
          <w:tcPr>
            <w:tcW w:w="7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w:t>
            </w:r>
          </w:p>
        </w:tc>
      </w:tr>
      <w:tr>
        <w:tblPrEx>
          <w:tblCellMar>
            <w:top w:w="0" w:type="dxa"/>
            <w:left w:w="0" w:type="dxa"/>
            <w:bottom w:w="0" w:type="dxa"/>
            <w:right w:w="0" w:type="dxa"/>
          </w:tblCellMar>
        </w:tblPrEx>
        <w:trPr>
          <w:trHeight w:val="879" w:hRule="atLeast"/>
          <w:jc w:val="center"/>
        </w:trPr>
        <w:tc>
          <w:tcPr>
            <w:tcW w:w="13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风景区</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20~30</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300~</w:t>
            </w:r>
          </w:p>
          <w:p>
            <w:pPr>
              <w:tabs>
                <w:tab w:val="center" w:pos="4201"/>
                <w:tab w:val="right" w:leader="dot" w:pos="9298"/>
              </w:tabs>
              <w:autoSpaceDE w:val="0"/>
              <w:autoSpaceDN w:val="0"/>
              <w:jc w:val="center"/>
              <w:rPr>
                <w:rFonts w:ascii="宋体"/>
                <w:szCs w:val="21"/>
              </w:rPr>
            </w:pPr>
            <w:r>
              <w:rPr>
                <w:rFonts w:ascii="宋体"/>
                <w:szCs w:val="21"/>
              </w:rPr>
              <w:t>500</w:t>
            </w:r>
          </w:p>
        </w:tc>
        <w:tc>
          <w:tcPr>
            <w:tcW w:w="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40~60</w:t>
            </w:r>
          </w:p>
        </w:tc>
        <w:tc>
          <w:tcPr>
            <w:tcW w:w="2159" w:type="dxa"/>
            <w:gridSpan w:val="4"/>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ind w:firstLine="420" w:firstLineChars="200"/>
              <w:jc w:val="center"/>
              <w:rPr>
                <w:rFonts w:ascii="宋体"/>
                <w:szCs w:val="21"/>
              </w:rPr>
            </w:pP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300~</w:t>
            </w:r>
          </w:p>
          <w:p>
            <w:pPr>
              <w:tabs>
                <w:tab w:val="center" w:pos="4201"/>
                <w:tab w:val="right" w:leader="dot" w:pos="9298"/>
              </w:tabs>
              <w:autoSpaceDE w:val="0"/>
              <w:autoSpaceDN w:val="0"/>
              <w:jc w:val="center"/>
              <w:rPr>
                <w:rFonts w:ascii="宋体"/>
                <w:szCs w:val="21"/>
              </w:rPr>
            </w:pPr>
            <w:r>
              <w:rPr>
                <w:rFonts w:ascii="宋体"/>
                <w:szCs w:val="21"/>
              </w:rPr>
              <w:t>400</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300~</w:t>
            </w:r>
          </w:p>
          <w:p>
            <w:pPr>
              <w:tabs>
                <w:tab w:val="center" w:pos="4201"/>
                <w:tab w:val="right" w:leader="dot" w:pos="9298"/>
              </w:tabs>
              <w:autoSpaceDE w:val="0"/>
              <w:autoSpaceDN w:val="0"/>
              <w:jc w:val="center"/>
              <w:rPr>
                <w:rFonts w:ascii="宋体"/>
                <w:szCs w:val="21"/>
              </w:rPr>
            </w:pPr>
            <w:r>
              <w:rPr>
                <w:rFonts w:ascii="宋体"/>
                <w:szCs w:val="21"/>
              </w:rPr>
              <w:t>400</w:t>
            </w:r>
          </w:p>
        </w:tc>
        <w:tc>
          <w:tcPr>
            <w:tcW w:w="5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20~30</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20~30</w:t>
            </w: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100~</w:t>
            </w:r>
          </w:p>
          <w:p>
            <w:pPr>
              <w:tabs>
                <w:tab w:val="center" w:pos="4201"/>
                <w:tab w:val="right" w:leader="dot" w:pos="9298"/>
              </w:tabs>
              <w:autoSpaceDE w:val="0"/>
              <w:autoSpaceDN w:val="0"/>
              <w:jc w:val="center"/>
              <w:rPr>
                <w:rFonts w:ascii="宋体"/>
                <w:szCs w:val="21"/>
              </w:rPr>
            </w:pPr>
            <w:r>
              <w:rPr>
                <w:rFonts w:ascii="宋体"/>
                <w:szCs w:val="21"/>
              </w:rPr>
              <w:t>200</w:t>
            </w:r>
          </w:p>
        </w:tc>
        <w:tc>
          <w:tcPr>
            <w:tcW w:w="5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20~30</w:t>
            </w:r>
          </w:p>
        </w:tc>
        <w:tc>
          <w:tcPr>
            <w:tcW w:w="5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50~</w:t>
            </w:r>
          </w:p>
          <w:p>
            <w:pPr>
              <w:tabs>
                <w:tab w:val="center" w:pos="4201"/>
                <w:tab w:val="right" w:leader="dot" w:pos="9298"/>
              </w:tabs>
              <w:autoSpaceDE w:val="0"/>
              <w:autoSpaceDN w:val="0"/>
              <w:jc w:val="center"/>
              <w:rPr>
                <w:rFonts w:ascii="宋体"/>
                <w:szCs w:val="21"/>
              </w:rPr>
            </w:pPr>
            <w:r>
              <w:rPr>
                <w:rFonts w:ascii="宋体"/>
                <w:szCs w:val="21"/>
              </w:rPr>
              <w:t>100</w:t>
            </w:r>
          </w:p>
        </w:tc>
        <w:tc>
          <w:tcPr>
            <w:tcW w:w="7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根据停车位确定</w:t>
            </w:r>
          </w:p>
        </w:tc>
      </w:tr>
      <w:tr>
        <w:tblPrEx>
          <w:tblCellMar>
            <w:top w:w="0" w:type="dxa"/>
            <w:left w:w="0" w:type="dxa"/>
            <w:bottom w:w="0" w:type="dxa"/>
            <w:right w:w="0" w:type="dxa"/>
          </w:tblCellMar>
        </w:tblPrEx>
        <w:trPr>
          <w:trHeight w:val="554" w:hRule="atLeast"/>
          <w:jc w:val="center"/>
        </w:trPr>
        <w:tc>
          <w:tcPr>
            <w:tcW w:w="13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大流量道路</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30~50</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300~</w:t>
            </w:r>
          </w:p>
          <w:p>
            <w:pPr>
              <w:tabs>
                <w:tab w:val="center" w:pos="4201"/>
                <w:tab w:val="right" w:leader="dot" w:pos="9298"/>
              </w:tabs>
              <w:autoSpaceDE w:val="0"/>
              <w:autoSpaceDN w:val="0"/>
              <w:jc w:val="center"/>
              <w:rPr>
                <w:rFonts w:ascii="宋体"/>
                <w:szCs w:val="21"/>
              </w:rPr>
            </w:pPr>
            <w:r>
              <w:rPr>
                <w:rFonts w:ascii="宋体"/>
                <w:szCs w:val="21"/>
              </w:rPr>
              <w:t>500</w:t>
            </w:r>
          </w:p>
        </w:tc>
        <w:tc>
          <w:tcPr>
            <w:tcW w:w="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40~60</w:t>
            </w:r>
          </w:p>
        </w:tc>
        <w:tc>
          <w:tcPr>
            <w:tcW w:w="2159" w:type="dxa"/>
            <w:gridSpan w:val="4"/>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ind w:firstLine="420" w:firstLineChars="200"/>
              <w:jc w:val="center"/>
              <w:rPr>
                <w:rFonts w:ascii="宋体"/>
                <w:szCs w:val="21"/>
              </w:rPr>
            </w:pP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400~</w:t>
            </w:r>
          </w:p>
          <w:p>
            <w:pPr>
              <w:tabs>
                <w:tab w:val="center" w:pos="4201"/>
                <w:tab w:val="right" w:leader="dot" w:pos="9298"/>
              </w:tabs>
              <w:autoSpaceDE w:val="0"/>
              <w:autoSpaceDN w:val="0"/>
              <w:jc w:val="center"/>
              <w:rPr>
                <w:rFonts w:ascii="宋体"/>
                <w:szCs w:val="21"/>
              </w:rPr>
            </w:pPr>
            <w:r>
              <w:rPr>
                <w:rFonts w:ascii="宋体"/>
                <w:szCs w:val="21"/>
              </w:rPr>
              <w:t>500</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400~</w:t>
            </w:r>
          </w:p>
          <w:p>
            <w:pPr>
              <w:tabs>
                <w:tab w:val="center" w:pos="4201"/>
                <w:tab w:val="right" w:leader="dot" w:pos="9298"/>
              </w:tabs>
              <w:autoSpaceDE w:val="0"/>
              <w:autoSpaceDN w:val="0"/>
              <w:jc w:val="center"/>
              <w:rPr>
                <w:rFonts w:ascii="宋体"/>
                <w:szCs w:val="21"/>
              </w:rPr>
            </w:pPr>
            <w:r>
              <w:rPr>
                <w:rFonts w:ascii="宋体"/>
                <w:szCs w:val="21"/>
              </w:rPr>
              <w:t>500</w:t>
            </w:r>
          </w:p>
        </w:tc>
        <w:tc>
          <w:tcPr>
            <w:tcW w:w="5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30~50</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30~50</w:t>
            </w: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w:t>
            </w:r>
          </w:p>
        </w:tc>
        <w:tc>
          <w:tcPr>
            <w:tcW w:w="5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30~50</w:t>
            </w:r>
          </w:p>
        </w:tc>
        <w:tc>
          <w:tcPr>
            <w:tcW w:w="5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50~</w:t>
            </w:r>
          </w:p>
          <w:p>
            <w:pPr>
              <w:tabs>
                <w:tab w:val="center" w:pos="4201"/>
                <w:tab w:val="right" w:leader="dot" w:pos="9298"/>
              </w:tabs>
              <w:autoSpaceDE w:val="0"/>
              <w:autoSpaceDN w:val="0"/>
              <w:jc w:val="center"/>
              <w:rPr>
                <w:rFonts w:ascii="宋体"/>
                <w:szCs w:val="21"/>
              </w:rPr>
            </w:pPr>
            <w:r>
              <w:rPr>
                <w:rFonts w:ascii="宋体"/>
                <w:szCs w:val="21"/>
              </w:rPr>
              <w:t>100</w:t>
            </w:r>
          </w:p>
        </w:tc>
        <w:tc>
          <w:tcPr>
            <w:tcW w:w="7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w:t>
            </w:r>
          </w:p>
        </w:tc>
      </w:tr>
      <w:tr>
        <w:tblPrEx>
          <w:tblCellMar>
            <w:top w:w="0" w:type="dxa"/>
            <w:left w:w="0" w:type="dxa"/>
            <w:bottom w:w="0" w:type="dxa"/>
            <w:right w:w="0" w:type="dxa"/>
          </w:tblCellMar>
        </w:tblPrEx>
        <w:trPr>
          <w:trHeight w:val="821" w:hRule="atLeast"/>
          <w:jc w:val="center"/>
        </w:trPr>
        <w:tc>
          <w:tcPr>
            <w:tcW w:w="13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一般道路</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30~50</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500~</w:t>
            </w:r>
          </w:p>
          <w:p>
            <w:pPr>
              <w:tabs>
                <w:tab w:val="center" w:pos="4201"/>
                <w:tab w:val="right" w:leader="dot" w:pos="9298"/>
              </w:tabs>
              <w:autoSpaceDE w:val="0"/>
              <w:autoSpaceDN w:val="0"/>
              <w:jc w:val="center"/>
              <w:rPr>
                <w:rFonts w:ascii="宋体"/>
                <w:szCs w:val="21"/>
              </w:rPr>
            </w:pPr>
            <w:r>
              <w:rPr>
                <w:rFonts w:ascii="宋体"/>
                <w:szCs w:val="21"/>
              </w:rPr>
              <w:t>800</w:t>
            </w:r>
          </w:p>
        </w:tc>
        <w:tc>
          <w:tcPr>
            <w:tcW w:w="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50~70</w:t>
            </w:r>
          </w:p>
        </w:tc>
        <w:tc>
          <w:tcPr>
            <w:tcW w:w="2159" w:type="dxa"/>
            <w:gridSpan w:val="4"/>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ind w:firstLine="420" w:firstLineChars="200"/>
              <w:jc w:val="center"/>
              <w:rPr>
                <w:rFonts w:ascii="宋体"/>
                <w:szCs w:val="21"/>
              </w:rPr>
            </w:pP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400~</w:t>
            </w:r>
          </w:p>
          <w:p>
            <w:pPr>
              <w:tabs>
                <w:tab w:val="center" w:pos="4201"/>
                <w:tab w:val="right" w:leader="dot" w:pos="9298"/>
              </w:tabs>
              <w:autoSpaceDE w:val="0"/>
              <w:autoSpaceDN w:val="0"/>
              <w:jc w:val="center"/>
              <w:rPr>
                <w:rFonts w:ascii="宋体"/>
                <w:szCs w:val="21"/>
              </w:rPr>
            </w:pPr>
            <w:r>
              <w:rPr>
                <w:rFonts w:ascii="宋体"/>
                <w:szCs w:val="21"/>
              </w:rPr>
              <w:t>500</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400~</w:t>
            </w:r>
          </w:p>
          <w:p>
            <w:pPr>
              <w:tabs>
                <w:tab w:val="center" w:pos="4201"/>
                <w:tab w:val="right" w:leader="dot" w:pos="9298"/>
              </w:tabs>
              <w:autoSpaceDE w:val="0"/>
              <w:autoSpaceDN w:val="0"/>
              <w:jc w:val="center"/>
              <w:rPr>
                <w:rFonts w:ascii="宋体"/>
                <w:szCs w:val="21"/>
              </w:rPr>
            </w:pPr>
            <w:r>
              <w:rPr>
                <w:rFonts w:ascii="宋体"/>
                <w:szCs w:val="21"/>
              </w:rPr>
              <w:t>500</w:t>
            </w:r>
          </w:p>
        </w:tc>
        <w:tc>
          <w:tcPr>
            <w:tcW w:w="5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30~50</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30~50</w:t>
            </w: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w:t>
            </w:r>
          </w:p>
        </w:tc>
        <w:tc>
          <w:tcPr>
            <w:tcW w:w="5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30~50</w:t>
            </w:r>
          </w:p>
        </w:tc>
        <w:tc>
          <w:tcPr>
            <w:tcW w:w="5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50~</w:t>
            </w:r>
          </w:p>
          <w:p>
            <w:pPr>
              <w:tabs>
                <w:tab w:val="center" w:pos="4201"/>
                <w:tab w:val="right" w:leader="dot" w:pos="9298"/>
              </w:tabs>
              <w:autoSpaceDE w:val="0"/>
              <w:autoSpaceDN w:val="0"/>
              <w:jc w:val="center"/>
              <w:rPr>
                <w:rFonts w:ascii="宋体"/>
                <w:szCs w:val="21"/>
              </w:rPr>
            </w:pPr>
            <w:r>
              <w:rPr>
                <w:rFonts w:ascii="宋体"/>
                <w:szCs w:val="21"/>
              </w:rPr>
              <w:t>100</w:t>
            </w:r>
          </w:p>
        </w:tc>
        <w:tc>
          <w:tcPr>
            <w:tcW w:w="7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根据停车位确定</w:t>
            </w:r>
          </w:p>
        </w:tc>
      </w:tr>
      <w:tr>
        <w:tblPrEx>
          <w:tblCellMar>
            <w:top w:w="0" w:type="dxa"/>
            <w:left w:w="0" w:type="dxa"/>
            <w:bottom w:w="0" w:type="dxa"/>
            <w:right w:w="0" w:type="dxa"/>
          </w:tblCellMar>
        </w:tblPrEx>
        <w:trPr>
          <w:trHeight w:val="554" w:hRule="atLeast"/>
          <w:jc w:val="center"/>
        </w:trPr>
        <w:tc>
          <w:tcPr>
            <w:tcW w:w="13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高、快速路</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50~</w:t>
            </w:r>
          </w:p>
          <w:p>
            <w:pPr>
              <w:tabs>
                <w:tab w:val="center" w:pos="4201"/>
                <w:tab w:val="right" w:leader="dot" w:pos="9298"/>
              </w:tabs>
              <w:autoSpaceDE w:val="0"/>
              <w:autoSpaceDN w:val="0"/>
              <w:jc w:val="center"/>
              <w:rPr>
                <w:rFonts w:ascii="宋体"/>
                <w:szCs w:val="21"/>
              </w:rPr>
            </w:pPr>
            <w:r>
              <w:rPr>
                <w:rFonts w:ascii="宋体"/>
                <w:szCs w:val="21"/>
              </w:rPr>
              <w:t>100</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800~</w:t>
            </w:r>
          </w:p>
          <w:p>
            <w:pPr>
              <w:tabs>
                <w:tab w:val="center" w:pos="4201"/>
                <w:tab w:val="right" w:leader="dot" w:pos="9298"/>
              </w:tabs>
              <w:autoSpaceDE w:val="0"/>
              <w:autoSpaceDN w:val="0"/>
              <w:jc w:val="center"/>
              <w:rPr>
                <w:rFonts w:ascii="宋体"/>
                <w:szCs w:val="21"/>
              </w:rPr>
            </w:pPr>
            <w:r>
              <w:rPr>
                <w:rFonts w:ascii="宋体"/>
                <w:szCs w:val="21"/>
              </w:rPr>
              <w:t>1000</w:t>
            </w:r>
          </w:p>
        </w:tc>
        <w:tc>
          <w:tcPr>
            <w:tcW w:w="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50~70</w:t>
            </w:r>
          </w:p>
        </w:tc>
        <w:tc>
          <w:tcPr>
            <w:tcW w:w="2159" w:type="dxa"/>
            <w:gridSpan w:val="4"/>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ind w:firstLine="420" w:firstLineChars="200"/>
              <w:jc w:val="center"/>
              <w:rPr>
                <w:rFonts w:ascii="宋体"/>
                <w:szCs w:val="21"/>
              </w:rPr>
            </w:pP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400~</w:t>
            </w:r>
          </w:p>
          <w:p>
            <w:pPr>
              <w:tabs>
                <w:tab w:val="center" w:pos="4201"/>
                <w:tab w:val="right" w:leader="dot" w:pos="9298"/>
              </w:tabs>
              <w:autoSpaceDE w:val="0"/>
              <w:autoSpaceDN w:val="0"/>
              <w:jc w:val="center"/>
              <w:rPr>
                <w:rFonts w:ascii="宋体"/>
                <w:szCs w:val="21"/>
              </w:rPr>
            </w:pPr>
            <w:r>
              <w:rPr>
                <w:rFonts w:ascii="宋体"/>
                <w:szCs w:val="21"/>
              </w:rPr>
              <w:t>500</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400~</w:t>
            </w:r>
          </w:p>
          <w:p>
            <w:pPr>
              <w:tabs>
                <w:tab w:val="center" w:pos="4201"/>
                <w:tab w:val="right" w:leader="dot" w:pos="9298"/>
              </w:tabs>
              <w:autoSpaceDE w:val="0"/>
              <w:autoSpaceDN w:val="0"/>
              <w:jc w:val="center"/>
              <w:rPr>
                <w:rFonts w:ascii="宋体"/>
                <w:szCs w:val="21"/>
              </w:rPr>
            </w:pPr>
            <w:r>
              <w:rPr>
                <w:rFonts w:ascii="宋体"/>
                <w:szCs w:val="21"/>
              </w:rPr>
              <w:t>500</w:t>
            </w:r>
          </w:p>
        </w:tc>
        <w:tc>
          <w:tcPr>
            <w:tcW w:w="5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w:t>
            </w: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w:t>
            </w:r>
          </w:p>
        </w:tc>
        <w:tc>
          <w:tcPr>
            <w:tcW w:w="5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w:t>
            </w:r>
          </w:p>
        </w:tc>
        <w:tc>
          <w:tcPr>
            <w:tcW w:w="5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w:t>
            </w:r>
          </w:p>
        </w:tc>
        <w:tc>
          <w:tcPr>
            <w:tcW w:w="7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w:t>
            </w:r>
          </w:p>
        </w:tc>
      </w:tr>
      <w:tr>
        <w:tblPrEx>
          <w:tblCellMar>
            <w:top w:w="0" w:type="dxa"/>
            <w:left w:w="0" w:type="dxa"/>
            <w:bottom w:w="0" w:type="dxa"/>
            <w:right w:w="0" w:type="dxa"/>
          </w:tblCellMar>
        </w:tblPrEx>
        <w:trPr>
          <w:trHeight w:val="563" w:hRule="atLeast"/>
          <w:jc w:val="center"/>
        </w:trPr>
        <w:tc>
          <w:tcPr>
            <w:tcW w:w="13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交叉路口</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20~30</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100</w:t>
            </w:r>
          </w:p>
        </w:tc>
        <w:tc>
          <w:tcPr>
            <w:tcW w:w="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40~60</w:t>
            </w:r>
          </w:p>
        </w:tc>
        <w:tc>
          <w:tcPr>
            <w:tcW w:w="2159" w:type="dxa"/>
            <w:gridSpan w:val="4"/>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ind w:firstLine="420" w:firstLineChars="200"/>
              <w:jc w:val="center"/>
              <w:rPr>
                <w:rFonts w:ascii="宋体"/>
                <w:szCs w:val="21"/>
              </w:rPr>
            </w:pP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400~</w:t>
            </w:r>
          </w:p>
          <w:p>
            <w:pPr>
              <w:tabs>
                <w:tab w:val="center" w:pos="4201"/>
                <w:tab w:val="right" w:leader="dot" w:pos="9298"/>
              </w:tabs>
              <w:autoSpaceDE w:val="0"/>
              <w:autoSpaceDN w:val="0"/>
              <w:jc w:val="center"/>
              <w:rPr>
                <w:rFonts w:ascii="宋体"/>
                <w:szCs w:val="21"/>
              </w:rPr>
            </w:pPr>
            <w:r>
              <w:rPr>
                <w:rFonts w:ascii="宋体"/>
                <w:szCs w:val="21"/>
              </w:rPr>
              <w:t>500</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400~</w:t>
            </w:r>
          </w:p>
          <w:p>
            <w:pPr>
              <w:tabs>
                <w:tab w:val="center" w:pos="4201"/>
                <w:tab w:val="right" w:leader="dot" w:pos="9298"/>
              </w:tabs>
              <w:autoSpaceDE w:val="0"/>
              <w:autoSpaceDN w:val="0"/>
              <w:jc w:val="center"/>
              <w:rPr>
                <w:rFonts w:ascii="宋体"/>
                <w:szCs w:val="21"/>
              </w:rPr>
            </w:pPr>
            <w:r>
              <w:rPr>
                <w:rFonts w:ascii="宋体"/>
                <w:szCs w:val="21"/>
              </w:rPr>
              <w:t>500</w:t>
            </w:r>
          </w:p>
        </w:tc>
        <w:tc>
          <w:tcPr>
            <w:tcW w:w="5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w:t>
            </w:r>
          </w:p>
        </w:tc>
        <w:tc>
          <w:tcPr>
            <w:tcW w:w="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w:t>
            </w:r>
          </w:p>
        </w:tc>
        <w:tc>
          <w:tcPr>
            <w:tcW w:w="5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w:t>
            </w:r>
          </w:p>
        </w:tc>
        <w:tc>
          <w:tcPr>
            <w:tcW w:w="5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w:t>
            </w:r>
          </w:p>
        </w:tc>
        <w:tc>
          <w:tcPr>
            <w:tcW w:w="5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w:t>
            </w:r>
          </w:p>
        </w:tc>
        <w:tc>
          <w:tcPr>
            <w:tcW w:w="7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center" w:pos="4201"/>
                <w:tab w:val="right" w:leader="dot" w:pos="9298"/>
              </w:tabs>
              <w:autoSpaceDE w:val="0"/>
              <w:autoSpaceDN w:val="0"/>
              <w:jc w:val="center"/>
              <w:rPr>
                <w:rFonts w:ascii="宋体"/>
                <w:szCs w:val="21"/>
              </w:rPr>
            </w:pPr>
            <w:r>
              <w:rPr>
                <w:rFonts w:ascii="宋体"/>
                <w:szCs w:val="21"/>
              </w:rPr>
              <w:t>—</w:t>
            </w:r>
          </w:p>
        </w:tc>
      </w:tr>
    </w:tbl>
    <w:p>
      <w:pPr>
        <w:pStyle w:val="26"/>
        <w:rPr>
          <w:szCs w:val="21"/>
        </w:rPr>
      </w:pPr>
    </w:p>
    <w:p>
      <w:pPr>
        <w:pStyle w:val="49"/>
        <w:numPr>
          <w:ilvl w:val="2"/>
          <w:numId w:val="20"/>
        </w:numPr>
        <w:tabs>
          <w:tab w:val="center" w:pos="4201"/>
          <w:tab w:val="right" w:leader="dot" w:pos="9298"/>
        </w:tabs>
        <w:spacing w:before="156" w:beforeLines="50"/>
      </w:pPr>
      <w:r>
        <w:t>具备智慧照明功能的智慧灯杆可有以下几种布设方式：</w:t>
      </w:r>
    </w:p>
    <w:p>
      <w:pPr>
        <w:pStyle w:val="49"/>
        <w:numPr>
          <w:ilvl w:val="0"/>
          <w:numId w:val="25"/>
        </w:numPr>
        <w:tabs>
          <w:tab w:val="left" w:pos="-420"/>
          <w:tab w:val="center" w:pos="4200"/>
          <w:tab w:val="right" w:leader="dot" w:pos="9298"/>
          <w:tab w:val="clear" w:pos="0"/>
        </w:tabs>
        <w:ind w:firstLine="420" w:firstLineChars="200"/>
        <w:jc w:val="left"/>
      </w:pPr>
      <w:r>
        <w:t>单侧布置：单侧杆体的功能覆盖半径较小，主要适用于简单场景，如城市支路、小区等区位，所覆盖道路宽度≤10米，且道路无中央隔离带的情况；</w:t>
      </w:r>
    </w:p>
    <w:p>
      <w:pPr>
        <w:pStyle w:val="49"/>
        <w:numPr>
          <w:ilvl w:val="0"/>
          <w:numId w:val="25"/>
        </w:numPr>
        <w:tabs>
          <w:tab w:val="left" w:pos="-420"/>
          <w:tab w:val="center" w:pos="4200"/>
          <w:tab w:val="right" w:leader="dot" w:pos="9298"/>
          <w:tab w:val="clear" w:pos="0"/>
        </w:tabs>
        <w:ind w:firstLine="420" w:firstLineChars="200"/>
        <w:jc w:val="left"/>
      </w:pPr>
      <w:r>
        <w:t>双侧交叉布置：双侧杆体的功能覆盖半径适中，主要适用于城市主要的一般场景，如城市次干路、小区等区位，所覆盖道路宽度≤20米，且道路无中央隔离带的情况；</w:t>
      </w:r>
    </w:p>
    <w:p>
      <w:pPr>
        <w:pStyle w:val="49"/>
        <w:numPr>
          <w:ilvl w:val="0"/>
          <w:numId w:val="25"/>
        </w:numPr>
        <w:tabs>
          <w:tab w:val="left" w:pos="-420"/>
          <w:tab w:val="center" w:pos="4200"/>
          <w:tab w:val="right" w:leader="dot" w:pos="9298"/>
          <w:tab w:val="clear" w:pos="0"/>
        </w:tabs>
        <w:ind w:firstLine="420" w:firstLineChars="200"/>
        <w:jc w:val="left"/>
      </w:pPr>
      <w:r>
        <w:t>双侧对称布置：双侧杆体的功能覆盖半径较大，主要适用于宽阔道路及场地较大的区域周边，如城市高快速路或具有坐标性的城市主干路，所覆盖路幅宽度范围为≥20米，满足道路中央有绿化等实体隔离的情况；</w:t>
      </w:r>
    </w:p>
    <w:p>
      <w:pPr>
        <w:pStyle w:val="49"/>
        <w:numPr>
          <w:ilvl w:val="0"/>
          <w:numId w:val="25"/>
        </w:numPr>
        <w:tabs>
          <w:tab w:val="left" w:pos="-420"/>
          <w:tab w:val="center" w:pos="4200"/>
          <w:tab w:val="right" w:leader="dot" w:pos="9298"/>
          <w:tab w:val="clear" w:pos="0"/>
        </w:tabs>
        <w:ind w:firstLine="420" w:firstLineChars="200"/>
        <w:jc w:val="left"/>
      </w:pPr>
      <w:r>
        <w:t>中心对称布置：主要适用于道路两边不具备承载设备的条件，或可能导致不稳定性情况的特殊的道路条件下，如高架、桥梁、立交等，可将智慧灯杆安装在道路中央实体隔离带上；</w:t>
      </w:r>
    </w:p>
    <w:p>
      <w:pPr>
        <w:pStyle w:val="49"/>
        <w:numPr>
          <w:ilvl w:val="0"/>
          <w:numId w:val="25"/>
        </w:numPr>
        <w:tabs>
          <w:tab w:val="left" w:pos="-420"/>
          <w:tab w:val="center" w:pos="4200"/>
          <w:tab w:val="right" w:leader="dot" w:pos="9298"/>
          <w:tab w:val="clear" w:pos="0"/>
        </w:tabs>
        <w:ind w:firstLine="420" w:firstLineChars="200"/>
        <w:jc w:val="left"/>
      </w:pPr>
      <w:r>
        <w:t>横向悬索布置：主要适用于行道树多、遮光严重的道路或楼群区，以及难以安装柱式智慧灯杆的狭窄街道。</w:t>
      </w:r>
    </w:p>
    <w:p>
      <w:pPr>
        <w:pStyle w:val="49"/>
        <w:numPr>
          <w:ilvl w:val="2"/>
          <w:numId w:val="20"/>
        </w:numPr>
        <w:tabs>
          <w:tab w:val="center" w:pos="4201"/>
          <w:tab w:val="right" w:leader="dot" w:pos="9298"/>
        </w:tabs>
      </w:pPr>
      <w:r>
        <w:t>智慧灯杆基础施工前，需对基础范围内埋设于地下的给水、排水（雨水、污水、雨污河流）、燃气、电力（高压、低压、路灯、交通设施线）、通信电缆（电信、移动、联通、铁通、国防光缆、广电网络）等方面地下管线的探明普查，并负责绘制地下管线测绘图纸，且通过当地规划批准。</w:t>
      </w:r>
    </w:p>
    <w:p>
      <w:pPr>
        <w:pStyle w:val="49"/>
        <w:numPr>
          <w:ilvl w:val="2"/>
          <w:numId w:val="20"/>
        </w:numPr>
        <w:tabs>
          <w:tab w:val="center" w:pos="4201"/>
          <w:tab w:val="right" w:leader="dot" w:pos="9298"/>
        </w:tabs>
      </w:pPr>
      <w:r>
        <w:t>根据不同管线敷设特点，地下金属管线主要用地下管线探测仪探明，非金属管线主要用探地雷达辅助以调查进行，有条件的地方用钎探法探明，局部疑难地区辅以开挖验证、利用原有资料等方法进行。</w:t>
      </w:r>
    </w:p>
    <w:bookmarkEnd w:id="613"/>
    <w:p>
      <w:pPr>
        <w:pStyle w:val="53"/>
        <w:numPr>
          <w:ilvl w:val="1"/>
          <w:numId w:val="20"/>
        </w:numPr>
        <w:spacing w:before="156" w:after="156"/>
        <w:outlineLvl w:val="1"/>
      </w:pPr>
      <w:bookmarkStart w:id="614" w:name="_Toc3922"/>
      <w:bookmarkStart w:id="615" w:name="_Toc14969"/>
      <w:bookmarkStart w:id="616" w:name="_Toc1406"/>
      <w:bookmarkStart w:id="617" w:name="_Toc8111"/>
      <w:bookmarkStart w:id="618" w:name="_Toc14335"/>
      <w:bookmarkStart w:id="619" w:name="_Toc32323"/>
      <w:bookmarkStart w:id="620" w:name="_Toc4104"/>
      <w:bookmarkStart w:id="621" w:name="_Toc22419"/>
      <w:bookmarkStart w:id="622" w:name="_Toc17997"/>
      <w:bookmarkStart w:id="623" w:name="_Toc25519"/>
      <w:r>
        <w:rPr>
          <w:rFonts w:hint="eastAsia"/>
        </w:rPr>
        <w:t>杆体施工</w:t>
      </w:r>
      <w:bookmarkEnd w:id="614"/>
      <w:bookmarkEnd w:id="615"/>
      <w:bookmarkEnd w:id="616"/>
      <w:bookmarkEnd w:id="617"/>
      <w:bookmarkEnd w:id="618"/>
      <w:bookmarkEnd w:id="619"/>
      <w:bookmarkEnd w:id="620"/>
      <w:bookmarkEnd w:id="621"/>
      <w:bookmarkEnd w:id="622"/>
      <w:bookmarkEnd w:id="623"/>
    </w:p>
    <w:p>
      <w:pPr>
        <w:pStyle w:val="49"/>
        <w:numPr>
          <w:ilvl w:val="2"/>
          <w:numId w:val="20"/>
        </w:numPr>
        <w:tabs>
          <w:tab w:val="center" w:pos="4201"/>
          <w:tab w:val="right" w:leader="dot" w:pos="9298"/>
        </w:tabs>
      </w:pPr>
      <w:r>
        <w:t xml:space="preserve">智慧灯杆的施工应符合设计要求。 </w:t>
      </w:r>
    </w:p>
    <w:p>
      <w:pPr>
        <w:pStyle w:val="49"/>
        <w:numPr>
          <w:ilvl w:val="2"/>
          <w:numId w:val="20"/>
        </w:numPr>
        <w:tabs>
          <w:tab w:val="center" w:pos="4201"/>
          <w:tab w:val="right" w:leader="dot" w:pos="9298"/>
        </w:tabs>
      </w:pPr>
      <w:r>
        <w:t xml:space="preserve">施工及调试人员应了解工程项目对设备、功能和进度等方面的要求， 熟知产品的技术性能和安装调试方案，掌握电气安全操作流程，做好安装调试工作。 </w:t>
      </w:r>
    </w:p>
    <w:p>
      <w:pPr>
        <w:pStyle w:val="49"/>
        <w:numPr>
          <w:ilvl w:val="2"/>
          <w:numId w:val="20"/>
        </w:numPr>
        <w:tabs>
          <w:tab w:val="center" w:pos="4201"/>
          <w:tab w:val="right" w:leader="dot" w:pos="9298"/>
        </w:tabs>
      </w:pPr>
      <w:r>
        <w:t xml:space="preserve">模板工程应符合以下要求： </w:t>
      </w:r>
    </w:p>
    <w:p>
      <w:pPr>
        <w:pStyle w:val="49"/>
        <w:numPr>
          <w:ilvl w:val="0"/>
          <w:numId w:val="26"/>
        </w:numPr>
        <w:tabs>
          <w:tab w:val="left" w:pos="640"/>
          <w:tab w:val="center" w:pos="4201"/>
          <w:tab w:val="right" w:leader="dot" w:pos="9298"/>
          <w:tab w:val="clear" w:pos="397"/>
        </w:tabs>
        <w:ind w:left="-200" w:firstLine="620"/>
      </w:pPr>
      <w:r>
        <w:t xml:space="preserve">模板及其支架应具备足够的承载力、刚度、稳定性，能可靠地承受浇筑混凝土的重量、侧压力以及施工荷载； </w:t>
      </w:r>
    </w:p>
    <w:p>
      <w:pPr>
        <w:pStyle w:val="49"/>
        <w:numPr>
          <w:ilvl w:val="0"/>
          <w:numId w:val="26"/>
        </w:numPr>
        <w:tabs>
          <w:tab w:val="left" w:pos="640"/>
          <w:tab w:val="center" w:pos="4201"/>
          <w:tab w:val="right" w:leader="dot" w:pos="9298"/>
          <w:tab w:val="clear" w:pos="397"/>
        </w:tabs>
        <w:ind w:left="-200" w:firstLine="620"/>
      </w:pPr>
      <w:r>
        <w:t xml:space="preserve">模板接缝不应漏浆，模板与混凝土的接触面应清理干净并涂刷隔离剂。 </w:t>
      </w:r>
    </w:p>
    <w:p>
      <w:pPr>
        <w:pStyle w:val="49"/>
        <w:numPr>
          <w:ilvl w:val="2"/>
          <w:numId w:val="20"/>
        </w:numPr>
        <w:tabs>
          <w:tab w:val="center" w:pos="4201"/>
          <w:tab w:val="right" w:leader="dot" w:pos="9298"/>
        </w:tabs>
      </w:pPr>
      <w:r>
        <w:t xml:space="preserve">设备安装调试应按国家现行有关标准执行，全部安装设备的功能和性能应符合设计要求。 </w:t>
      </w:r>
    </w:p>
    <w:p>
      <w:pPr>
        <w:pStyle w:val="49"/>
        <w:numPr>
          <w:ilvl w:val="2"/>
          <w:numId w:val="20"/>
        </w:numPr>
        <w:tabs>
          <w:tab w:val="center" w:pos="4201"/>
          <w:tab w:val="right" w:leader="dot" w:pos="9298"/>
        </w:tabs>
      </w:pPr>
      <w:r>
        <w:t xml:space="preserve">现场安装调试和试运行等过程应有书面记录。 </w:t>
      </w:r>
    </w:p>
    <w:p>
      <w:pPr>
        <w:pStyle w:val="49"/>
        <w:numPr>
          <w:ilvl w:val="2"/>
          <w:numId w:val="20"/>
        </w:numPr>
        <w:tabs>
          <w:tab w:val="center" w:pos="4201"/>
          <w:tab w:val="right" w:leader="dot" w:pos="9298"/>
        </w:tabs>
      </w:pPr>
      <w:r>
        <w:t xml:space="preserve">应办理停电手续，进行挂载设备安装时，应手动将电源停电并断开跌落保险。 </w:t>
      </w:r>
    </w:p>
    <w:p>
      <w:pPr>
        <w:pStyle w:val="49"/>
        <w:numPr>
          <w:ilvl w:val="2"/>
          <w:numId w:val="20"/>
        </w:numPr>
        <w:tabs>
          <w:tab w:val="center" w:pos="4201"/>
          <w:tab w:val="right" w:leader="dot" w:pos="9298"/>
        </w:tabs>
      </w:pPr>
      <w:r>
        <w:t xml:space="preserve">应对已停电的电源进行验电，并应在确认无电压后进行工作。 </w:t>
      </w:r>
    </w:p>
    <w:p>
      <w:pPr>
        <w:pStyle w:val="49"/>
        <w:numPr>
          <w:ilvl w:val="2"/>
          <w:numId w:val="20"/>
        </w:numPr>
        <w:tabs>
          <w:tab w:val="center" w:pos="4201"/>
          <w:tab w:val="right" w:leader="dot" w:pos="9298"/>
        </w:tabs>
      </w:pPr>
      <w:r>
        <w:t xml:space="preserve">应有专人安全监护，应执行正确接线顺序，戴手套，使用绝缘工具， 并应站在绝缘垫（台）上。 </w:t>
      </w:r>
    </w:p>
    <w:p>
      <w:pPr>
        <w:pStyle w:val="49"/>
        <w:numPr>
          <w:ilvl w:val="2"/>
          <w:numId w:val="20"/>
        </w:numPr>
        <w:tabs>
          <w:tab w:val="center" w:pos="4201"/>
          <w:tab w:val="right" w:leader="dot" w:pos="9298"/>
        </w:tabs>
      </w:pPr>
      <w:r>
        <w:t xml:space="preserve">进入工地应戴安全帽，2米及以上的高空施工应系安全带，登塔时应穿防滑胶底鞋，不得与地面人员抛送施工工具和材料。 </w:t>
      </w:r>
    </w:p>
    <w:p>
      <w:pPr>
        <w:pStyle w:val="49"/>
        <w:numPr>
          <w:ilvl w:val="2"/>
          <w:numId w:val="20"/>
        </w:numPr>
        <w:tabs>
          <w:tab w:val="center" w:pos="4201"/>
          <w:tab w:val="right" w:leader="dot" w:pos="9298"/>
        </w:tabs>
      </w:pPr>
      <w:r>
        <w:t xml:space="preserve">安装结束，恢复供电前，应检查设备，且设备内不应残留导线（头），螺钉、工具等物件。 </w:t>
      </w:r>
    </w:p>
    <w:p>
      <w:pPr>
        <w:pStyle w:val="53"/>
        <w:numPr>
          <w:ilvl w:val="1"/>
          <w:numId w:val="20"/>
        </w:numPr>
        <w:spacing w:before="156" w:after="156"/>
        <w:outlineLvl w:val="1"/>
      </w:pPr>
      <w:bookmarkStart w:id="624" w:name="_Toc4479"/>
      <w:bookmarkStart w:id="625" w:name="_Toc17125"/>
      <w:bookmarkStart w:id="626" w:name="_Toc25382"/>
      <w:bookmarkStart w:id="627" w:name="_Toc13497"/>
      <w:bookmarkStart w:id="628" w:name="_Toc29629"/>
      <w:bookmarkStart w:id="629" w:name="_Toc9812"/>
      <w:bookmarkStart w:id="630" w:name="_Toc17016"/>
      <w:bookmarkStart w:id="631" w:name="_Toc25284"/>
      <w:bookmarkStart w:id="632" w:name="_Toc29057"/>
      <w:bookmarkStart w:id="633" w:name="_Toc20558"/>
      <w:r>
        <w:rPr>
          <w:rFonts w:hint="eastAsia"/>
        </w:rPr>
        <w:t>设备安装</w:t>
      </w:r>
      <w:bookmarkEnd w:id="624"/>
      <w:bookmarkEnd w:id="625"/>
      <w:bookmarkEnd w:id="626"/>
      <w:bookmarkEnd w:id="627"/>
      <w:bookmarkEnd w:id="628"/>
      <w:bookmarkEnd w:id="629"/>
      <w:bookmarkEnd w:id="630"/>
      <w:bookmarkEnd w:id="631"/>
      <w:bookmarkEnd w:id="632"/>
      <w:bookmarkEnd w:id="633"/>
    </w:p>
    <w:p>
      <w:pPr>
        <w:pStyle w:val="49"/>
        <w:numPr>
          <w:ilvl w:val="2"/>
          <w:numId w:val="20"/>
        </w:numPr>
        <w:tabs>
          <w:tab w:val="center" w:pos="4201"/>
          <w:tab w:val="right" w:leader="dot" w:pos="9298"/>
        </w:tabs>
      </w:pPr>
      <w:r>
        <w:t>挂载设备应符合现有相关标准中关于安全要求的规定。</w:t>
      </w:r>
    </w:p>
    <w:p>
      <w:pPr>
        <w:pStyle w:val="49"/>
        <w:numPr>
          <w:ilvl w:val="2"/>
          <w:numId w:val="20"/>
        </w:numPr>
        <w:tabs>
          <w:tab w:val="center" w:pos="4201"/>
          <w:tab w:val="right" w:leader="dot" w:pos="9298"/>
        </w:tabs>
      </w:pPr>
      <w:r>
        <w:t>开工前应对工程使用的设备、材料和器件的规格型号及数量进行清点和外观检查。</w:t>
      </w:r>
    </w:p>
    <w:p>
      <w:pPr>
        <w:pStyle w:val="49"/>
        <w:numPr>
          <w:ilvl w:val="2"/>
          <w:numId w:val="20"/>
        </w:numPr>
        <w:tabs>
          <w:tab w:val="center" w:pos="4201"/>
          <w:tab w:val="right" w:leader="dot" w:pos="9298"/>
        </w:tabs>
      </w:pPr>
      <w:r>
        <w:t>设备、材料和器件的规格型号及数量的检查应符合以下要求：</w:t>
      </w:r>
    </w:p>
    <w:p>
      <w:pPr>
        <w:pStyle w:val="49"/>
        <w:numPr>
          <w:ilvl w:val="0"/>
          <w:numId w:val="27"/>
        </w:numPr>
        <w:tabs>
          <w:tab w:val="center" w:pos="4201"/>
          <w:tab w:val="right" w:leader="dot" w:pos="9298"/>
        </w:tabs>
        <w:ind w:firstLine="420" w:firstLineChars="200"/>
      </w:pPr>
      <w:r>
        <w:t>设备规格型号应符合工程设计要求，无受潮、破损和变形现象；</w:t>
      </w:r>
    </w:p>
    <w:p>
      <w:pPr>
        <w:pStyle w:val="49"/>
        <w:numPr>
          <w:ilvl w:val="0"/>
          <w:numId w:val="28"/>
        </w:numPr>
        <w:tabs>
          <w:tab w:val="center" w:pos="4201"/>
          <w:tab w:val="right" w:leader="dot" w:pos="9298"/>
        </w:tabs>
        <w:ind w:firstLine="420" w:firstLineChars="200"/>
      </w:pPr>
      <w:r>
        <w:t>材料的规格型号应符合工程设计要求，不得使用不合格的材料；</w:t>
      </w:r>
    </w:p>
    <w:p>
      <w:pPr>
        <w:pStyle w:val="49"/>
        <w:numPr>
          <w:ilvl w:val="0"/>
          <w:numId w:val="29"/>
        </w:numPr>
        <w:tabs>
          <w:tab w:val="center" w:pos="4201"/>
          <w:tab w:val="right" w:leader="dot" w:pos="9298"/>
        </w:tabs>
        <w:ind w:firstLine="420" w:firstLineChars="200"/>
      </w:pPr>
      <w:r>
        <w:t>器件的电气性能应进行抽样测试，其性能指标应符合技术要求；</w:t>
      </w:r>
    </w:p>
    <w:p>
      <w:pPr>
        <w:pStyle w:val="49"/>
        <w:numPr>
          <w:ilvl w:val="0"/>
          <w:numId w:val="30"/>
        </w:numPr>
        <w:tabs>
          <w:tab w:val="center" w:pos="4201"/>
          <w:tab w:val="right" w:leader="dot" w:pos="9298"/>
        </w:tabs>
        <w:ind w:firstLine="420" w:firstLineChars="200"/>
      </w:pPr>
      <w:r>
        <w:t>工程建设不得使用不合格的设备和器材。当器材型号不符合原工程设计要求而需作较大改变时，必须征得设计和建设单位的同意并办理设计变更手续；</w:t>
      </w:r>
    </w:p>
    <w:p>
      <w:pPr>
        <w:pStyle w:val="49"/>
        <w:numPr>
          <w:ilvl w:val="255"/>
          <w:numId w:val="0"/>
        </w:numPr>
        <w:tabs>
          <w:tab w:val="center" w:pos="4201"/>
          <w:tab w:val="right" w:leader="dot" w:pos="9298"/>
        </w:tabs>
        <w:ind w:firstLine="420" w:firstLineChars="200"/>
      </w:pPr>
      <w:r>
        <w:t>5）不符合要求的设备和器件应由建设单位、供货单位和施工单位共同鉴定，并作好记录，由相关责任单位及时解决。</w:t>
      </w:r>
    </w:p>
    <w:p>
      <w:pPr>
        <w:pStyle w:val="49"/>
        <w:numPr>
          <w:ilvl w:val="2"/>
          <w:numId w:val="20"/>
        </w:numPr>
        <w:tabs>
          <w:tab w:val="center" w:pos="4201"/>
          <w:tab w:val="right" w:leader="dot" w:pos="9298"/>
        </w:tabs>
      </w:pPr>
      <w:r>
        <w:t>所有设备应具备厂家出厂检验合格记录及相应部门颁发的许可证。</w:t>
      </w:r>
    </w:p>
    <w:p>
      <w:pPr>
        <w:pStyle w:val="49"/>
        <w:numPr>
          <w:ilvl w:val="2"/>
          <w:numId w:val="20"/>
        </w:numPr>
        <w:tabs>
          <w:tab w:val="center" w:pos="4201"/>
          <w:tab w:val="right" w:leader="dot" w:pos="9298"/>
        </w:tabs>
      </w:pPr>
      <w:r>
        <w:t>挂载设备应安装在设计预留位置，走线应采用内走线方式。</w:t>
      </w:r>
    </w:p>
    <w:p>
      <w:pPr>
        <w:pStyle w:val="49"/>
        <w:numPr>
          <w:ilvl w:val="2"/>
          <w:numId w:val="20"/>
        </w:numPr>
        <w:tabs>
          <w:tab w:val="center" w:pos="4201"/>
          <w:tab w:val="right" w:leader="dot" w:pos="9298"/>
        </w:tabs>
      </w:pPr>
      <w:r>
        <w:t>各设备总重量小于杆体荷载，保证足够的强度、刚度和稳定性。</w:t>
      </w:r>
    </w:p>
    <w:p>
      <w:pPr>
        <w:pStyle w:val="49"/>
        <w:numPr>
          <w:ilvl w:val="2"/>
          <w:numId w:val="20"/>
        </w:numPr>
        <w:tabs>
          <w:tab w:val="center" w:pos="4201"/>
          <w:tab w:val="right" w:leader="dot" w:pos="9298"/>
        </w:tabs>
      </w:pPr>
      <w:r>
        <w:t>设备功耗小于电源的载荷容量，符合安全用电要求。</w:t>
      </w:r>
    </w:p>
    <w:p>
      <w:pPr>
        <w:pStyle w:val="49"/>
        <w:numPr>
          <w:ilvl w:val="2"/>
          <w:numId w:val="20"/>
        </w:numPr>
        <w:tabs>
          <w:tab w:val="center" w:pos="4201"/>
          <w:tab w:val="right" w:leader="dot" w:pos="9298"/>
        </w:tabs>
      </w:pPr>
      <w:r>
        <w:t>各挂载设备及安装固定件应具有防止脱落或倾倒的安全防护措施，对人员可触及的照明和其他设备，当表面温度高于70℃时，应采取隔离保护措施。</w:t>
      </w:r>
    </w:p>
    <w:p>
      <w:pPr>
        <w:pStyle w:val="49"/>
        <w:numPr>
          <w:ilvl w:val="2"/>
          <w:numId w:val="20"/>
        </w:numPr>
        <w:tabs>
          <w:tab w:val="center" w:pos="4201"/>
          <w:tab w:val="right" w:leader="dot" w:pos="9298"/>
        </w:tabs>
      </w:pPr>
      <w:r>
        <w:t>挂载设备布局必须避免设备之间相互影响，保证各设备正常运行以及数据采集、传输的准确度。</w:t>
      </w:r>
    </w:p>
    <w:p>
      <w:pPr>
        <w:pStyle w:val="49"/>
        <w:numPr>
          <w:ilvl w:val="2"/>
          <w:numId w:val="20"/>
        </w:numPr>
        <w:tabs>
          <w:tab w:val="center" w:pos="4201"/>
          <w:tab w:val="right" w:leader="dot" w:pos="9298"/>
        </w:tabs>
      </w:pPr>
      <w:r>
        <w:t>挂载设备的版面、设备应避免被树木、桥墩、柱等物体遮挡，影响视认。</w:t>
      </w:r>
    </w:p>
    <w:p>
      <w:pPr>
        <w:pStyle w:val="49"/>
        <w:numPr>
          <w:ilvl w:val="2"/>
          <w:numId w:val="20"/>
        </w:numPr>
        <w:tabs>
          <w:tab w:val="center" w:pos="4201"/>
          <w:tab w:val="right" w:leader="dot" w:pos="9298"/>
        </w:tabs>
      </w:pPr>
      <w:r>
        <w:t>安装完成后杆体及设备稳固无异常，杆体在常规风速下最高点的位移挠度值不应大于杆体总高度的1/40。</w:t>
      </w:r>
    </w:p>
    <w:p>
      <w:pPr>
        <w:pStyle w:val="53"/>
        <w:numPr>
          <w:ilvl w:val="1"/>
          <w:numId w:val="20"/>
        </w:numPr>
        <w:spacing w:before="156" w:after="156"/>
        <w:outlineLvl w:val="1"/>
      </w:pPr>
      <w:bookmarkStart w:id="634" w:name="_Toc25427"/>
      <w:bookmarkStart w:id="635" w:name="_Toc14688"/>
      <w:bookmarkStart w:id="636" w:name="_Toc14410"/>
      <w:bookmarkStart w:id="637" w:name="_Toc1416"/>
      <w:bookmarkStart w:id="638" w:name="_Toc404"/>
      <w:bookmarkStart w:id="639" w:name="_Toc18652"/>
      <w:bookmarkStart w:id="640" w:name="_Toc3161"/>
      <w:bookmarkStart w:id="641" w:name="_Toc8578"/>
      <w:bookmarkStart w:id="642" w:name="_Toc11905"/>
      <w:bookmarkStart w:id="643" w:name="_Toc15641"/>
      <w:r>
        <w:rPr>
          <w:rFonts w:hint="eastAsia"/>
        </w:rPr>
        <w:t>配套施工</w:t>
      </w:r>
      <w:bookmarkEnd w:id="634"/>
      <w:bookmarkEnd w:id="635"/>
      <w:bookmarkEnd w:id="636"/>
      <w:bookmarkEnd w:id="637"/>
      <w:bookmarkEnd w:id="638"/>
      <w:bookmarkEnd w:id="639"/>
      <w:bookmarkEnd w:id="640"/>
      <w:bookmarkEnd w:id="641"/>
      <w:bookmarkEnd w:id="642"/>
      <w:bookmarkEnd w:id="643"/>
    </w:p>
    <w:p>
      <w:pPr>
        <w:pStyle w:val="49"/>
        <w:numPr>
          <w:ilvl w:val="2"/>
          <w:numId w:val="20"/>
        </w:numPr>
        <w:tabs>
          <w:tab w:val="center" w:pos="4201"/>
          <w:tab w:val="right" w:leader="dot" w:pos="9298"/>
        </w:tabs>
        <w:jc w:val="center"/>
        <w:outlineLvl w:val="2"/>
        <w:rPr>
          <w:b/>
          <w:bCs/>
        </w:rPr>
      </w:pPr>
      <w:bookmarkStart w:id="644" w:name="_Toc20811"/>
      <w:bookmarkStart w:id="645" w:name="_Toc3137"/>
      <w:bookmarkStart w:id="646" w:name="_Toc31638"/>
      <w:bookmarkStart w:id="647" w:name="_Toc23117"/>
      <w:bookmarkStart w:id="648" w:name="_Toc5564"/>
      <w:bookmarkStart w:id="649" w:name="_Toc22380"/>
      <w:bookmarkStart w:id="650" w:name="_Toc19375"/>
      <w:r>
        <w:rPr>
          <w:b/>
          <w:bCs/>
        </w:rPr>
        <w:t>管线敷设</w:t>
      </w:r>
      <w:bookmarkEnd w:id="644"/>
      <w:bookmarkEnd w:id="645"/>
      <w:bookmarkEnd w:id="646"/>
      <w:bookmarkEnd w:id="647"/>
      <w:bookmarkEnd w:id="648"/>
      <w:bookmarkEnd w:id="649"/>
      <w:bookmarkEnd w:id="650"/>
    </w:p>
    <w:p>
      <w:pPr>
        <w:pStyle w:val="26"/>
        <w:numPr>
          <w:ilvl w:val="3"/>
          <w:numId w:val="20"/>
        </w:numPr>
        <w:ind w:firstLineChars="0"/>
        <w:rPr>
          <w:szCs w:val="21"/>
        </w:rPr>
      </w:pPr>
      <w:r>
        <w:rPr>
          <w:szCs w:val="21"/>
        </w:rPr>
        <w:t>智慧灯杆的缆线管廊宜进行</w:t>
      </w:r>
      <w:r>
        <w:rPr>
          <w:rFonts w:hint="eastAsia"/>
          <w:szCs w:val="21"/>
        </w:rPr>
        <w:t>统一规划、统一设计、统一建设和管理</w:t>
      </w:r>
      <w:r>
        <w:rPr>
          <w:szCs w:val="21"/>
        </w:rPr>
        <w:t>，缆线综合管廊应符合《电力工程电缆设计标准》GB</w:t>
      </w:r>
      <w:r>
        <w:rPr>
          <w:rFonts w:hint="eastAsia"/>
          <w:szCs w:val="21"/>
        </w:rPr>
        <w:t xml:space="preserve"> </w:t>
      </w:r>
      <w:r>
        <w:rPr>
          <w:szCs w:val="21"/>
        </w:rPr>
        <w:t>50217、《城市工程管线综合规划规范》GB</w:t>
      </w:r>
      <w:r>
        <w:rPr>
          <w:rFonts w:hint="eastAsia"/>
          <w:szCs w:val="21"/>
        </w:rPr>
        <w:t xml:space="preserve"> </w:t>
      </w:r>
      <w:r>
        <w:rPr>
          <w:szCs w:val="21"/>
        </w:rPr>
        <w:t>50289、《城市综合管廊工程技术规范》</w:t>
      </w:r>
      <w:r>
        <w:rPr>
          <w:rFonts w:hint="eastAsia"/>
          <w:szCs w:val="21"/>
        </w:rPr>
        <w:t>GB 50838</w:t>
      </w:r>
      <w:r>
        <w:rPr>
          <w:szCs w:val="21"/>
        </w:rPr>
        <w:t>中的相关规定。</w:t>
      </w:r>
    </w:p>
    <w:p>
      <w:pPr>
        <w:pStyle w:val="26"/>
        <w:numPr>
          <w:ilvl w:val="3"/>
          <w:numId w:val="20"/>
        </w:numPr>
        <w:ind w:firstLineChars="0"/>
        <w:rPr>
          <w:szCs w:val="21"/>
        </w:rPr>
      </w:pPr>
      <w:r>
        <w:rPr>
          <w:szCs w:val="21"/>
        </w:rPr>
        <w:t>新建道路的线缆应入地敷设。</w:t>
      </w:r>
    </w:p>
    <w:p>
      <w:pPr>
        <w:pStyle w:val="26"/>
        <w:numPr>
          <w:ilvl w:val="3"/>
          <w:numId w:val="20"/>
        </w:numPr>
        <w:ind w:firstLineChars="0"/>
        <w:rPr>
          <w:szCs w:val="21"/>
        </w:rPr>
      </w:pPr>
      <w:r>
        <w:rPr>
          <w:szCs w:val="21"/>
        </w:rPr>
        <w:t>现有电力、通信等架空线缆具备入地敷设条件的，应入地敷设；不具备线缆入地敷设条件的，应对各线缆种类、管理单位及责任人等信息进行标识。</w:t>
      </w:r>
    </w:p>
    <w:p>
      <w:pPr>
        <w:pStyle w:val="26"/>
        <w:numPr>
          <w:ilvl w:val="3"/>
          <w:numId w:val="20"/>
        </w:numPr>
        <w:ind w:firstLineChars="0"/>
        <w:rPr>
          <w:szCs w:val="21"/>
        </w:rPr>
      </w:pPr>
      <w:r>
        <w:rPr>
          <w:szCs w:val="21"/>
        </w:rPr>
        <w:t>人行道配套管线埋深应不小于0.5m，强弱电管线净间距应不小于0.25m。可采用不同管道色彩区分不同权属单位。</w:t>
      </w:r>
    </w:p>
    <w:p>
      <w:pPr>
        <w:pStyle w:val="26"/>
        <w:numPr>
          <w:ilvl w:val="3"/>
          <w:numId w:val="20"/>
        </w:numPr>
        <w:ind w:firstLineChars="0"/>
        <w:rPr>
          <w:szCs w:val="21"/>
        </w:rPr>
      </w:pPr>
      <w:r>
        <w:rPr>
          <w:szCs w:val="21"/>
        </w:rPr>
        <w:t>智慧灯杆电力系统传输线路的敷设应符合以下要求：</w:t>
      </w:r>
    </w:p>
    <w:p>
      <w:pPr>
        <w:numPr>
          <w:ilvl w:val="0"/>
          <w:numId w:val="31"/>
        </w:numPr>
        <w:spacing w:line="360" w:lineRule="auto"/>
        <w:ind w:left="0" w:firstLine="420"/>
        <w:rPr>
          <w:rFonts w:asciiTheme="minorEastAsia" w:hAnsiTheme="minorEastAsia" w:eastAsiaTheme="minorEastAsia" w:cstheme="minorEastAsia"/>
        </w:rPr>
      </w:pPr>
      <w:r>
        <w:rPr>
          <w:rFonts w:hint="eastAsia" w:asciiTheme="minorEastAsia" w:hAnsiTheme="minorEastAsia" w:eastAsiaTheme="minorEastAsia" w:cstheme="minorEastAsia"/>
        </w:rPr>
        <w:t>电缆采用穿电缆保护管敷设方式，电缆管连接应牢固，密封良好；</w:t>
      </w:r>
    </w:p>
    <w:p>
      <w:pPr>
        <w:numPr>
          <w:ilvl w:val="0"/>
          <w:numId w:val="31"/>
        </w:numPr>
        <w:spacing w:line="360" w:lineRule="auto"/>
        <w:ind w:left="0" w:firstLine="420"/>
        <w:rPr>
          <w:rFonts w:asciiTheme="minorEastAsia" w:hAnsiTheme="minorEastAsia" w:eastAsiaTheme="minorEastAsia" w:cstheme="minorEastAsia"/>
        </w:rPr>
      </w:pPr>
      <w:r>
        <w:rPr>
          <w:rFonts w:hint="eastAsia" w:asciiTheme="minorEastAsia" w:hAnsiTheme="minorEastAsia" w:eastAsiaTheme="minorEastAsia" w:cstheme="minorEastAsia"/>
        </w:rPr>
        <w:t>智慧灯杆旁应设置接线手孔井，电缆分支接线在接线井内实施完成；</w:t>
      </w:r>
    </w:p>
    <w:p>
      <w:pPr>
        <w:numPr>
          <w:ilvl w:val="0"/>
          <w:numId w:val="31"/>
        </w:numPr>
        <w:spacing w:line="360" w:lineRule="auto"/>
        <w:ind w:left="0" w:firstLine="420"/>
        <w:rPr>
          <w:rFonts w:asciiTheme="minorEastAsia" w:hAnsiTheme="minorEastAsia" w:eastAsiaTheme="minorEastAsia" w:cstheme="minorEastAsia"/>
        </w:rPr>
      </w:pPr>
      <w:r>
        <w:rPr>
          <w:rFonts w:hint="eastAsia" w:asciiTheme="minorEastAsia" w:hAnsiTheme="minorEastAsia" w:eastAsiaTheme="minorEastAsia" w:cstheme="minorEastAsia"/>
        </w:rPr>
        <w:t>强弱电管线应分别单独穿管敷设，电缆管敷设净距不应小于0.25m；</w:t>
      </w:r>
    </w:p>
    <w:p>
      <w:pPr>
        <w:numPr>
          <w:ilvl w:val="0"/>
          <w:numId w:val="31"/>
        </w:numPr>
        <w:spacing w:line="360" w:lineRule="auto"/>
        <w:ind w:left="0" w:firstLine="420"/>
        <w:rPr>
          <w:rFonts w:asciiTheme="minorEastAsia" w:hAnsiTheme="minorEastAsia" w:eastAsiaTheme="minorEastAsia" w:cstheme="minorEastAsia"/>
        </w:rPr>
      </w:pPr>
      <w:r>
        <w:rPr>
          <w:rFonts w:hint="eastAsia" w:asciiTheme="minorEastAsia" w:hAnsiTheme="minorEastAsia" w:eastAsiaTheme="minorEastAsia" w:cstheme="minorEastAsia"/>
        </w:rPr>
        <w:t>电压损失：正常运行下的智慧灯杆杆端电压应为额定电压的90%以上；</w:t>
      </w:r>
    </w:p>
    <w:p>
      <w:pPr>
        <w:numPr>
          <w:ilvl w:val="0"/>
          <w:numId w:val="31"/>
        </w:numPr>
        <w:spacing w:line="360" w:lineRule="auto"/>
        <w:ind w:left="0" w:firstLine="420"/>
        <w:rPr>
          <w:rFonts w:asciiTheme="minorEastAsia" w:hAnsiTheme="minorEastAsia" w:eastAsiaTheme="minorEastAsia" w:cstheme="minorEastAsia"/>
        </w:rPr>
      </w:pPr>
      <w:r>
        <w:rPr>
          <w:rFonts w:hint="eastAsia" w:asciiTheme="minorEastAsia" w:hAnsiTheme="minorEastAsia" w:eastAsiaTheme="minorEastAsia" w:cstheme="minorEastAsia"/>
        </w:rPr>
        <w:t>线缆要求：配电系统宜采用地下电缆线路供电，中性线的截面不应小于相线的导线截面，且应满足不平衡电流及谐波电流的要求。</w:t>
      </w:r>
    </w:p>
    <w:p>
      <w:pPr>
        <w:pStyle w:val="49"/>
        <w:numPr>
          <w:ilvl w:val="2"/>
          <w:numId w:val="20"/>
        </w:numPr>
        <w:tabs>
          <w:tab w:val="center" w:pos="4201"/>
          <w:tab w:val="right" w:leader="dot" w:pos="9298"/>
        </w:tabs>
        <w:jc w:val="center"/>
        <w:outlineLvl w:val="2"/>
        <w:rPr>
          <w:b/>
          <w:bCs/>
        </w:rPr>
      </w:pPr>
      <w:bookmarkStart w:id="651" w:name="_Toc8629"/>
      <w:bookmarkStart w:id="652" w:name="_Toc30571"/>
      <w:bookmarkStart w:id="653" w:name="_Toc31141"/>
      <w:bookmarkStart w:id="654" w:name="_Toc32304"/>
      <w:bookmarkStart w:id="655" w:name="_Toc15302"/>
      <w:bookmarkStart w:id="656" w:name="_Toc10874"/>
      <w:bookmarkStart w:id="657" w:name="_Toc2116"/>
      <w:bookmarkStart w:id="658" w:name="_Toc510542191"/>
      <w:bookmarkStart w:id="659" w:name="_Toc510542249"/>
      <w:r>
        <w:rPr>
          <w:b/>
          <w:bCs/>
        </w:rPr>
        <w:t>综合机箱设置</w:t>
      </w:r>
      <w:bookmarkEnd w:id="651"/>
      <w:bookmarkEnd w:id="652"/>
      <w:bookmarkEnd w:id="653"/>
      <w:bookmarkEnd w:id="654"/>
      <w:bookmarkEnd w:id="655"/>
      <w:bookmarkEnd w:id="656"/>
      <w:bookmarkEnd w:id="657"/>
    </w:p>
    <w:p>
      <w:pPr>
        <w:pStyle w:val="26"/>
        <w:numPr>
          <w:ilvl w:val="3"/>
          <w:numId w:val="20"/>
        </w:numPr>
        <w:ind w:firstLineChars="0"/>
        <w:rPr>
          <w:szCs w:val="21"/>
        </w:rPr>
      </w:pPr>
      <w:r>
        <w:rPr>
          <w:szCs w:val="21"/>
        </w:rPr>
        <w:t>电器安装应符合以下规定：</w:t>
      </w:r>
    </w:p>
    <w:p>
      <w:pPr>
        <w:numPr>
          <w:ilvl w:val="0"/>
          <w:numId w:val="32"/>
        </w:numPr>
        <w:spacing w:line="360" w:lineRule="auto"/>
        <w:ind w:left="5" w:firstLine="415"/>
        <w:rPr>
          <w:rFonts w:asciiTheme="minorEastAsia" w:hAnsiTheme="minorEastAsia" w:eastAsiaTheme="minorEastAsia" w:cstheme="minorEastAsia"/>
        </w:rPr>
      </w:pPr>
      <w:r>
        <w:rPr>
          <w:rFonts w:hint="eastAsia" w:asciiTheme="minorEastAsia" w:hAnsiTheme="minorEastAsia" w:eastAsiaTheme="minorEastAsia" w:cstheme="minorEastAsia"/>
        </w:rPr>
        <w:t>型号、规格应符合设计要求，外观完整，附件齐全，排列整齐，固定牢固；</w:t>
      </w:r>
    </w:p>
    <w:p>
      <w:pPr>
        <w:numPr>
          <w:ilvl w:val="0"/>
          <w:numId w:val="32"/>
        </w:numPr>
        <w:spacing w:line="360" w:lineRule="auto"/>
        <w:ind w:left="5" w:firstLine="415"/>
        <w:rPr>
          <w:rFonts w:asciiTheme="minorEastAsia" w:hAnsiTheme="minorEastAsia" w:eastAsiaTheme="minorEastAsia" w:cstheme="minorEastAsia"/>
        </w:rPr>
      </w:pPr>
      <w:r>
        <w:rPr>
          <w:rFonts w:hint="eastAsia" w:asciiTheme="minorEastAsia" w:hAnsiTheme="minorEastAsia" w:eastAsiaTheme="minorEastAsia" w:cstheme="minorEastAsia"/>
        </w:rPr>
        <w:t>各电器应能单独拆装更换，不影响其他电器和导线束的固定；</w:t>
      </w:r>
    </w:p>
    <w:p>
      <w:pPr>
        <w:numPr>
          <w:ilvl w:val="0"/>
          <w:numId w:val="32"/>
        </w:numPr>
        <w:spacing w:line="360" w:lineRule="auto"/>
        <w:ind w:left="5" w:firstLine="415"/>
        <w:rPr>
          <w:rFonts w:asciiTheme="minorEastAsia" w:hAnsiTheme="minorEastAsia" w:eastAsiaTheme="minorEastAsia" w:cstheme="minorEastAsia"/>
        </w:rPr>
      </w:pPr>
      <w:r>
        <w:rPr>
          <w:rFonts w:hint="eastAsia" w:asciiTheme="minorEastAsia" w:hAnsiTheme="minorEastAsia" w:eastAsiaTheme="minorEastAsia" w:cstheme="minorEastAsia"/>
        </w:rPr>
        <w:t>发热元件应安装在散热良好的地方；两个发热元件之间的连线应采用耐热导线或裸铜线套瓷管；</w:t>
      </w:r>
    </w:p>
    <w:p>
      <w:pPr>
        <w:numPr>
          <w:ilvl w:val="0"/>
          <w:numId w:val="32"/>
        </w:numPr>
        <w:spacing w:line="360" w:lineRule="auto"/>
        <w:ind w:left="5" w:firstLine="415"/>
        <w:rPr>
          <w:rFonts w:asciiTheme="minorEastAsia" w:hAnsiTheme="minorEastAsia" w:eastAsiaTheme="minorEastAsia" w:cstheme="minorEastAsia"/>
        </w:rPr>
      </w:pPr>
      <w:r>
        <w:rPr>
          <w:rFonts w:hint="eastAsia" w:asciiTheme="minorEastAsia" w:hAnsiTheme="minorEastAsia" w:eastAsiaTheme="minorEastAsia" w:cstheme="minorEastAsia"/>
        </w:rPr>
        <w:t>信号灯、电铃、故障报警等信号装置工作可靠；各种仪器仪表显示准确，应急照明设施完好；</w:t>
      </w:r>
    </w:p>
    <w:p>
      <w:pPr>
        <w:numPr>
          <w:ilvl w:val="0"/>
          <w:numId w:val="32"/>
        </w:numPr>
        <w:spacing w:line="360" w:lineRule="auto"/>
        <w:ind w:left="5" w:firstLine="415"/>
        <w:rPr>
          <w:rFonts w:asciiTheme="minorEastAsia" w:hAnsiTheme="minorEastAsia" w:eastAsiaTheme="minorEastAsia" w:cstheme="minorEastAsia"/>
        </w:rPr>
      </w:pPr>
      <w:r>
        <w:rPr>
          <w:rFonts w:hint="eastAsia" w:asciiTheme="minorEastAsia" w:hAnsiTheme="minorEastAsia" w:eastAsiaTheme="minorEastAsia" w:cstheme="minorEastAsia"/>
        </w:rPr>
        <w:t>柜面装有电气仪表设备或其他有接地要求的电器其外壳应可靠接地；柜内应设置零（N）排、接地保护（PE）排，并应有明显标识符号；</w:t>
      </w:r>
    </w:p>
    <w:p>
      <w:pPr>
        <w:numPr>
          <w:ilvl w:val="0"/>
          <w:numId w:val="32"/>
        </w:numPr>
        <w:spacing w:line="360" w:lineRule="auto"/>
        <w:ind w:left="5" w:firstLine="415"/>
        <w:rPr>
          <w:rFonts w:asciiTheme="minorEastAsia" w:hAnsiTheme="minorEastAsia" w:eastAsiaTheme="minorEastAsia" w:cstheme="minorEastAsia"/>
        </w:rPr>
      </w:pPr>
      <w:r>
        <w:rPr>
          <w:rFonts w:hint="eastAsia" w:asciiTheme="minorEastAsia" w:hAnsiTheme="minorEastAsia" w:eastAsiaTheme="minorEastAsia" w:cstheme="minorEastAsia"/>
        </w:rPr>
        <w:t>熔断器的规格、自动开关的整定值应符合设计要求。</w:t>
      </w:r>
    </w:p>
    <w:p>
      <w:pPr>
        <w:pStyle w:val="26"/>
        <w:numPr>
          <w:ilvl w:val="3"/>
          <w:numId w:val="20"/>
        </w:numPr>
        <w:ind w:firstLineChars="0"/>
        <w:rPr>
          <w:szCs w:val="21"/>
        </w:rPr>
      </w:pPr>
      <w:r>
        <w:rPr>
          <w:szCs w:val="21"/>
        </w:rPr>
        <w:t>引入箱内缆线应符合以下规定：</w:t>
      </w:r>
    </w:p>
    <w:p>
      <w:pPr>
        <w:numPr>
          <w:ilvl w:val="0"/>
          <w:numId w:val="33"/>
        </w:numPr>
        <w:spacing w:line="360" w:lineRule="auto"/>
        <w:ind w:hanging="5"/>
        <w:rPr>
          <w:rFonts w:asciiTheme="minorEastAsia" w:hAnsiTheme="minorEastAsia" w:eastAsiaTheme="minorEastAsia" w:cstheme="minorEastAsia"/>
        </w:rPr>
      </w:pPr>
      <w:r>
        <w:rPr>
          <w:rFonts w:hint="eastAsia" w:asciiTheme="minorEastAsia" w:hAnsiTheme="minorEastAsia" w:eastAsiaTheme="minorEastAsia" w:cstheme="minorEastAsia"/>
        </w:rPr>
        <w:t>引入箱（柜、屏）内的电缆应排列整齐、避免交叉、固定牢靠，电缆回路编号清晰；</w:t>
      </w:r>
    </w:p>
    <w:p>
      <w:pPr>
        <w:numPr>
          <w:ilvl w:val="0"/>
          <w:numId w:val="33"/>
        </w:numPr>
        <w:spacing w:line="360" w:lineRule="auto"/>
        <w:ind w:hanging="5"/>
        <w:rPr>
          <w:rFonts w:asciiTheme="minorEastAsia" w:hAnsiTheme="minorEastAsia" w:eastAsiaTheme="minorEastAsia" w:cstheme="minorEastAsia"/>
        </w:rPr>
      </w:pPr>
      <w:r>
        <w:rPr>
          <w:rFonts w:hint="eastAsia" w:asciiTheme="minorEastAsia" w:hAnsiTheme="minorEastAsia" w:eastAsiaTheme="minorEastAsia" w:cstheme="minorEastAsia"/>
        </w:rPr>
        <w:t>铠装电缆在进入箱（柜、屏）后，应将钢带切断，切断处的端部应扎紧，并应将钢带接地；</w:t>
      </w:r>
    </w:p>
    <w:p>
      <w:pPr>
        <w:numPr>
          <w:ilvl w:val="0"/>
          <w:numId w:val="33"/>
        </w:numPr>
        <w:spacing w:line="360" w:lineRule="auto"/>
        <w:ind w:hanging="5"/>
        <w:rPr>
          <w:rFonts w:asciiTheme="minorEastAsia" w:hAnsiTheme="minorEastAsia" w:eastAsiaTheme="minorEastAsia" w:cstheme="minorEastAsia"/>
        </w:rPr>
      </w:pPr>
      <w:r>
        <w:rPr>
          <w:rFonts w:hint="eastAsia" w:asciiTheme="minorEastAsia" w:hAnsiTheme="minorEastAsia" w:eastAsiaTheme="minorEastAsia" w:cstheme="minorEastAsia"/>
        </w:rPr>
        <w:t>橡胶绝缘芯线应采用外套绝缘管保护；</w:t>
      </w:r>
    </w:p>
    <w:p>
      <w:pPr>
        <w:numPr>
          <w:ilvl w:val="0"/>
          <w:numId w:val="33"/>
        </w:numPr>
        <w:spacing w:line="360" w:lineRule="auto"/>
        <w:ind w:hanging="5"/>
        <w:rPr>
          <w:rFonts w:asciiTheme="minorEastAsia" w:hAnsiTheme="minorEastAsia" w:eastAsiaTheme="minorEastAsia" w:cstheme="minorEastAsia"/>
        </w:rPr>
      </w:pPr>
      <w:r>
        <w:rPr>
          <w:rFonts w:hint="eastAsia" w:asciiTheme="minorEastAsia" w:hAnsiTheme="minorEastAsia" w:eastAsiaTheme="minorEastAsia" w:cstheme="minorEastAsia"/>
        </w:rPr>
        <w:t>箱（柜、屏）内的电缆芯线应按横平竖直有规律地排列，不得任意歪斜交叉连接；</w:t>
      </w:r>
    </w:p>
    <w:p>
      <w:pPr>
        <w:numPr>
          <w:ilvl w:val="0"/>
          <w:numId w:val="33"/>
        </w:numPr>
        <w:spacing w:line="360" w:lineRule="auto"/>
        <w:ind w:hanging="5"/>
        <w:rPr>
          <w:rFonts w:asciiTheme="minorEastAsia" w:hAnsiTheme="minorEastAsia" w:eastAsiaTheme="minorEastAsia" w:cstheme="minorEastAsia"/>
        </w:rPr>
      </w:pPr>
      <w:r>
        <w:rPr>
          <w:rFonts w:hint="eastAsia" w:asciiTheme="minorEastAsia" w:hAnsiTheme="minorEastAsia" w:eastAsiaTheme="minorEastAsia" w:cstheme="minorEastAsia"/>
        </w:rPr>
        <w:t>备用芯线长度应有余量。</w:t>
      </w:r>
    </w:p>
    <w:p>
      <w:pPr>
        <w:pStyle w:val="26"/>
        <w:numPr>
          <w:ilvl w:val="3"/>
          <w:numId w:val="20"/>
        </w:numPr>
        <w:ind w:firstLineChars="0"/>
      </w:pPr>
      <w:r>
        <w:rPr>
          <w:szCs w:val="21"/>
        </w:rPr>
        <w:t>电源系统工程使用的器件及材料安装环境应保持干燥、少尘、通风，不应出现渗水、滴漏、结露现象。</w:t>
      </w:r>
      <w:bookmarkEnd w:id="658"/>
      <w:bookmarkEnd w:id="659"/>
      <w:bookmarkStart w:id="660" w:name="_Toc24411"/>
      <w:bookmarkStart w:id="661" w:name="_Toc2955"/>
      <w:bookmarkStart w:id="662" w:name="_Toc10992"/>
      <w:bookmarkStart w:id="663" w:name="_Toc6565"/>
      <w:bookmarkStart w:id="664" w:name="_Toc2883"/>
      <w:bookmarkStart w:id="665" w:name="_Toc7093"/>
      <w:bookmarkStart w:id="666" w:name="_Toc2405"/>
      <w:bookmarkStart w:id="667" w:name="_Toc5502"/>
    </w:p>
    <w:p>
      <w:pPr>
        <w:pStyle w:val="85"/>
        <w:numPr>
          <w:ilvl w:val="0"/>
          <w:numId w:val="20"/>
        </w:numPr>
        <w:spacing w:before="312" w:after="312"/>
        <w:outlineLvl w:val="0"/>
      </w:pPr>
      <w:bookmarkStart w:id="668" w:name="_Toc18900"/>
      <w:bookmarkStart w:id="669" w:name="_Toc12797"/>
      <w:r>
        <w:t>验收要求</w:t>
      </w:r>
      <w:bookmarkEnd w:id="660"/>
      <w:bookmarkEnd w:id="661"/>
      <w:bookmarkEnd w:id="662"/>
      <w:bookmarkEnd w:id="663"/>
      <w:bookmarkEnd w:id="664"/>
      <w:bookmarkEnd w:id="665"/>
      <w:bookmarkEnd w:id="666"/>
      <w:bookmarkEnd w:id="667"/>
      <w:bookmarkEnd w:id="668"/>
      <w:bookmarkEnd w:id="669"/>
    </w:p>
    <w:p>
      <w:pPr>
        <w:numPr>
          <w:ilvl w:val="8"/>
          <w:numId w:val="20"/>
        </w:numPr>
        <w:spacing w:line="360" w:lineRule="auto"/>
        <w:rPr>
          <w:rFonts w:asciiTheme="minorEastAsia" w:hAnsiTheme="minorEastAsia" w:eastAsiaTheme="minorEastAsia" w:cstheme="minorEastAsia"/>
          <w:szCs w:val="21"/>
        </w:rPr>
      </w:pPr>
      <w:bookmarkStart w:id="670" w:name="_Hlk517945720"/>
      <w:bookmarkStart w:id="671" w:name="_Toc13215"/>
      <w:bookmarkStart w:id="672" w:name="_Toc17456"/>
      <w:bookmarkStart w:id="673" w:name="_Toc27366"/>
      <w:bookmarkStart w:id="674" w:name="_Toc14262"/>
      <w:r>
        <w:rPr>
          <w:rFonts w:hint="eastAsia" w:asciiTheme="minorEastAsia" w:hAnsiTheme="minorEastAsia" w:eastAsiaTheme="minorEastAsia" w:cstheme="minorEastAsia"/>
          <w:szCs w:val="21"/>
        </w:rPr>
        <w:t>智慧灯杆智能系统验收应符合</w:t>
      </w:r>
      <w:bookmarkStart w:id="675" w:name="_Hlk515833585"/>
      <w:r>
        <w:rPr>
          <w:rFonts w:hint="eastAsia" w:asciiTheme="minorEastAsia" w:hAnsiTheme="minorEastAsia" w:eastAsiaTheme="minorEastAsia" w:cstheme="minorEastAsia"/>
          <w:szCs w:val="21"/>
        </w:rPr>
        <w:t>《城市道路照明设计标准》CJJ 45、《城市道路照明工程施工及验收规程》CJJ 89、《通信局（站）防雷与接地工程验收规范》GB 51120和《安全防范系统验收规则》GA 308</w:t>
      </w:r>
      <w:bookmarkEnd w:id="670"/>
      <w:bookmarkEnd w:id="675"/>
      <w:r>
        <w:rPr>
          <w:rFonts w:hint="eastAsia" w:asciiTheme="minorEastAsia" w:hAnsiTheme="minorEastAsia" w:eastAsiaTheme="minorEastAsia" w:cstheme="minorEastAsia"/>
          <w:szCs w:val="21"/>
        </w:rPr>
        <w:t>及其他智慧灯杆相关的国家或行业标准要求。</w:t>
      </w:r>
      <w:bookmarkEnd w:id="671"/>
      <w:bookmarkEnd w:id="672"/>
      <w:bookmarkEnd w:id="673"/>
      <w:bookmarkEnd w:id="674"/>
      <w:bookmarkStart w:id="676" w:name="_Toc503512807"/>
    </w:p>
    <w:p>
      <w:pPr>
        <w:numPr>
          <w:ilvl w:val="8"/>
          <w:numId w:val="20"/>
        </w:numPr>
        <w:spacing w:line="360" w:lineRule="auto"/>
        <w:rPr>
          <w:rFonts w:asciiTheme="minorEastAsia" w:hAnsiTheme="minorEastAsia" w:eastAsiaTheme="minorEastAsia" w:cstheme="minorEastAsia"/>
        </w:rPr>
      </w:pPr>
      <w:bookmarkStart w:id="677" w:name="_Toc2052"/>
      <w:bookmarkStart w:id="678" w:name="_Toc10656"/>
      <w:bookmarkStart w:id="679" w:name="_Toc26380"/>
      <w:bookmarkStart w:id="680" w:name="_Toc17839"/>
      <w:r>
        <w:rPr>
          <w:rFonts w:hint="eastAsia" w:asciiTheme="minorEastAsia" w:hAnsiTheme="minorEastAsia" w:eastAsiaTheme="minorEastAsia" w:cstheme="minorEastAsia"/>
          <w:szCs w:val="21"/>
        </w:rPr>
        <w:t>智慧灯杆工程质量应符合本规程和相关专业验收规范的规定，符合设计和招标合同等文件的要求，具备完整的施工技术资料。</w:t>
      </w:r>
      <w:bookmarkEnd w:id="677"/>
      <w:bookmarkEnd w:id="678"/>
      <w:bookmarkEnd w:id="679"/>
      <w:bookmarkEnd w:id="680"/>
    </w:p>
    <w:p>
      <w:pPr>
        <w:numPr>
          <w:ilvl w:val="8"/>
          <w:numId w:val="20"/>
        </w:numPr>
        <w:spacing w:line="360" w:lineRule="auto"/>
        <w:rPr>
          <w:rFonts w:asciiTheme="minorEastAsia" w:hAnsiTheme="minorEastAsia" w:eastAsiaTheme="minorEastAsia" w:cstheme="minorEastAsia"/>
          <w:szCs w:val="21"/>
        </w:rPr>
      </w:pPr>
      <w:bookmarkStart w:id="681" w:name="_Toc17848"/>
      <w:bookmarkStart w:id="682" w:name="_Toc3293"/>
      <w:bookmarkStart w:id="683" w:name="_Toc26550"/>
      <w:bookmarkStart w:id="684" w:name="_Toc13418"/>
      <w:r>
        <w:rPr>
          <w:rFonts w:hint="eastAsia" w:asciiTheme="minorEastAsia" w:hAnsiTheme="minorEastAsia" w:eastAsiaTheme="minorEastAsia" w:cstheme="minorEastAsia"/>
          <w:szCs w:val="21"/>
        </w:rPr>
        <w:t>智慧灯杆工程竣工后，施工单位应组织有关人员进行自检。</w:t>
      </w:r>
      <w:bookmarkEnd w:id="681"/>
      <w:bookmarkEnd w:id="682"/>
      <w:bookmarkEnd w:id="683"/>
      <w:bookmarkEnd w:id="684"/>
    </w:p>
    <w:p>
      <w:pPr>
        <w:numPr>
          <w:ilvl w:val="8"/>
          <w:numId w:val="20"/>
        </w:numPr>
        <w:spacing w:line="360" w:lineRule="auto"/>
        <w:rPr>
          <w:rFonts w:asciiTheme="minorEastAsia" w:hAnsiTheme="minorEastAsia" w:eastAsiaTheme="minorEastAsia" w:cstheme="minorEastAsia"/>
          <w:szCs w:val="21"/>
        </w:rPr>
      </w:pPr>
      <w:bookmarkStart w:id="685" w:name="_Toc12732"/>
      <w:bookmarkStart w:id="686" w:name="_Toc1004"/>
      <w:bookmarkStart w:id="687" w:name="_Toc12759"/>
      <w:bookmarkStart w:id="688" w:name="_Toc8878"/>
      <w:r>
        <w:rPr>
          <w:rFonts w:hint="eastAsia" w:asciiTheme="minorEastAsia" w:hAnsiTheme="minorEastAsia" w:eastAsiaTheme="minorEastAsia" w:cstheme="minorEastAsia"/>
          <w:szCs w:val="21"/>
        </w:rPr>
        <w:t>智慧灯杆工程的竣工验收应在自检合格后组织。总监理工程师应组织各专业监理工程师对工程质量进行竣工预验收。存在施工质量问题时，应由施工单位整改。整改完毕后，由施工单位向建设单位提交工程竣工报告，申请工程竣工验收。</w:t>
      </w:r>
      <w:bookmarkEnd w:id="685"/>
      <w:bookmarkEnd w:id="686"/>
      <w:bookmarkEnd w:id="687"/>
      <w:bookmarkEnd w:id="688"/>
    </w:p>
    <w:p>
      <w:pPr>
        <w:numPr>
          <w:ilvl w:val="8"/>
          <w:numId w:val="20"/>
        </w:numPr>
        <w:spacing w:line="360" w:lineRule="auto"/>
        <w:rPr>
          <w:rFonts w:asciiTheme="minorEastAsia" w:hAnsiTheme="minorEastAsia" w:eastAsiaTheme="minorEastAsia" w:cstheme="minorEastAsia"/>
        </w:rPr>
      </w:pPr>
      <w:bookmarkStart w:id="689" w:name="_Toc16786"/>
      <w:bookmarkStart w:id="690" w:name="_Toc11159"/>
      <w:bookmarkStart w:id="691" w:name="_Toc31038"/>
      <w:bookmarkStart w:id="692" w:name="_Toc3536"/>
      <w:r>
        <w:rPr>
          <w:rFonts w:hint="eastAsia" w:asciiTheme="minorEastAsia" w:hAnsiTheme="minorEastAsia" w:eastAsiaTheme="minorEastAsia" w:cstheme="minorEastAsia"/>
          <w:szCs w:val="21"/>
        </w:rPr>
        <w:t>建设单位收到工程竣工验收申请报告后，应组织监理、勘察、设计、施工、挂载设备运营等单位共同进行工程验收，验收人员现场检验或查验工程记录，对附录C.1涉及项目现场情况如实记录，符合要求的予以通过，对于影响使用的项目提出整改意见。</w:t>
      </w:r>
      <w:bookmarkEnd w:id="689"/>
      <w:bookmarkEnd w:id="690"/>
      <w:bookmarkEnd w:id="691"/>
      <w:bookmarkEnd w:id="692"/>
    </w:p>
    <w:p>
      <w:pPr>
        <w:numPr>
          <w:ilvl w:val="8"/>
          <w:numId w:val="20"/>
        </w:numPr>
        <w:spacing w:line="360" w:lineRule="auto"/>
        <w:rPr>
          <w:rFonts w:asciiTheme="minorEastAsia" w:hAnsiTheme="minorEastAsia" w:eastAsiaTheme="minorEastAsia" w:cstheme="minorEastAsia"/>
          <w:szCs w:val="21"/>
        </w:rPr>
      </w:pPr>
      <w:bookmarkStart w:id="693" w:name="_Toc6252"/>
      <w:bookmarkStart w:id="694" w:name="_Toc14202"/>
      <w:bookmarkStart w:id="695" w:name="_Toc26513"/>
      <w:bookmarkStart w:id="696" w:name="_Toc950"/>
      <w:r>
        <w:rPr>
          <w:rFonts w:hint="eastAsia" w:asciiTheme="minorEastAsia" w:hAnsiTheme="minorEastAsia" w:eastAsiaTheme="minorEastAsia" w:cstheme="minorEastAsia"/>
          <w:szCs w:val="21"/>
        </w:rPr>
        <w:t>智慧灯杆工程验收技术文件应包括但不限于以下内容：</w:t>
      </w:r>
      <w:bookmarkEnd w:id="693"/>
      <w:bookmarkEnd w:id="694"/>
      <w:bookmarkEnd w:id="695"/>
      <w:bookmarkEnd w:id="696"/>
    </w:p>
    <w:p>
      <w:pPr>
        <w:numPr>
          <w:ilvl w:val="0"/>
          <w:numId w:val="34"/>
        </w:numPr>
        <w:spacing w:line="360" w:lineRule="auto"/>
        <w:ind w:hanging="5"/>
        <w:rPr>
          <w:rFonts w:asciiTheme="minorEastAsia" w:hAnsiTheme="minorEastAsia" w:eastAsiaTheme="minorEastAsia" w:cstheme="minorEastAsia"/>
        </w:rPr>
      </w:pPr>
      <w:r>
        <w:rPr>
          <w:rFonts w:hint="eastAsia" w:asciiTheme="minorEastAsia" w:hAnsiTheme="minorEastAsia" w:eastAsiaTheme="minorEastAsia" w:cstheme="minorEastAsia"/>
        </w:rPr>
        <w:t>施工图纸会审记录、设计变更通知书；</w:t>
      </w:r>
    </w:p>
    <w:p>
      <w:pPr>
        <w:numPr>
          <w:ilvl w:val="0"/>
          <w:numId w:val="34"/>
        </w:numPr>
        <w:spacing w:line="360" w:lineRule="auto"/>
        <w:ind w:hanging="5"/>
        <w:rPr>
          <w:rFonts w:asciiTheme="minorEastAsia" w:hAnsiTheme="minorEastAsia" w:eastAsiaTheme="minorEastAsia" w:cstheme="minorEastAsia"/>
        </w:rPr>
      </w:pPr>
      <w:r>
        <w:rPr>
          <w:rFonts w:hint="eastAsia" w:asciiTheme="minorEastAsia" w:hAnsiTheme="minorEastAsia" w:eastAsiaTheme="minorEastAsia" w:cstheme="minorEastAsia"/>
        </w:rPr>
        <w:t>系统竣工报告及竣工图；</w:t>
      </w:r>
    </w:p>
    <w:p>
      <w:pPr>
        <w:numPr>
          <w:ilvl w:val="0"/>
          <w:numId w:val="34"/>
        </w:numPr>
        <w:spacing w:line="360" w:lineRule="auto"/>
        <w:ind w:hanging="5"/>
        <w:rPr>
          <w:rFonts w:asciiTheme="minorEastAsia" w:hAnsiTheme="minorEastAsia" w:eastAsiaTheme="minorEastAsia" w:cstheme="minorEastAsia"/>
        </w:rPr>
      </w:pPr>
      <w:r>
        <w:rPr>
          <w:rFonts w:hint="eastAsia" w:asciiTheme="minorEastAsia" w:hAnsiTheme="minorEastAsia" w:eastAsiaTheme="minorEastAsia" w:cstheme="minorEastAsia"/>
        </w:rPr>
        <w:t>设备清单及主要材料、设备出厂合格证明和进场检(试)验报告；</w:t>
      </w:r>
    </w:p>
    <w:p>
      <w:pPr>
        <w:numPr>
          <w:ilvl w:val="0"/>
          <w:numId w:val="34"/>
        </w:numPr>
        <w:spacing w:line="360" w:lineRule="auto"/>
        <w:ind w:hanging="5"/>
        <w:rPr>
          <w:rFonts w:asciiTheme="minorEastAsia" w:hAnsiTheme="minorEastAsia" w:eastAsiaTheme="minorEastAsia" w:cstheme="minorEastAsia"/>
        </w:rPr>
      </w:pPr>
      <w:r>
        <w:rPr>
          <w:rFonts w:hint="eastAsia" w:asciiTheme="minorEastAsia" w:hAnsiTheme="minorEastAsia" w:eastAsiaTheme="minorEastAsia" w:cstheme="minorEastAsia"/>
        </w:rPr>
        <w:t>隐蔽工程验收记录；</w:t>
      </w:r>
    </w:p>
    <w:p>
      <w:pPr>
        <w:numPr>
          <w:ilvl w:val="0"/>
          <w:numId w:val="34"/>
        </w:numPr>
        <w:spacing w:line="360" w:lineRule="auto"/>
        <w:ind w:hanging="5"/>
        <w:rPr>
          <w:rFonts w:asciiTheme="minorEastAsia" w:hAnsiTheme="minorEastAsia" w:eastAsiaTheme="minorEastAsia" w:cstheme="minorEastAsia"/>
        </w:rPr>
      </w:pPr>
      <w:r>
        <w:rPr>
          <w:rFonts w:hint="eastAsia" w:asciiTheme="minorEastAsia" w:hAnsiTheme="minorEastAsia" w:eastAsiaTheme="minorEastAsia" w:cstheme="minorEastAsia"/>
        </w:rPr>
        <w:t>现场安装调试报告；</w:t>
      </w:r>
    </w:p>
    <w:p>
      <w:pPr>
        <w:numPr>
          <w:ilvl w:val="0"/>
          <w:numId w:val="34"/>
        </w:numPr>
        <w:spacing w:line="360" w:lineRule="auto"/>
        <w:ind w:hanging="5"/>
        <w:rPr>
          <w:rFonts w:asciiTheme="minorEastAsia" w:hAnsiTheme="minorEastAsia" w:eastAsiaTheme="minorEastAsia" w:cstheme="minorEastAsia"/>
        </w:rPr>
      </w:pPr>
      <w:r>
        <w:rPr>
          <w:rFonts w:hint="eastAsia" w:asciiTheme="minorEastAsia" w:hAnsiTheme="minorEastAsia" w:eastAsiaTheme="minorEastAsia" w:cstheme="minorEastAsia"/>
        </w:rPr>
        <w:t>挂载设备工程预验收记录；</w:t>
      </w:r>
    </w:p>
    <w:p>
      <w:pPr>
        <w:numPr>
          <w:ilvl w:val="0"/>
          <w:numId w:val="34"/>
        </w:numPr>
        <w:spacing w:line="360" w:lineRule="auto"/>
        <w:ind w:hanging="5"/>
        <w:rPr>
          <w:rFonts w:asciiTheme="minorEastAsia" w:hAnsiTheme="minorEastAsia" w:eastAsiaTheme="minorEastAsia" w:cstheme="minorEastAsia"/>
        </w:rPr>
      </w:pPr>
      <w:r>
        <w:rPr>
          <w:rFonts w:hint="eastAsia" w:asciiTheme="minorEastAsia" w:hAnsiTheme="minorEastAsia" w:eastAsiaTheme="minorEastAsia" w:cstheme="minorEastAsia"/>
        </w:rPr>
        <w:t>客户或竣工验收要求提交的其它资料。</w:t>
      </w:r>
    </w:p>
    <w:p>
      <w:pPr>
        <w:numPr>
          <w:ilvl w:val="8"/>
          <w:numId w:val="20"/>
        </w:numPr>
        <w:spacing w:line="360" w:lineRule="auto"/>
        <w:rPr>
          <w:rFonts w:asciiTheme="minorEastAsia" w:hAnsiTheme="minorEastAsia" w:eastAsiaTheme="minorEastAsia" w:cstheme="minorEastAsia"/>
          <w:szCs w:val="21"/>
        </w:rPr>
      </w:pPr>
      <w:bookmarkStart w:id="697" w:name="_Toc20631"/>
      <w:bookmarkStart w:id="698" w:name="_Toc11339"/>
      <w:bookmarkStart w:id="699" w:name="_Toc10646"/>
      <w:bookmarkStart w:id="700" w:name="_Toc26377"/>
      <w:r>
        <w:rPr>
          <w:rFonts w:hint="eastAsia" w:asciiTheme="minorEastAsia" w:hAnsiTheme="minorEastAsia" w:eastAsiaTheme="minorEastAsia" w:cstheme="minorEastAsia"/>
          <w:szCs w:val="21"/>
        </w:rPr>
        <w:t>检查设备的数量、型号、生产厂家、安装位置，应与工程合同、设计文件、设备清单相符合，设备清单及安装位置变更后应有更改审核单。</w:t>
      </w:r>
      <w:bookmarkEnd w:id="697"/>
      <w:bookmarkEnd w:id="698"/>
      <w:bookmarkEnd w:id="699"/>
      <w:bookmarkEnd w:id="700"/>
    </w:p>
    <w:p>
      <w:pPr>
        <w:pStyle w:val="26"/>
        <w:numPr>
          <w:ilvl w:val="255"/>
          <w:numId w:val="0"/>
        </w:numPr>
        <w:rPr>
          <w:szCs w:val="21"/>
        </w:rPr>
      </w:pPr>
    </w:p>
    <w:p>
      <w:bookmarkStart w:id="701" w:name="_Toc473"/>
      <w:bookmarkStart w:id="702" w:name="_Toc20295"/>
      <w:bookmarkStart w:id="703" w:name="_Toc22285"/>
      <w:bookmarkStart w:id="704" w:name="_Toc23423"/>
      <w:bookmarkStart w:id="705" w:name="_Toc20797"/>
      <w:bookmarkStart w:id="706" w:name="_Toc5095"/>
      <w:bookmarkStart w:id="707" w:name="_Toc4134"/>
      <w:bookmarkStart w:id="708" w:name="_Toc27573"/>
      <w:r>
        <w:br w:type="page"/>
      </w:r>
    </w:p>
    <w:p>
      <w:pPr>
        <w:pStyle w:val="85"/>
        <w:numPr>
          <w:ilvl w:val="0"/>
          <w:numId w:val="20"/>
        </w:numPr>
        <w:spacing w:before="312" w:after="312"/>
        <w:outlineLvl w:val="0"/>
      </w:pPr>
      <w:bookmarkStart w:id="709" w:name="_Toc2598"/>
      <w:bookmarkStart w:id="710" w:name="_Toc19085"/>
      <w:r>
        <w:t>运行和维护</w:t>
      </w:r>
      <w:bookmarkEnd w:id="701"/>
      <w:bookmarkEnd w:id="702"/>
      <w:bookmarkEnd w:id="703"/>
      <w:bookmarkEnd w:id="704"/>
      <w:bookmarkEnd w:id="705"/>
      <w:bookmarkEnd w:id="706"/>
      <w:bookmarkEnd w:id="707"/>
      <w:bookmarkEnd w:id="708"/>
      <w:bookmarkEnd w:id="709"/>
      <w:bookmarkEnd w:id="710"/>
    </w:p>
    <w:p>
      <w:pPr>
        <w:pStyle w:val="53"/>
        <w:numPr>
          <w:ilvl w:val="1"/>
          <w:numId w:val="20"/>
        </w:numPr>
        <w:spacing w:before="156" w:after="156"/>
        <w:outlineLvl w:val="1"/>
      </w:pPr>
      <w:bookmarkStart w:id="711" w:name="_Toc18115"/>
      <w:bookmarkStart w:id="712" w:name="_Toc3210"/>
      <w:bookmarkStart w:id="713" w:name="_Toc24622"/>
      <w:bookmarkStart w:id="714" w:name="_Toc26969"/>
      <w:bookmarkStart w:id="715" w:name="_Toc13663"/>
      <w:bookmarkStart w:id="716" w:name="_Toc16635"/>
      <w:bookmarkStart w:id="717" w:name="_Toc3853"/>
      <w:bookmarkStart w:id="718" w:name="_Toc12967"/>
      <w:bookmarkStart w:id="719" w:name="_Toc7545"/>
      <w:bookmarkStart w:id="720" w:name="_Toc6290"/>
      <w:r>
        <w:rPr>
          <w:rFonts w:hint="eastAsia"/>
        </w:rPr>
        <w:t>总体要求</w:t>
      </w:r>
      <w:bookmarkEnd w:id="711"/>
      <w:bookmarkEnd w:id="712"/>
      <w:bookmarkEnd w:id="713"/>
      <w:bookmarkEnd w:id="714"/>
      <w:bookmarkEnd w:id="715"/>
      <w:bookmarkEnd w:id="716"/>
      <w:bookmarkEnd w:id="717"/>
      <w:bookmarkEnd w:id="718"/>
      <w:bookmarkEnd w:id="719"/>
      <w:bookmarkEnd w:id="720"/>
    </w:p>
    <w:p>
      <w:pPr>
        <w:pStyle w:val="49"/>
        <w:numPr>
          <w:ilvl w:val="2"/>
          <w:numId w:val="20"/>
        </w:numPr>
        <w:tabs>
          <w:tab w:val="center" w:pos="4201"/>
          <w:tab w:val="right" w:leader="dot" w:pos="9298"/>
        </w:tabs>
        <w:rPr>
          <w:u w:color="4F81BD"/>
        </w:rPr>
      </w:pPr>
      <w:r>
        <w:rPr>
          <w:u w:color="4F81BD"/>
        </w:rPr>
        <w:t>智慧灯杆的管理与维护分为公共</w:t>
      </w:r>
      <w:r>
        <w:rPr>
          <w:rFonts w:hint="eastAsia"/>
          <w:u w:color="4F81BD"/>
        </w:rPr>
        <w:t>维护</w:t>
      </w:r>
      <w:r>
        <w:rPr>
          <w:u w:color="4F81BD"/>
        </w:rPr>
        <w:t>部分和</w:t>
      </w:r>
      <w:r>
        <w:rPr>
          <w:rFonts w:hint="eastAsia"/>
          <w:u w:color="4F81BD"/>
        </w:rPr>
        <w:t>专业维护</w:t>
      </w:r>
      <w:r>
        <w:rPr>
          <w:u w:color="4F81BD"/>
        </w:rPr>
        <w:t>部分。公共维护部分包括</w:t>
      </w:r>
      <w:r>
        <w:rPr>
          <w:rFonts w:hint="eastAsia"/>
          <w:u w:color="4F81BD"/>
        </w:rPr>
        <w:t>智慧照明模块、</w:t>
      </w:r>
      <w:r>
        <w:rPr>
          <w:u w:color="4F81BD"/>
        </w:rPr>
        <w:t>杆体、系统平台</w:t>
      </w:r>
      <w:r>
        <w:rPr>
          <w:rFonts w:hint="eastAsia"/>
          <w:u w:color="4F81BD"/>
        </w:rPr>
        <w:t>、综合机箱、综合机房</w:t>
      </w:r>
      <w:r>
        <w:rPr>
          <w:u w:color="4F81BD"/>
        </w:rPr>
        <w:t>、供电</w:t>
      </w:r>
      <w:r>
        <w:rPr>
          <w:rFonts w:hint="eastAsia"/>
          <w:u w:color="4F81BD"/>
        </w:rPr>
        <w:t>系统</w:t>
      </w:r>
      <w:r>
        <w:rPr>
          <w:u w:color="4F81BD"/>
        </w:rPr>
        <w:t>、配套管</w:t>
      </w:r>
      <w:r>
        <w:rPr>
          <w:rFonts w:hint="eastAsia"/>
          <w:u w:color="4F81BD"/>
        </w:rPr>
        <w:t>道</w:t>
      </w:r>
      <w:r>
        <w:rPr>
          <w:u w:color="4F81BD"/>
        </w:rPr>
        <w:t>等，其余为专业维护部分。</w:t>
      </w:r>
    </w:p>
    <w:p>
      <w:pPr>
        <w:pStyle w:val="49"/>
        <w:numPr>
          <w:ilvl w:val="2"/>
          <w:numId w:val="20"/>
        </w:numPr>
        <w:tabs>
          <w:tab w:val="center" w:pos="4201"/>
          <w:tab w:val="right" w:leader="dot" w:pos="9298"/>
        </w:tabs>
        <w:rPr>
          <w:u w:color="4F81BD"/>
        </w:rPr>
      </w:pPr>
      <w:r>
        <w:rPr>
          <w:u w:color="4F81BD"/>
        </w:rPr>
        <w:t>公共维护部分由专业的智慧灯杆维护队伍进行统一维护。对于专业维护部分，由挂载设备所归属部门进行维护。</w:t>
      </w:r>
    </w:p>
    <w:p>
      <w:pPr>
        <w:pStyle w:val="49"/>
        <w:numPr>
          <w:ilvl w:val="2"/>
          <w:numId w:val="20"/>
        </w:numPr>
        <w:tabs>
          <w:tab w:val="center" w:pos="4201"/>
          <w:tab w:val="right" w:leader="dot" w:pos="9298"/>
        </w:tabs>
        <w:rPr>
          <w:u w:color="4F81BD"/>
        </w:rPr>
      </w:pPr>
      <w:r>
        <w:rPr>
          <w:u w:color="4F81BD"/>
        </w:rPr>
        <w:t>智慧灯杆公共维护部分的管理及维护应遵循以下规定：</w:t>
      </w:r>
    </w:p>
    <w:p>
      <w:pPr>
        <w:pStyle w:val="26"/>
        <w:numPr>
          <w:ilvl w:val="0"/>
          <w:numId w:val="35"/>
        </w:numPr>
        <w:tabs>
          <w:tab w:val="clear" w:pos="4201"/>
          <w:tab w:val="clear" w:pos="9298"/>
        </w:tabs>
        <w:ind w:left="845" w:firstLineChars="0"/>
        <w:rPr>
          <w:szCs w:val="21"/>
        </w:rPr>
      </w:pPr>
      <w:r>
        <w:rPr>
          <w:rFonts w:hint="eastAsia"/>
          <w:u w:color="4F81BD"/>
        </w:rPr>
        <w:t>智慧路灯的平台维护应按规定对平台各项数据和指标进行日常检查，对平台所涉及的设备工况进行巡检，对平台运行中发生的系统故障和错误及时清除</w:t>
      </w:r>
      <w:r>
        <w:rPr>
          <w:rFonts w:hint="eastAsia"/>
          <w:szCs w:val="21"/>
        </w:rPr>
        <w:t>。</w:t>
      </w:r>
    </w:p>
    <w:p>
      <w:pPr>
        <w:pStyle w:val="26"/>
        <w:numPr>
          <w:ilvl w:val="0"/>
          <w:numId w:val="35"/>
        </w:numPr>
        <w:tabs>
          <w:tab w:val="clear" w:pos="4201"/>
          <w:tab w:val="clear" w:pos="9298"/>
        </w:tabs>
        <w:ind w:left="845" w:firstLineChars="0"/>
        <w:rPr>
          <w:szCs w:val="21"/>
        </w:rPr>
      </w:pPr>
      <w:r>
        <w:rPr>
          <w:rFonts w:hint="eastAsia"/>
          <w:szCs w:val="21"/>
        </w:rPr>
        <w:t>智慧灯杆维护单位应制定智慧灯杆的维护管理制度，配备专人负责智慧灯杆相关的管理、操作和维护，并如实填写系统运维记录。</w:t>
      </w:r>
    </w:p>
    <w:p>
      <w:pPr>
        <w:pStyle w:val="26"/>
        <w:numPr>
          <w:ilvl w:val="0"/>
          <w:numId w:val="35"/>
        </w:numPr>
        <w:tabs>
          <w:tab w:val="clear" w:pos="4201"/>
          <w:tab w:val="clear" w:pos="9298"/>
        </w:tabs>
        <w:ind w:left="845" w:firstLineChars="0"/>
        <w:rPr>
          <w:szCs w:val="21"/>
        </w:rPr>
      </w:pPr>
      <w:r>
        <w:rPr>
          <w:rFonts w:hint="eastAsia"/>
          <w:szCs w:val="21"/>
        </w:rPr>
        <w:t xml:space="preserve">应日常性检查供电控制箱、杆体及系统相应设备的完整性和运行状态；每年台风、雷雨季节，应提前做好检查和检修工作，检查与测试系统各类接地器（极）接地电阻，并应定期检查防雷与防电涌保护器，确保其在线有效性；接地电阻小于4欧姆。 </w:t>
      </w:r>
    </w:p>
    <w:p>
      <w:pPr>
        <w:pStyle w:val="26"/>
        <w:numPr>
          <w:ilvl w:val="0"/>
          <w:numId w:val="35"/>
        </w:numPr>
        <w:tabs>
          <w:tab w:val="clear" w:pos="4201"/>
          <w:tab w:val="clear" w:pos="9298"/>
        </w:tabs>
        <w:ind w:left="845" w:firstLineChars="0"/>
        <w:rPr>
          <w:szCs w:val="21"/>
        </w:rPr>
      </w:pPr>
      <w:r>
        <w:rPr>
          <w:rFonts w:hint="eastAsia"/>
          <w:szCs w:val="21"/>
        </w:rPr>
        <w:t>智慧灯杆维护单位每季度至少应对系统平台进行一次功能检查，并出具系统运行维护报告；应按国家规定或制造厂设定的检定周期对现场设备进行检定，并应按制造厂规定的产品设计寿命年限进行更换。</w:t>
      </w:r>
    </w:p>
    <w:p>
      <w:pPr>
        <w:pStyle w:val="26"/>
        <w:numPr>
          <w:ilvl w:val="0"/>
          <w:numId w:val="35"/>
        </w:numPr>
        <w:tabs>
          <w:tab w:val="clear" w:pos="4201"/>
          <w:tab w:val="clear" w:pos="9298"/>
        </w:tabs>
        <w:ind w:left="845" w:firstLineChars="0"/>
        <w:rPr>
          <w:szCs w:val="21"/>
        </w:rPr>
      </w:pPr>
      <w:r>
        <w:rPr>
          <w:rFonts w:hint="eastAsia"/>
          <w:szCs w:val="21"/>
        </w:rPr>
        <w:t xml:space="preserve">应做好备品、备件的使用登记，确保备品、备件使用的技术参数符合相关设计要求； </w:t>
      </w:r>
    </w:p>
    <w:p>
      <w:pPr>
        <w:pStyle w:val="26"/>
        <w:numPr>
          <w:ilvl w:val="0"/>
          <w:numId w:val="35"/>
        </w:numPr>
        <w:tabs>
          <w:tab w:val="clear" w:pos="4201"/>
          <w:tab w:val="clear" w:pos="9298"/>
        </w:tabs>
        <w:ind w:left="845" w:firstLineChars="0"/>
        <w:rPr>
          <w:szCs w:val="21"/>
        </w:rPr>
      </w:pPr>
      <w:r>
        <w:rPr>
          <w:rFonts w:hint="eastAsia"/>
          <w:szCs w:val="21"/>
        </w:rPr>
        <w:t>定期对维护人员进行培训，</w:t>
      </w:r>
      <w:r>
        <w:rPr>
          <w:rFonts w:hint="eastAsia"/>
        </w:rPr>
        <w:t>及时处理复杂情况，必要时与承建方或厂家联系，承建方或厂家有义务及时提供技术支持。</w:t>
      </w:r>
      <w:r>
        <w:rPr>
          <w:rFonts w:hint="eastAsia"/>
          <w:szCs w:val="21"/>
        </w:rPr>
        <w:t xml:space="preserve"> </w:t>
      </w:r>
    </w:p>
    <w:p>
      <w:pPr>
        <w:pStyle w:val="26"/>
        <w:numPr>
          <w:ilvl w:val="0"/>
          <w:numId w:val="35"/>
        </w:numPr>
        <w:tabs>
          <w:tab w:val="clear" w:pos="4201"/>
          <w:tab w:val="clear" w:pos="9298"/>
        </w:tabs>
        <w:ind w:left="845" w:firstLineChars="0"/>
        <w:rPr>
          <w:szCs w:val="21"/>
        </w:rPr>
      </w:pPr>
      <w:r>
        <w:rPr>
          <w:rFonts w:hint="eastAsia"/>
          <w:szCs w:val="21"/>
        </w:rPr>
        <w:t>在智慧灯杆上接入设备需向有关部门提出申请，审核通过后方可添加设备资源，禁止单位或个人擅自架设通讯线缆或者随意接入、拆除、迁移、改动设备。</w:t>
      </w:r>
    </w:p>
    <w:p>
      <w:pPr>
        <w:numPr>
          <w:ilvl w:val="2"/>
          <w:numId w:val="20"/>
        </w:numPr>
        <w:tabs>
          <w:tab w:val="center" w:pos="4201"/>
          <w:tab w:val="right" w:leader="dot" w:pos="9298"/>
        </w:tabs>
        <w:autoSpaceDE w:val="0"/>
        <w:autoSpaceDN w:val="0"/>
        <w:spacing w:line="360" w:lineRule="auto"/>
        <w:rPr>
          <w:rFonts w:ascii="宋体" w:hAnsi="宋体"/>
        </w:rPr>
      </w:pPr>
      <w:r>
        <w:rPr>
          <w:rFonts w:ascii="宋体" w:hAnsi="宋体"/>
        </w:rPr>
        <w:t>应制定健全的文档管理制度，对技术档案和资料进行</w:t>
      </w:r>
      <w:r>
        <w:rPr>
          <w:rFonts w:hint="eastAsia" w:ascii="宋体" w:hAnsi="宋体"/>
        </w:rPr>
        <w:t>专职</w:t>
      </w:r>
      <w:r>
        <w:rPr>
          <w:rFonts w:ascii="宋体" w:hAnsi="宋体"/>
        </w:rPr>
        <w:t>有效管理，应健全必要的技术资料和原始记录，包括但不限于以下内容:</w:t>
      </w:r>
    </w:p>
    <w:p>
      <w:pPr>
        <w:pStyle w:val="26"/>
        <w:numPr>
          <w:ilvl w:val="0"/>
          <w:numId w:val="36"/>
        </w:numPr>
        <w:tabs>
          <w:tab w:val="clear" w:pos="4201"/>
          <w:tab w:val="clear" w:pos="9298"/>
        </w:tabs>
        <w:ind w:left="845" w:firstLineChars="0"/>
        <w:rPr>
          <w:szCs w:val="21"/>
        </w:rPr>
      </w:pPr>
      <w:r>
        <w:rPr>
          <w:rFonts w:hint="eastAsia"/>
          <w:szCs w:val="21"/>
        </w:rPr>
        <w:t>系统相关技术资料；</w:t>
      </w:r>
    </w:p>
    <w:p>
      <w:pPr>
        <w:pStyle w:val="26"/>
        <w:numPr>
          <w:ilvl w:val="0"/>
          <w:numId w:val="36"/>
        </w:numPr>
        <w:tabs>
          <w:tab w:val="clear" w:pos="4201"/>
          <w:tab w:val="clear" w:pos="9298"/>
        </w:tabs>
        <w:ind w:left="845" w:firstLineChars="0"/>
        <w:rPr>
          <w:szCs w:val="21"/>
        </w:rPr>
      </w:pPr>
      <w:r>
        <w:rPr>
          <w:rFonts w:hint="eastAsia"/>
          <w:szCs w:val="21"/>
        </w:rPr>
        <w:t>设备布置图、IP地址分布图；</w:t>
      </w:r>
    </w:p>
    <w:p>
      <w:pPr>
        <w:pStyle w:val="26"/>
        <w:numPr>
          <w:ilvl w:val="0"/>
          <w:numId w:val="36"/>
        </w:numPr>
        <w:tabs>
          <w:tab w:val="clear" w:pos="4201"/>
          <w:tab w:val="clear" w:pos="9298"/>
        </w:tabs>
        <w:ind w:left="845" w:firstLineChars="0"/>
        <w:rPr>
          <w:szCs w:val="21"/>
        </w:rPr>
      </w:pPr>
      <w:r>
        <w:rPr>
          <w:rFonts w:hint="eastAsia"/>
          <w:szCs w:val="21"/>
        </w:rPr>
        <w:t>网络连接图和相关配置资料；</w:t>
      </w:r>
    </w:p>
    <w:p>
      <w:pPr>
        <w:pStyle w:val="26"/>
        <w:numPr>
          <w:ilvl w:val="0"/>
          <w:numId w:val="36"/>
        </w:numPr>
        <w:tabs>
          <w:tab w:val="clear" w:pos="4201"/>
          <w:tab w:val="clear" w:pos="9298"/>
        </w:tabs>
        <w:ind w:left="845" w:firstLineChars="0"/>
        <w:rPr>
          <w:szCs w:val="21"/>
        </w:rPr>
      </w:pPr>
      <w:r>
        <w:rPr>
          <w:rFonts w:hint="eastAsia"/>
          <w:szCs w:val="21"/>
        </w:rPr>
        <w:t>各类软硬件设备配置清单；</w:t>
      </w:r>
    </w:p>
    <w:p>
      <w:pPr>
        <w:pStyle w:val="26"/>
        <w:numPr>
          <w:ilvl w:val="0"/>
          <w:numId w:val="36"/>
        </w:numPr>
        <w:tabs>
          <w:tab w:val="clear" w:pos="4201"/>
          <w:tab w:val="clear" w:pos="9298"/>
        </w:tabs>
        <w:ind w:left="845" w:firstLineChars="0"/>
        <w:rPr>
          <w:szCs w:val="21"/>
        </w:rPr>
      </w:pPr>
      <w:r>
        <w:rPr>
          <w:rFonts w:hint="eastAsia"/>
          <w:szCs w:val="21"/>
        </w:rPr>
        <w:t>设备或系统使用手册、维护手册等资料；</w:t>
      </w:r>
    </w:p>
    <w:p>
      <w:pPr>
        <w:pStyle w:val="26"/>
        <w:numPr>
          <w:ilvl w:val="0"/>
          <w:numId w:val="36"/>
        </w:numPr>
        <w:tabs>
          <w:tab w:val="clear" w:pos="4201"/>
          <w:tab w:val="clear" w:pos="9298"/>
        </w:tabs>
        <w:ind w:left="845" w:firstLineChars="0"/>
        <w:rPr>
          <w:szCs w:val="21"/>
        </w:rPr>
      </w:pPr>
      <w:r>
        <w:rPr>
          <w:rFonts w:hint="eastAsia"/>
          <w:szCs w:val="21"/>
        </w:rPr>
        <w:t>变更资料；</w:t>
      </w:r>
    </w:p>
    <w:p>
      <w:pPr>
        <w:pStyle w:val="26"/>
        <w:numPr>
          <w:ilvl w:val="0"/>
          <w:numId w:val="36"/>
        </w:numPr>
        <w:tabs>
          <w:tab w:val="clear" w:pos="4201"/>
          <w:tab w:val="clear" w:pos="9298"/>
        </w:tabs>
        <w:ind w:left="845" w:firstLineChars="0"/>
        <w:rPr>
          <w:szCs w:val="21"/>
        </w:rPr>
      </w:pPr>
      <w:r>
        <w:rPr>
          <w:rFonts w:hint="eastAsia"/>
          <w:szCs w:val="21"/>
        </w:rPr>
        <w:t>所有软件的介质、许可证、版本资料及补丁资料；</w:t>
      </w:r>
    </w:p>
    <w:p>
      <w:pPr>
        <w:pStyle w:val="26"/>
        <w:numPr>
          <w:ilvl w:val="0"/>
          <w:numId w:val="36"/>
        </w:numPr>
        <w:tabs>
          <w:tab w:val="clear" w:pos="4201"/>
          <w:tab w:val="clear" w:pos="9298"/>
        </w:tabs>
        <w:ind w:left="845" w:firstLineChars="0"/>
        <w:rPr>
          <w:szCs w:val="21"/>
        </w:rPr>
      </w:pPr>
      <w:r>
        <w:rPr>
          <w:rFonts w:hint="eastAsia"/>
          <w:szCs w:val="21"/>
        </w:rPr>
        <w:t>所有软件的安装手册、操作使用手册、应用开发手册等技术资料；</w:t>
      </w:r>
    </w:p>
    <w:p>
      <w:pPr>
        <w:pStyle w:val="26"/>
        <w:numPr>
          <w:ilvl w:val="0"/>
          <w:numId w:val="36"/>
        </w:numPr>
        <w:tabs>
          <w:tab w:val="clear" w:pos="4201"/>
          <w:tab w:val="clear" w:pos="9298"/>
        </w:tabs>
        <w:ind w:left="845" w:firstLineChars="0"/>
        <w:rPr>
          <w:szCs w:val="21"/>
        </w:rPr>
      </w:pPr>
      <w:r>
        <w:rPr>
          <w:rFonts w:hint="eastAsia"/>
          <w:szCs w:val="21"/>
        </w:rPr>
        <w:t>上述资料的变更记录。</w:t>
      </w:r>
    </w:p>
    <w:p>
      <w:pPr>
        <w:pStyle w:val="53"/>
        <w:numPr>
          <w:ilvl w:val="1"/>
          <w:numId w:val="20"/>
        </w:numPr>
        <w:spacing w:before="156" w:after="156"/>
        <w:outlineLvl w:val="1"/>
      </w:pPr>
      <w:bookmarkStart w:id="721" w:name="_Toc1458"/>
      <w:bookmarkStart w:id="722" w:name="_Toc28191"/>
      <w:bookmarkStart w:id="723" w:name="_Toc17948"/>
      <w:bookmarkStart w:id="724" w:name="_Toc25305"/>
      <w:bookmarkStart w:id="725" w:name="_Toc17806"/>
      <w:bookmarkStart w:id="726" w:name="_Toc21659"/>
      <w:bookmarkStart w:id="727" w:name="_Toc15341"/>
      <w:bookmarkStart w:id="728" w:name="_Toc5984"/>
      <w:bookmarkStart w:id="729" w:name="_Toc2711"/>
      <w:bookmarkStart w:id="730" w:name="_Toc19998"/>
      <w:r>
        <w:rPr>
          <w:rFonts w:hint="eastAsia"/>
        </w:rPr>
        <w:t>综合机房</w:t>
      </w:r>
      <w:bookmarkEnd w:id="721"/>
      <w:bookmarkEnd w:id="722"/>
      <w:bookmarkEnd w:id="723"/>
      <w:bookmarkEnd w:id="724"/>
      <w:bookmarkEnd w:id="725"/>
      <w:bookmarkEnd w:id="726"/>
      <w:bookmarkEnd w:id="727"/>
      <w:bookmarkEnd w:id="728"/>
      <w:bookmarkEnd w:id="729"/>
      <w:bookmarkEnd w:id="730"/>
    </w:p>
    <w:p>
      <w:pPr>
        <w:pStyle w:val="52"/>
        <w:numPr>
          <w:ilvl w:val="2"/>
          <w:numId w:val="20"/>
        </w:numPr>
        <w:spacing w:before="156" w:after="156"/>
        <w:outlineLvl w:val="2"/>
      </w:pPr>
      <w:bookmarkStart w:id="731" w:name="_Toc13438"/>
      <w:bookmarkStart w:id="732" w:name="_Toc12794"/>
      <w:bookmarkStart w:id="733" w:name="_Toc1184"/>
      <w:bookmarkStart w:id="734" w:name="_Toc5772"/>
      <w:bookmarkStart w:id="735" w:name="_Toc23276"/>
      <w:bookmarkStart w:id="736" w:name="_Toc12814"/>
      <w:bookmarkStart w:id="737" w:name="_Toc6984"/>
      <w:bookmarkStart w:id="738" w:name="_Toc9356"/>
      <w:bookmarkStart w:id="739" w:name="_Toc7849"/>
      <w:bookmarkStart w:id="740" w:name="_Toc9051"/>
      <w:r>
        <w:rPr>
          <w:rFonts w:hint="eastAsia"/>
        </w:rPr>
        <w:t>日常巡检</w:t>
      </w:r>
      <w:bookmarkEnd w:id="731"/>
      <w:bookmarkEnd w:id="732"/>
      <w:bookmarkEnd w:id="733"/>
      <w:bookmarkEnd w:id="734"/>
      <w:bookmarkEnd w:id="735"/>
      <w:bookmarkEnd w:id="736"/>
      <w:bookmarkEnd w:id="737"/>
      <w:bookmarkEnd w:id="738"/>
      <w:bookmarkEnd w:id="739"/>
      <w:bookmarkEnd w:id="740"/>
    </w:p>
    <w:p>
      <w:pPr>
        <w:pStyle w:val="26"/>
        <w:numPr>
          <w:ilvl w:val="3"/>
          <w:numId w:val="20"/>
        </w:numPr>
        <w:ind w:firstLineChars="0"/>
        <w:rPr>
          <w:szCs w:val="21"/>
        </w:rPr>
      </w:pPr>
      <w:r>
        <w:rPr>
          <w:rFonts w:hint="eastAsia"/>
        </w:rPr>
        <w:t>应制定综合机房日常巡检管理规定。</w:t>
      </w:r>
    </w:p>
    <w:p>
      <w:pPr>
        <w:pStyle w:val="26"/>
        <w:numPr>
          <w:ilvl w:val="3"/>
          <w:numId w:val="20"/>
        </w:numPr>
        <w:ind w:firstLineChars="0"/>
        <w:rPr>
          <w:szCs w:val="21"/>
        </w:rPr>
      </w:pPr>
      <w:r>
        <w:rPr>
          <w:rFonts w:hint="eastAsia"/>
          <w:szCs w:val="21"/>
        </w:rPr>
        <w:t>维护人员在进入和离开综合机房时必须在现场《综合机房出入登记本》进行登记，严禁非维护工作人员进入综合机房，特殊情况需经综合机房值班负责人批准，并认真填写登记表后方进入。</w:t>
      </w:r>
    </w:p>
    <w:p>
      <w:pPr>
        <w:pStyle w:val="26"/>
        <w:numPr>
          <w:ilvl w:val="3"/>
          <w:numId w:val="20"/>
        </w:numPr>
        <w:ind w:firstLineChars="0"/>
        <w:rPr>
          <w:szCs w:val="21"/>
        </w:rPr>
      </w:pPr>
      <w:r>
        <w:rPr>
          <w:rFonts w:hint="eastAsia"/>
          <w:szCs w:val="21"/>
        </w:rPr>
        <w:t>维护人员进入综合机房工作，要严格按综合机房维护安全的相关规定进行。</w:t>
      </w:r>
    </w:p>
    <w:p>
      <w:pPr>
        <w:pStyle w:val="26"/>
        <w:numPr>
          <w:ilvl w:val="3"/>
          <w:numId w:val="20"/>
        </w:numPr>
        <w:ind w:firstLineChars="0"/>
        <w:rPr>
          <w:szCs w:val="21"/>
        </w:rPr>
      </w:pPr>
      <w:r>
        <w:rPr>
          <w:rFonts w:hint="eastAsia"/>
          <w:szCs w:val="21"/>
        </w:rPr>
        <w:t>应定期对综合机房及设施进行巡视检查。在狂风雷雨等恶劣天气前后应加强巡视检查，以确保综合机房内外环境的良好与安全。雷雨季节应加强对综合机房内部安全设备、地线及防护电路的检修。</w:t>
      </w:r>
    </w:p>
    <w:p>
      <w:pPr>
        <w:pStyle w:val="26"/>
        <w:numPr>
          <w:ilvl w:val="3"/>
          <w:numId w:val="20"/>
        </w:numPr>
        <w:ind w:firstLineChars="0"/>
        <w:rPr>
          <w:szCs w:val="21"/>
        </w:rPr>
      </w:pPr>
      <w:r>
        <w:rPr>
          <w:rFonts w:hint="eastAsia"/>
          <w:szCs w:val="21"/>
        </w:rPr>
        <w:t>所有维护人员，均应熟悉并严格执行安全规定。凡进行危险性较大操作复杂的工作时,必须事先拟定技术安全措施。操作前检查操作命令、操作程序、涉及的设备、工具和防护用具,当确认安全可靠时方可进行工作。</w:t>
      </w:r>
    </w:p>
    <w:p>
      <w:pPr>
        <w:pStyle w:val="52"/>
        <w:numPr>
          <w:ilvl w:val="2"/>
          <w:numId w:val="20"/>
        </w:numPr>
        <w:spacing w:before="156" w:after="156"/>
        <w:outlineLvl w:val="2"/>
      </w:pPr>
      <w:bookmarkStart w:id="741" w:name="_Toc9525"/>
      <w:bookmarkStart w:id="742" w:name="_Toc12747"/>
      <w:bookmarkStart w:id="743" w:name="_Toc20573"/>
      <w:bookmarkStart w:id="744" w:name="_Toc24230"/>
      <w:bookmarkStart w:id="745" w:name="_Toc27219"/>
      <w:bookmarkStart w:id="746" w:name="_Toc9631"/>
      <w:bookmarkStart w:id="747" w:name="_Toc25536"/>
      <w:bookmarkStart w:id="748" w:name="_Toc14594"/>
      <w:bookmarkStart w:id="749" w:name="_Toc23557"/>
      <w:bookmarkStart w:id="750" w:name="_Toc1453"/>
      <w:r>
        <w:rPr>
          <w:rFonts w:hint="eastAsia"/>
        </w:rPr>
        <w:t>隐患排查</w:t>
      </w:r>
      <w:bookmarkEnd w:id="741"/>
      <w:bookmarkEnd w:id="742"/>
      <w:bookmarkEnd w:id="743"/>
      <w:bookmarkEnd w:id="744"/>
      <w:bookmarkEnd w:id="745"/>
      <w:bookmarkEnd w:id="746"/>
      <w:bookmarkEnd w:id="747"/>
      <w:bookmarkEnd w:id="748"/>
      <w:bookmarkEnd w:id="749"/>
      <w:bookmarkEnd w:id="750"/>
    </w:p>
    <w:p>
      <w:pPr>
        <w:pStyle w:val="26"/>
        <w:numPr>
          <w:ilvl w:val="3"/>
          <w:numId w:val="20"/>
        </w:numPr>
        <w:ind w:firstLineChars="0"/>
        <w:rPr>
          <w:szCs w:val="21"/>
        </w:rPr>
      </w:pPr>
      <w:r>
        <w:rPr>
          <w:rFonts w:hint="eastAsia"/>
          <w:szCs w:val="21"/>
        </w:rPr>
        <w:t>综合机房内外设备、防盗门等设施有无受损痕迹；对发现的安全隐患进行必要的防护措施。</w:t>
      </w:r>
    </w:p>
    <w:p>
      <w:pPr>
        <w:pStyle w:val="26"/>
        <w:numPr>
          <w:ilvl w:val="3"/>
          <w:numId w:val="20"/>
        </w:numPr>
        <w:ind w:firstLineChars="0"/>
        <w:rPr>
          <w:szCs w:val="21"/>
        </w:rPr>
      </w:pPr>
      <w:r>
        <w:rPr>
          <w:rFonts w:hint="eastAsia"/>
          <w:szCs w:val="21"/>
        </w:rPr>
        <w:t>消防设备配置满足综合机房使用要求，并在使用有效期之内，压力正常。对安装有自动灭火系统的综合机房还应按其维护和使用说明检查告警指示是否正常等。</w:t>
      </w:r>
    </w:p>
    <w:p>
      <w:pPr>
        <w:pStyle w:val="26"/>
        <w:numPr>
          <w:ilvl w:val="3"/>
          <w:numId w:val="20"/>
        </w:numPr>
        <w:ind w:firstLineChars="0"/>
        <w:rPr>
          <w:szCs w:val="21"/>
        </w:rPr>
      </w:pPr>
      <w:r>
        <w:rPr>
          <w:rFonts w:hint="eastAsia"/>
          <w:szCs w:val="21"/>
        </w:rPr>
        <w:t>综合机房设备接地效果是否良好，绝缘是否符合要求。</w:t>
      </w:r>
    </w:p>
    <w:p>
      <w:pPr>
        <w:pStyle w:val="26"/>
        <w:numPr>
          <w:ilvl w:val="3"/>
          <w:numId w:val="20"/>
        </w:numPr>
        <w:ind w:firstLineChars="0"/>
        <w:rPr>
          <w:szCs w:val="21"/>
        </w:rPr>
      </w:pPr>
      <w:r>
        <w:rPr>
          <w:rFonts w:hint="eastAsia"/>
          <w:szCs w:val="21"/>
        </w:rPr>
        <w:t>综合机房周围地基是否完好，是否有下陷，破裂的现象。</w:t>
      </w:r>
    </w:p>
    <w:p>
      <w:pPr>
        <w:pStyle w:val="52"/>
        <w:numPr>
          <w:ilvl w:val="2"/>
          <w:numId w:val="20"/>
        </w:numPr>
        <w:spacing w:before="156" w:after="156"/>
        <w:outlineLvl w:val="2"/>
      </w:pPr>
      <w:bookmarkStart w:id="751" w:name="_Toc23400"/>
      <w:bookmarkStart w:id="752" w:name="_Toc27245"/>
      <w:bookmarkStart w:id="753" w:name="_Toc12402"/>
      <w:bookmarkStart w:id="754" w:name="_Toc61"/>
      <w:bookmarkStart w:id="755" w:name="_Toc29542"/>
      <w:bookmarkStart w:id="756" w:name="_Toc26472"/>
      <w:bookmarkStart w:id="757" w:name="_Toc13886"/>
      <w:bookmarkStart w:id="758" w:name="_Toc32139"/>
      <w:bookmarkStart w:id="759" w:name="_Toc15620"/>
      <w:bookmarkStart w:id="760" w:name="_Toc6527"/>
      <w:r>
        <w:rPr>
          <w:rFonts w:hint="eastAsia"/>
        </w:rPr>
        <w:t>机房安全</w:t>
      </w:r>
      <w:bookmarkEnd w:id="751"/>
      <w:bookmarkEnd w:id="752"/>
      <w:bookmarkEnd w:id="753"/>
      <w:bookmarkEnd w:id="754"/>
      <w:bookmarkEnd w:id="755"/>
      <w:bookmarkEnd w:id="756"/>
      <w:bookmarkEnd w:id="757"/>
      <w:bookmarkEnd w:id="758"/>
      <w:bookmarkEnd w:id="759"/>
      <w:bookmarkEnd w:id="760"/>
    </w:p>
    <w:p>
      <w:pPr>
        <w:pStyle w:val="26"/>
        <w:numPr>
          <w:ilvl w:val="3"/>
          <w:numId w:val="20"/>
        </w:numPr>
        <w:ind w:firstLineChars="0"/>
        <w:rPr>
          <w:color w:val="0000FF"/>
          <w:szCs w:val="21"/>
        </w:rPr>
      </w:pPr>
      <w:r>
        <w:rPr>
          <w:rFonts w:hint="eastAsia"/>
          <w:szCs w:val="21"/>
        </w:rPr>
        <w:t>综合机房基建设施完好，环境完好，防雷接地系统完好，基础资料齐备、综合机房密封性能良好，保证老鼠蚊虫无法进入。</w:t>
      </w:r>
    </w:p>
    <w:p>
      <w:pPr>
        <w:pStyle w:val="26"/>
        <w:numPr>
          <w:ilvl w:val="3"/>
          <w:numId w:val="20"/>
        </w:numPr>
        <w:ind w:firstLineChars="0"/>
        <w:rPr>
          <w:szCs w:val="21"/>
        </w:rPr>
      </w:pPr>
      <w:r>
        <w:rPr>
          <w:rFonts w:hint="eastAsia"/>
          <w:szCs w:val="21"/>
        </w:rPr>
        <w:t>综合机房的安全防护设计应在充分调查周围环境的基础上进行，提供能够保护公众人身安全的优化方案。</w:t>
      </w:r>
    </w:p>
    <w:p>
      <w:pPr>
        <w:pStyle w:val="26"/>
        <w:numPr>
          <w:ilvl w:val="3"/>
          <w:numId w:val="20"/>
        </w:numPr>
        <w:ind w:firstLineChars="0"/>
        <w:rPr>
          <w:szCs w:val="21"/>
        </w:rPr>
      </w:pPr>
      <w:r>
        <w:rPr>
          <w:rFonts w:hint="eastAsia"/>
          <w:szCs w:val="21"/>
        </w:rPr>
        <w:t>检查综合机房空调外机、门、馈线窗是否有损坏。</w:t>
      </w:r>
    </w:p>
    <w:p>
      <w:pPr>
        <w:pStyle w:val="53"/>
        <w:numPr>
          <w:ilvl w:val="1"/>
          <w:numId w:val="20"/>
        </w:numPr>
        <w:spacing w:before="156" w:after="156"/>
        <w:outlineLvl w:val="1"/>
      </w:pPr>
      <w:bookmarkStart w:id="761" w:name="_Toc30335"/>
      <w:bookmarkStart w:id="762" w:name="_Toc2423"/>
      <w:r>
        <w:rPr>
          <w:rFonts w:hint="eastAsia"/>
        </w:rPr>
        <w:t>杆体及附属配套</w:t>
      </w:r>
      <w:bookmarkEnd w:id="761"/>
      <w:bookmarkEnd w:id="762"/>
    </w:p>
    <w:p>
      <w:pPr>
        <w:pStyle w:val="49"/>
        <w:numPr>
          <w:ilvl w:val="2"/>
          <w:numId w:val="20"/>
        </w:numPr>
        <w:tabs>
          <w:tab w:val="center" w:pos="4201"/>
          <w:tab w:val="right" w:leader="dot" w:pos="9298"/>
        </w:tabs>
        <w:rPr>
          <w:u w:color="4F81BD"/>
        </w:rPr>
      </w:pPr>
      <w:r>
        <w:rPr>
          <w:u w:color="4F81BD"/>
        </w:rPr>
        <w:t>智慧灯杆的</w:t>
      </w:r>
      <w:r>
        <w:rPr>
          <w:rFonts w:hint="eastAsia"/>
          <w:u w:color="4F81BD"/>
        </w:rPr>
        <w:t>杆体及附属配套</w:t>
      </w:r>
      <w:r>
        <w:rPr>
          <w:u w:color="4F81BD"/>
        </w:rPr>
        <w:t>应满足可远程监控和故障报警要求，保证整套系统可靠运行。</w:t>
      </w:r>
    </w:p>
    <w:p>
      <w:pPr>
        <w:pStyle w:val="49"/>
        <w:numPr>
          <w:ilvl w:val="2"/>
          <w:numId w:val="20"/>
        </w:numPr>
        <w:tabs>
          <w:tab w:val="center" w:pos="4201"/>
          <w:tab w:val="right" w:leader="dot" w:pos="9298"/>
        </w:tabs>
        <w:rPr>
          <w:u w:color="4F81BD"/>
        </w:rPr>
      </w:pPr>
      <w:r>
        <w:rPr>
          <w:u w:color="4F81BD"/>
        </w:rPr>
        <w:t>应定期检查智慧灯杆杆体及附属配套的防水、防尘、防侵蚀等防护措施，以提高设备的使用寿命。</w:t>
      </w:r>
    </w:p>
    <w:p>
      <w:pPr>
        <w:pStyle w:val="49"/>
        <w:numPr>
          <w:ilvl w:val="2"/>
          <w:numId w:val="20"/>
        </w:numPr>
        <w:tabs>
          <w:tab w:val="center" w:pos="4201"/>
          <w:tab w:val="right" w:leader="dot" w:pos="9298"/>
        </w:tabs>
        <w:rPr>
          <w:u w:color="4F81BD"/>
        </w:rPr>
      </w:pPr>
      <w:r>
        <w:rPr>
          <w:u w:color="4F81BD"/>
        </w:rPr>
        <w:t>智慧灯杆的杆体及附属配套故障处理应符合以下规定：</w:t>
      </w:r>
    </w:p>
    <w:p>
      <w:pPr>
        <w:pStyle w:val="26"/>
        <w:numPr>
          <w:ilvl w:val="0"/>
          <w:numId w:val="37"/>
        </w:numPr>
        <w:tabs>
          <w:tab w:val="clear" w:pos="4201"/>
          <w:tab w:val="clear" w:pos="9298"/>
        </w:tabs>
        <w:ind w:left="845" w:firstLineChars="0"/>
        <w:jc w:val="left"/>
        <w:rPr>
          <w:szCs w:val="21"/>
        </w:rPr>
      </w:pPr>
      <w:r>
        <w:rPr>
          <w:rFonts w:hint="eastAsia"/>
          <w:szCs w:val="21"/>
        </w:rPr>
        <w:t>成立专门的运行组织机构，配备专业的维护服务人员，并进行职责划分；</w:t>
      </w:r>
    </w:p>
    <w:p>
      <w:pPr>
        <w:pStyle w:val="26"/>
        <w:numPr>
          <w:ilvl w:val="0"/>
          <w:numId w:val="37"/>
        </w:numPr>
        <w:tabs>
          <w:tab w:val="clear" w:pos="4201"/>
          <w:tab w:val="clear" w:pos="9298"/>
        </w:tabs>
        <w:autoSpaceDE/>
        <w:autoSpaceDN/>
        <w:ind w:left="845" w:firstLineChars="0"/>
        <w:jc w:val="left"/>
        <w:rPr>
          <w:szCs w:val="21"/>
        </w:rPr>
      </w:pPr>
      <w:r>
        <w:rPr>
          <w:rFonts w:hint="eastAsia"/>
          <w:szCs w:val="21"/>
        </w:rPr>
        <w:t>提供7*24小时维护、抢修热线电话，同时把维护人员的通讯录、联系电话报主管理部门备案，确保维护工作和故障抢修处理的时效性；对收到的网络故障应及时处理，确保在24小时内回复；</w:t>
      </w:r>
    </w:p>
    <w:p>
      <w:pPr>
        <w:pStyle w:val="26"/>
        <w:numPr>
          <w:ilvl w:val="0"/>
          <w:numId w:val="37"/>
        </w:numPr>
        <w:tabs>
          <w:tab w:val="clear" w:pos="4201"/>
          <w:tab w:val="clear" w:pos="9298"/>
        </w:tabs>
        <w:autoSpaceDE/>
        <w:autoSpaceDN/>
        <w:ind w:left="845" w:firstLineChars="0"/>
        <w:jc w:val="left"/>
        <w:rPr>
          <w:szCs w:val="21"/>
        </w:rPr>
      </w:pPr>
      <w:r>
        <w:rPr>
          <w:rFonts w:hint="eastAsia"/>
          <w:szCs w:val="21"/>
        </w:rPr>
        <w:t>系统或设备发生故障时，维护人员应2小时内到达故障现场，一般故障12小时内修复，</w:t>
      </w:r>
      <w:r>
        <w:rPr>
          <w:rFonts w:hint="eastAsia"/>
        </w:rPr>
        <w:t>无需土建施工的修复（软件或硬件挂载设备故障 ）24小时内完成</w:t>
      </w:r>
      <w:r>
        <w:rPr>
          <w:rFonts w:hint="eastAsia"/>
          <w:szCs w:val="21"/>
        </w:rPr>
        <w:t>，严重故障应于2日内修复；</w:t>
      </w:r>
    </w:p>
    <w:p>
      <w:pPr>
        <w:pStyle w:val="26"/>
        <w:numPr>
          <w:ilvl w:val="0"/>
          <w:numId w:val="37"/>
        </w:numPr>
        <w:tabs>
          <w:tab w:val="clear" w:pos="4201"/>
          <w:tab w:val="clear" w:pos="9298"/>
        </w:tabs>
        <w:autoSpaceDE/>
        <w:autoSpaceDN/>
        <w:ind w:left="845" w:firstLineChars="0"/>
        <w:jc w:val="left"/>
        <w:rPr>
          <w:szCs w:val="21"/>
        </w:rPr>
      </w:pPr>
      <w:r>
        <w:rPr>
          <w:rFonts w:hint="eastAsia"/>
        </w:rPr>
        <w:t>建立挂载设备子系统，由各产权单位管控。建立故障缺陷管理台账</w:t>
      </w:r>
      <w:r>
        <w:rPr>
          <w:rFonts w:hint="eastAsia"/>
          <w:szCs w:val="21"/>
        </w:rPr>
        <w:t>，确保挂载设备缺陷及时、有效处理，加强缺陷统计分析，控制设备风险，提高设备健康水平总结经验，并提出预防措施；</w:t>
      </w:r>
    </w:p>
    <w:p>
      <w:pPr>
        <w:pStyle w:val="26"/>
        <w:numPr>
          <w:ilvl w:val="0"/>
          <w:numId w:val="37"/>
        </w:numPr>
        <w:tabs>
          <w:tab w:val="clear" w:pos="4201"/>
          <w:tab w:val="clear" w:pos="9298"/>
        </w:tabs>
        <w:autoSpaceDE/>
        <w:autoSpaceDN/>
        <w:ind w:left="845" w:firstLineChars="0"/>
        <w:jc w:val="left"/>
        <w:rPr>
          <w:szCs w:val="21"/>
        </w:rPr>
      </w:pPr>
      <w:r>
        <w:rPr>
          <w:rFonts w:hint="eastAsia"/>
          <w:szCs w:val="21"/>
        </w:rPr>
        <w:t>对故障应进行分级分类处理，根据故障等级和分类提供对应的通知告警，并提供告警自动升级、自动恢复等能力。</w:t>
      </w:r>
    </w:p>
    <w:p>
      <w:pPr>
        <w:pStyle w:val="49"/>
        <w:numPr>
          <w:ilvl w:val="2"/>
          <w:numId w:val="20"/>
        </w:numPr>
        <w:tabs>
          <w:tab w:val="center" w:pos="4201"/>
          <w:tab w:val="right" w:leader="dot" w:pos="9298"/>
        </w:tabs>
      </w:pPr>
      <w:r>
        <w:t>智慧灯杆杆体维护应确保无倾斜、弯曲、安埋稳固、链接可靠、部件齐全外观整洁、接地可靠有效。</w:t>
      </w:r>
    </w:p>
    <w:p>
      <w:pPr>
        <w:pStyle w:val="49"/>
        <w:numPr>
          <w:ilvl w:val="2"/>
          <w:numId w:val="20"/>
        </w:numPr>
        <w:tabs>
          <w:tab w:val="center" w:pos="4201"/>
          <w:tab w:val="right" w:leader="dot" w:pos="9298"/>
        </w:tabs>
        <w:rPr>
          <w:u w:color="4F81BD"/>
        </w:rPr>
      </w:pPr>
      <w:r>
        <w:rPr>
          <w:u w:color="4F81BD"/>
        </w:rPr>
        <w:t>供电系统维护应确保电缆绝缘良好、接地可靠、连接牢固、无漏电、无接头过热，定期进行绝缘测试。</w:t>
      </w:r>
    </w:p>
    <w:p>
      <w:pPr>
        <w:pStyle w:val="49"/>
        <w:numPr>
          <w:ilvl w:val="2"/>
          <w:numId w:val="20"/>
        </w:numPr>
        <w:tabs>
          <w:tab w:val="center" w:pos="4201"/>
          <w:tab w:val="right" w:leader="dot" w:pos="9298"/>
        </w:tabs>
        <w:rPr>
          <w:u w:color="4F81BD"/>
        </w:rPr>
      </w:pPr>
      <w:r>
        <w:rPr>
          <w:u w:color="4F81BD"/>
        </w:rPr>
        <w:t>配套管道维护应防止树叶、道路维修、开挖、重压、化学腐蚀等因素及自然灾害原因影响安全运行；配套管道应保持完好齐全，对查出的缺陷、隐患等要及时维修，线路走线及标志牌保持清晰。</w:t>
      </w:r>
    </w:p>
    <w:p>
      <w:pPr>
        <w:pStyle w:val="49"/>
        <w:numPr>
          <w:ilvl w:val="2"/>
          <w:numId w:val="20"/>
        </w:numPr>
        <w:tabs>
          <w:tab w:val="center" w:pos="4201"/>
          <w:tab w:val="right" w:leader="dot" w:pos="9298"/>
        </w:tabs>
        <w:rPr>
          <w:u w:color="4F81BD"/>
        </w:rPr>
      </w:pPr>
      <w:r>
        <w:t>综合机箱箱体维护应确保内</w:t>
      </w:r>
      <w:r>
        <w:rPr>
          <w:u w:color="4F81BD"/>
        </w:rPr>
        <w:t>外清洁、无异物，标志明显、齐全，箱体内电器工作正常，电器导线排练整齐、连接可靠，箱体无破损，接地可靠。</w:t>
      </w:r>
    </w:p>
    <w:p>
      <w:pPr>
        <w:pStyle w:val="53"/>
        <w:numPr>
          <w:ilvl w:val="1"/>
          <w:numId w:val="20"/>
        </w:numPr>
        <w:spacing w:before="156" w:after="156"/>
        <w:outlineLvl w:val="1"/>
      </w:pPr>
      <w:bookmarkStart w:id="763" w:name="_Toc25912"/>
      <w:bookmarkStart w:id="764" w:name="_Toc20392"/>
      <w:r>
        <w:rPr>
          <w:rFonts w:hint="eastAsia"/>
        </w:rPr>
        <w:t>挂载设备</w:t>
      </w:r>
      <w:bookmarkEnd w:id="763"/>
      <w:bookmarkEnd w:id="764"/>
    </w:p>
    <w:p>
      <w:pPr>
        <w:numPr>
          <w:ilvl w:val="2"/>
          <w:numId w:val="20"/>
        </w:numPr>
        <w:tabs>
          <w:tab w:val="center" w:pos="4201"/>
          <w:tab w:val="right" w:leader="dot" w:pos="9298"/>
        </w:tabs>
        <w:autoSpaceDE w:val="0"/>
        <w:autoSpaceDN w:val="0"/>
        <w:spacing w:line="360" w:lineRule="auto"/>
        <w:rPr>
          <w:rFonts w:ascii="宋体" w:hAnsi="宋体"/>
          <w:u w:color="4F81BD"/>
        </w:rPr>
      </w:pPr>
      <w:r>
        <w:rPr>
          <w:rFonts w:ascii="宋体" w:hAnsi="宋体"/>
          <w:u w:color="4F81BD"/>
        </w:rPr>
        <w:t>挂载设备维护时应支持独立断电拆卸，不影响其他设备运行。</w:t>
      </w:r>
    </w:p>
    <w:p>
      <w:pPr>
        <w:numPr>
          <w:ilvl w:val="2"/>
          <w:numId w:val="20"/>
        </w:numPr>
        <w:tabs>
          <w:tab w:val="center" w:pos="4201"/>
          <w:tab w:val="right" w:leader="dot" w:pos="9298"/>
        </w:tabs>
        <w:autoSpaceDE w:val="0"/>
        <w:autoSpaceDN w:val="0"/>
        <w:spacing w:line="360" w:lineRule="auto"/>
        <w:rPr>
          <w:rFonts w:ascii="宋体" w:hAnsi="宋体"/>
          <w:u w:color="4F81BD"/>
        </w:rPr>
      </w:pPr>
      <w:r>
        <w:rPr>
          <w:rFonts w:ascii="宋体" w:hAnsi="宋体"/>
          <w:u w:color="4F81BD"/>
        </w:rPr>
        <w:t>在正常使用条件下，各挂载设备和结构应保持稳定，严禁威胁操作人员和维修人员的人身安全。</w:t>
      </w:r>
    </w:p>
    <w:p>
      <w:pPr>
        <w:pStyle w:val="49"/>
        <w:numPr>
          <w:ilvl w:val="2"/>
          <w:numId w:val="20"/>
        </w:numPr>
        <w:tabs>
          <w:tab w:val="center" w:pos="4201"/>
          <w:tab w:val="right" w:leader="dot" w:pos="9298"/>
        </w:tabs>
      </w:pPr>
      <w:r>
        <w:rPr>
          <w:rFonts w:hint="eastAsia"/>
        </w:rPr>
        <w:t>挂载设备的维护管理应遵循以下要求：</w:t>
      </w:r>
    </w:p>
    <w:p>
      <w:pPr>
        <w:pStyle w:val="26"/>
        <w:numPr>
          <w:ilvl w:val="0"/>
          <w:numId w:val="38"/>
        </w:numPr>
        <w:tabs>
          <w:tab w:val="clear" w:pos="4201"/>
          <w:tab w:val="clear" w:pos="9298"/>
        </w:tabs>
        <w:ind w:left="845" w:firstLineChars="0"/>
      </w:pPr>
      <w:r>
        <w:rPr>
          <w:rFonts w:hint="eastAsia"/>
        </w:rPr>
        <w:t>编制租赁维护设备（挂载设备）与系统相关的资产清单，包括资产责任部门、重要程度和所处位置等内容；</w:t>
      </w:r>
    </w:p>
    <w:p>
      <w:pPr>
        <w:pStyle w:val="26"/>
        <w:numPr>
          <w:ilvl w:val="0"/>
          <w:numId w:val="38"/>
        </w:numPr>
        <w:tabs>
          <w:tab w:val="clear" w:pos="4201"/>
          <w:tab w:val="clear" w:pos="9298"/>
        </w:tabs>
        <w:ind w:left="845" w:firstLineChars="0"/>
      </w:pPr>
      <w:r>
        <w:rPr>
          <w:rFonts w:hint="eastAsia"/>
        </w:rPr>
        <w:t>应对系统相关的各种租赁维护设备（挂载设备）指定专业的人员定期进行维护管理。</w:t>
      </w:r>
    </w:p>
    <w:p>
      <w:pPr>
        <w:pStyle w:val="49"/>
        <w:numPr>
          <w:ilvl w:val="2"/>
          <w:numId w:val="0"/>
        </w:numPr>
        <w:tabs>
          <w:tab w:val="center" w:pos="4201"/>
          <w:tab w:val="right" w:leader="dot" w:pos="9298"/>
        </w:tabs>
        <w:rPr>
          <w:u w:color="4F81BD"/>
        </w:rPr>
      </w:pPr>
    </w:p>
    <w:p>
      <w:pPr>
        <w:pStyle w:val="53"/>
        <w:numPr>
          <w:ilvl w:val="1"/>
          <w:numId w:val="20"/>
        </w:numPr>
        <w:spacing w:before="156" w:after="156"/>
        <w:outlineLvl w:val="1"/>
      </w:pPr>
      <w:bookmarkStart w:id="765" w:name="_Toc21953"/>
      <w:bookmarkStart w:id="766" w:name="_Toc29771"/>
      <w:bookmarkStart w:id="767" w:name="_Toc9661"/>
      <w:bookmarkStart w:id="768" w:name="_Toc26468"/>
      <w:bookmarkStart w:id="769" w:name="_Toc9060"/>
      <w:bookmarkStart w:id="770" w:name="_Toc26207"/>
      <w:bookmarkStart w:id="771" w:name="_Toc11836"/>
      <w:bookmarkStart w:id="772" w:name="_Toc9869"/>
      <w:bookmarkStart w:id="773" w:name="_Toc23546"/>
      <w:bookmarkStart w:id="774" w:name="_Toc22974"/>
      <w:r>
        <w:rPr>
          <w:rFonts w:hint="eastAsia"/>
        </w:rPr>
        <w:t>系统平台</w:t>
      </w:r>
      <w:bookmarkEnd w:id="765"/>
      <w:bookmarkEnd w:id="766"/>
      <w:bookmarkEnd w:id="767"/>
      <w:bookmarkEnd w:id="768"/>
      <w:bookmarkEnd w:id="769"/>
      <w:bookmarkEnd w:id="770"/>
      <w:bookmarkEnd w:id="771"/>
      <w:bookmarkEnd w:id="772"/>
      <w:bookmarkEnd w:id="773"/>
      <w:bookmarkEnd w:id="774"/>
    </w:p>
    <w:p>
      <w:pPr>
        <w:pStyle w:val="49"/>
        <w:numPr>
          <w:ilvl w:val="2"/>
          <w:numId w:val="20"/>
        </w:numPr>
        <w:tabs>
          <w:tab w:val="center" w:pos="4201"/>
          <w:tab w:val="right" w:leader="dot" w:pos="9298"/>
        </w:tabs>
        <w:rPr>
          <w:u w:color="4F81BD"/>
        </w:rPr>
      </w:pPr>
      <w:r>
        <w:rPr>
          <w:rFonts w:hint="eastAsia"/>
          <w:u w:color="4F81BD"/>
        </w:rPr>
        <w:t>系统</w:t>
      </w:r>
      <w:r>
        <w:rPr>
          <w:u w:color="4F81BD"/>
        </w:rPr>
        <w:t>平台的运行管理包括软件平台的运维管理及硬件设备的巡检维护。平台的运行管理应遵循《软件工程 软件产品质量要求与评价（SQuaRE）SQuaRE指南》GB/T 25000.1、《信息安全技术 网络安全等级保护基本要求》GB/T 22239、《信息安全技术 信息系统安全管理要求》GB/T 20269和</w:t>
      </w:r>
      <w:r>
        <w:rPr>
          <w:rFonts w:hint="eastAsia"/>
          <w:u w:color="4F81BD"/>
        </w:rPr>
        <w:t>《信息安全技术 信息系统安全工程管理要求》</w:t>
      </w:r>
      <w:r>
        <w:rPr>
          <w:u w:color="4F81BD"/>
        </w:rPr>
        <w:t>GB/T20282中的相关要求。</w:t>
      </w:r>
    </w:p>
    <w:p>
      <w:pPr>
        <w:pStyle w:val="49"/>
        <w:numPr>
          <w:ilvl w:val="2"/>
          <w:numId w:val="20"/>
        </w:numPr>
        <w:tabs>
          <w:tab w:val="center" w:pos="4201"/>
          <w:tab w:val="right" w:leader="dot" w:pos="9298"/>
        </w:tabs>
        <w:rPr>
          <w:u w:color="4F81BD"/>
        </w:rPr>
      </w:pPr>
      <w:r>
        <w:rPr>
          <w:u w:color="4F81BD"/>
        </w:rPr>
        <w:t>日志管理应符合以下规定：</w:t>
      </w:r>
    </w:p>
    <w:p>
      <w:pPr>
        <w:pStyle w:val="26"/>
        <w:numPr>
          <w:ilvl w:val="0"/>
          <w:numId w:val="39"/>
        </w:numPr>
        <w:tabs>
          <w:tab w:val="clear" w:pos="4201"/>
          <w:tab w:val="clear" w:pos="9298"/>
        </w:tabs>
        <w:ind w:left="845" w:firstLineChars="0"/>
        <w:rPr>
          <w:szCs w:val="21"/>
        </w:rPr>
      </w:pPr>
      <w:r>
        <w:rPr>
          <w:rFonts w:hint="eastAsia"/>
          <w:szCs w:val="21"/>
        </w:rPr>
        <w:t>日志保存历史记录应不少于6个月。</w:t>
      </w:r>
    </w:p>
    <w:p>
      <w:pPr>
        <w:pStyle w:val="26"/>
        <w:numPr>
          <w:ilvl w:val="0"/>
          <w:numId w:val="39"/>
        </w:numPr>
        <w:tabs>
          <w:tab w:val="clear" w:pos="4201"/>
          <w:tab w:val="clear" w:pos="9298"/>
        </w:tabs>
        <w:ind w:left="845" w:firstLineChars="0"/>
        <w:rPr>
          <w:szCs w:val="21"/>
        </w:rPr>
      </w:pPr>
      <w:r>
        <w:rPr>
          <w:rFonts w:hint="eastAsia"/>
          <w:szCs w:val="21"/>
        </w:rPr>
        <w:t>依据数据变动的频繁程度以及业务数据重要性制定备份计划，经过上级维护主管部门批准后组织实施。</w:t>
      </w:r>
    </w:p>
    <w:p>
      <w:pPr>
        <w:pStyle w:val="26"/>
        <w:numPr>
          <w:ilvl w:val="0"/>
          <w:numId w:val="39"/>
        </w:numPr>
        <w:tabs>
          <w:tab w:val="clear" w:pos="4201"/>
          <w:tab w:val="clear" w:pos="9298"/>
        </w:tabs>
        <w:ind w:left="845" w:firstLineChars="0"/>
        <w:rPr>
          <w:szCs w:val="21"/>
        </w:rPr>
      </w:pPr>
      <w:r>
        <w:rPr>
          <w:rFonts w:hint="eastAsia"/>
          <w:szCs w:val="21"/>
        </w:rPr>
        <w:t>备份数据应包括系统软件和数据、业务数据、操作日志等。同时，应定期对备份日志进行检查，发现问题及时整改补救。</w:t>
      </w:r>
    </w:p>
    <w:p>
      <w:pPr>
        <w:pStyle w:val="49"/>
        <w:numPr>
          <w:ilvl w:val="2"/>
          <w:numId w:val="20"/>
        </w:numPr>
        <w:tabs>
          <w:tab w:val="center" w:pos="4201"/>
          <w:tab w:val="right" w:leader="dot" w:pos="9298"/>
        </w:tabs>
      </w:pPr>
      <w:r>
        <w:rPr>
          <w:rFonts w:hint="eastAsia"/>
        </w:rPr>
        <w:t>配备必要的管理人员，统一管理系统的安全运行，定期对平台进行安全巡检、安全风险评估，对巡检、评估产生的风险应采取措施管控。</w:t>
      </w:r>
    </w:p>
    <w:p>
      <w:pPr>
        <w:pStyle w:val="49"/>
        <w:numPr>
          <w:ilvl w:val="2"/>
          <w:numId w:val="20"/>
        </w:numPr>
        <w:tabs>
          <w:tab w:val="center" w:pos="4201"/>
          <w:tab w:val="right" w:leader="dot" w:pos="9298"/>
        </w:tabs>
      </w:pPr>
      <w:r>
        <w:t>平台系统维护应符合以下要求：</w:t>
      </w:r>
    </w:p>
    <w:p>
      <w:pPr>
        <w:pStyle w:val="26"/>
        <w:numPr>
          <w:ilvl w:val="0"/>
          <w:numId w:val="40"/>
        </w:numPr>
        <w:tabs>
          <w:tab w:val="clear" w:pos="4201"/>
          <w:tab w:val="clear" w:pos="9298"/>
        </w:tabs>
        <w:ind w:left="845" w:firstLineChars="0"/>
        <w:rPr>
          <w:szCs w:val="21"/>
        </w:rPr>
      </w:pPr>
      <w:r>
        <w:rPr>
          <w:rFonts w:hint="eastAsia"/>
          <w:szCs w:val="21"/>
        </w:rPr>
        <w:t>定期更换系统密码，定期核准用户权限，防止系统出现越权访问；</w:t>
      </w:r>
    </w:p>
    <w:p>
      <w:pPr>
        <w:pStyle w:val="26"/>
        <w:numPr>
          <w:ilvl w:val="0"/>
          <w:numId w:val="40"/>
        </w:numPr>
        <w:tabs>
          <w:tab w:val="clear" w:pos="4201"/>
          <w:tab w:val="clear" w:pos="9298"/>
        </w:tabs>
        <w:ind w:left="845" w:firstLineChars="0"/>
        <w:rPr>
          <w:szCs w:val="21"/>
        </w:rPr>
      </w:pPr>
      <w:r>
        <w:rPr>
          <w:rFonts w:hint="eastAsia"/>
          <w:szCs w:val="21"/>
        </w:rPr>
        <w:t xml:space="preserve">定期进行IP地址测试，检测非法用户，防止非法用户入侵；  </w:t>
      </w:r>
    </w:p>
    <w:p>
      <w:pPr>
        <w:pStyle w:val="26"/>
        <w:numPr>
          <w:ilvl w:val="0"/>
          <w:numId w:val="40"/>
        </w:numPr>
        <w:tabs>
          <w:tab w:val="clear" w:pos="4201"/>
          <w:tab w:val="clear" w:pos="9298"/>
        </w:tabs>
        <w:ind w:left="845" w:firstLineChars="0"/>
        <w:rPr>
          <w:szCs w:val="21"/>
        </w:rPr>
      </w:pPr>
      <w:r>
        <w:rPr>
          <w:rFonts w:hint="eastAsia"/>
          <w:szCs w:val="21"/>
        </w:rPr>
        <w:t>定期对病毒库进行升级，当有新病毒出现时，随时升级。严禁发生病毒侵入或带入内部网络；</w:t>
      </w:r>
    </w:p>
    <w:p>
      <w:pPr>
        <w:pStyle w:val="26"/>
        <w:numPr>
          <w:ilvl w:val="0"/>
          <w:numId w:val="40"/>
        </w:numPr>
        <w:tabs>
          <w:tab w:val="clear" w:pos="4201"/>
          <w:tab w:val="clear" w:pos="9298"/>
        </w:tabs>
        <w:ind w:left="845" w:firstLineChars="0"/>
        <w:rPr>
          <w:szCs w:val="21"/>
        </w:rPr>
      </w:pPr>
      <w:r>
        <w:rPr>
          <w:rFonts w:hint="eastAsia"/>
          <w:szCs w:val="21"/>
        </w:rPr>
        <w:t xml:space="preserve">加强配置文件管理，包括服务器的系统配置和服务设定的配置文件的管理，定期对系统安全性进行有效性评估和检查，及时发现系统的新增缺陷或漏洞； </w:t>
      </w:r>
    </w:p>
    <w:p>
      <w:pPr>
        <w:pStyle w:val="26"/>
        <w:numPr>
          <w:ilvl w:val="0"/>
          <w:numId w:val="40"/>
        </w:numPr>
        <w:tabs>
          <w:tab w:val="clear" w:pos="4201"/>
          <w:tab w:val="clear" w:pos="9298"/>
        </w:tabs>
        <w:ind w:left="845" w:firstLineChars="0"/>
        <w:rPr>
          <w:szCs w:val="21"/>
        </w:rPr>
      </w:pPr>
      <w:r>
        <w:rPr>
          <w:rFonts w:hint="eastAsia"/>
          <w:szCs w:val="21"/>
        </w:rPr>
        <w:t xml:space="preserve">应制定安全事件报告和处置管理制度，明确安全事件类型，规定安全事件的现场处理、事件报告和后期恢复的管理职责；  </w:t>
      </w:r>
    </w:p>
    <w:p>
      <w:pPr>
        <w:pStyle w:val="26"/>
        <w:numPr>
          <w:ilvl w:val="0"/>
          <w:numId w:val="40"/>
        </w:numPr>
        <w:tabs>
          <w:tab w:val="clear" w:pos="4201"/>
          <w:tab w:val="clear" w:pos="9298"/>
        </w:tabs>
        <w:ind w:left="845" w:firstLineChars="0"/>
        <w:rPr>
          <w:szCs w:val="21"/>
        </w:rPr>
      </w:pPr>
      <w:r>
        <w:rPr>
          <w:rFonts w:hint="eastAsia"/>
          <w:szCs w:val="21"/>
        </w:rPr>
        <w:t>应建立网络安全管理制度，制定网络安全配置、日志保存时间、安全策略、升级与打补丁、口令更新周期等方面的要求。</w:t>
      </w:r>
    </w:p>
    <w:p>
      <w:pPr>
        <w:pStyle w:val="49"/>
        <w:numPr>
          <w:ilvl w:val="2"/>
          <w:numId w:val="20"/>
        </w:numPr>
        <w:tabs>
          <w:tab w:val="center" w:pos="4201"/>
          <w:tab w:val="right" w:leader="dot" w:pos="9298"/>
        </w:tabs>
        <w:rPr>
          <w:u w:color="4F81BD"/>
        </w:rPr>
      </w:pPr>
      <w:r>
        <w:rPr>
          <w:u w:color="4F81BD"/>
        </w:rPr>
        <w:t>平台设备维护应符合以下要求：</w:t>
      </w:r>
    </w:p>
    <w:p>
      <w:pPr>
        <w:pStyle w:val="26"/>
        <w:numPr>
          <w:ilvl w:val="0"/>
          <w:numId w:val="41"/>
        </w:numPr>
        <w:tabs>
          <w:tab w:val="clear" w:pos="4201"/>
          <w:tab w:val="clear" w:pos="9298"/>
        </w:tabs>
        <w:ind w:left="845" w:firstLineChars="0"/>
        <w:rPr>
          <w:szCs w:val="21"/>
        </w:rPr>
      </w:pPr>
      <w:r>
        <w:rPr>
          <w:rFonts w:hint="eastAsia"/>
          <w:szCs w:val="21"/>
        </w:rPr>
        <w:t>编制与信息系统相关的资产清单，建立资产安全管理制度，规定信息系统资产管理的责任人员或责任部门，并规范资产管理和使用的行为；</w:t>
      </w:r>
    </w:p>
    <w:p>
      <w:pPr>
        <w:pStyle w:val="26"/>
        <w:numPr>
          <w:ilvl w:val="0"/>
          <w:numId w:val="41"/>
        </w:numPr>
        <w:tabs>
          <w:tab w:val="clear" w:pos="4201"/>
          <w:tab w:val="clear" w:pos="9298"/>
        </w:tabs>
        <w:ind w:left="845" w:firstLineChars="0"/>
        <w:rPr>
          <w:szCs w:val="21"/>
        </w:rPr>
      </w:pPr>
      <w:r>
        <w:rPr>
          <w:rFonts w:hint="eastAsia"/>
          <w:szCs w:val="21"/>
        </w:rPr>
        <w:t>信息系统相关的各种设备、线路等应指定专门的部门或人员定期进行维护管理；</w:t>
      </w:r>
    </w:p>
    <w:p>
      <w:pPr>
        <w:pStyle w:val="26"/>
        <w:numPr>
          <w:ilvl w:val="0"/>
          <w:numId w:val="41"/>
        </w:numPr>
        <w:tabs>
          <w:tab w:val="clear" w:pos="4201"/>
          <w:tab w:val="clear" w:pos="9298"/>
        </w:tabs>
        <w:ind w:left="845" w:firstLineChars="0"/>
        <w:rPr>
          <w:rFonts w:cs="宋体"/>
          <w:sz w:val="28"/>
          <w:szCs w:val="28"/>
        </w:rPr>
      </w:pPr>
      <w:r>
        <w:rPr>
          <w:rFonts w:hint="eastAsia"/>
          <w:szCs w:val="21"/>
        </w:rPr>
        <w:t>在统一的应急预案框架下制定不同事件的应急预案，应急预案框架应包括启动应急预案的条件、应急处理流程、系统恢复流程、事后教育和培训等内容。</w:t>
      </w:r>
    </w:p>
    <w:p>
      <w:pPr>
        <w:pStyle w:val="53"/>
        <w:numPr>
          <w:ilvl w:val="1"/>
          <w:numId w:val="20"/>
        </w:numPr>
        <w:spacing w:before="156" w:after="156"/>
        <w:outlineLvl w:val="1"/>
      </w:pPr>
      <w:bookmarkStart w:id="775" w:name="_Toc9469"/>
      <w:bookmarkStart w:id="776" w:name="_Toc22802"/>
      <w:bookmarkStart w:id="777" w:name="_Toc5959"/>
      <w:bookmarkStart w:id="778" w:name="_Toc24578"/>
      <w:bookmarkStart w:id="779" w:name="_Toc17400"/>
      <w:bookmarkStart w:id="780" w:name="_Toc21301"/>
      <w:bookmarkStart w:id="781" w:name="_Toc385"/>
      <w:bookmarkStart w:id="782" w:name="_Toc19612"/>
      <w:bookmarkStart w:id="783" w:name="_Toc17713"/>
      <w:bookmarkStart w:id="784" w:name="_Toc32611"/>
      <w:r>
        <w:rPr>
          <w:rFonts w:hint="eastAsia"/>
        </w:rPr>
        <w:t>安全管理</w:t>
      </w:r>
      <w:bookmarkEnd w:id="775"/>
      <w:bookmarkEnd w:id="776"/>
      <w:bookmarkEnd w:id="777"/>
      <w:bookmarkEnd w:id="778"/>
      <w:bookmarkEnd w:id="779"/>
      <w:bookmarkEnd w:id="780"/>
      <w:bookmarkEnd w:id="781"/>
      <w:bookmarkEnd w:id="782"/>
      <w:bookmarkEnd w:id="783"/>
      <w:bookmarkEnd w:id="784"/>
    </w:p>
    <w:p>
      <w:pPr>
        <w:pStyle w:val="49"/>
        <w:numPr>
          <w:ilvl w:val="2"/>
          <w:numId w:val="20"/>
        </w:numPr>
        <w:tabs>
          <w:tab w:val="center" w:pos="4201"/>
          <w:tab w:val="right" w:leader="dot" w:pos="9298"/>
        </w:tabs>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智慧灯杆上所有挂件的产权单位是各自的设备安全管理的第一责任人。</w:t>
      </w:r>
    </w:p>
    <w:p>
      <w:pPr>
        <w:pStyle w:val="49"/>
        <w:numPr>
          <w:ilvl w:val="2"/>
          <w:numId w:val="20"/>
        </w:numPr>
        <w:tabs>
          <w:tab w:val="center" w:pos="4201"/>
          <w:tab w:val="right" w:leader="dot" w:pos="9298"/>
        </w:tabs>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应设置智慧灯杆安全管理组织，对智慧灯杆安全运行负责，建立安全生产规章制度和安全操作规程。</w:t>
      </w:r>
    </w:p>
    <w:p>
      <w:pPr>
        <w:pStyle w:val="139"/>
        <w:numPr>
          <w:ilvl w:val="0"/>
          <w:numId w:val="0"/>
        </w:numPr>
        <w:spacing w:before="40" w:after="40"/>
        <w:jc w:val="both"/>
        <w:outlineLvl w:val="9"/>
        <w:rPr>
          <w:szCs w:val="21"/>
        </w:rPr>
        <w:sectPr>
          <w:footerReference r:id="rId6" w:type="default"/>
          <w:pgSz w:w="11906" w:h="16838"/>
          <w:pgMar w:top="1800" w:right="1440" w:bottom="1800" w:left="1440" w:header="1418" w:footer="1134" w:gutter="0"/>
          <w:cols w:space="720" w:num="1"/>
          <w:formProt w:val="0"/>
          <w:docGrid w:type="lines" w:linePitch="312" w:charSpace="0"/>
        </w:sectPr>
      </w:pPr>
      <w:bookmarkStart w:id="785" w:name="_Toc24443"/>
      <w:bookmarkStart w:id="786" w:name="_Toc4258"/>
      <w:bookmarkStart w:id="787" w:name="_Toc23888"/>
      <w:bookmarkStart w:id="788" w:name="_Toc28687"/>
      <w:bookmarkStart w:id="789" w:name="_Toc22667"/>
      <w:bookmarkStart w:id="790" w:name="_Toc16343"/>
      <w:bookmarkStart w:id="791" w:name="_Toc18182"/>
      <w:bookmarkStart w:id="792" w:name="_Toc26151"/>
    </w:p>
    <w:p>
      <w:pPr>
        <w:pStyle w:val="139"/>
        <w:spacing w:before="40" w:after="40"/>
        <w:rPr>
          <w:szCs w:val="21"/>
        </w:rPr>
      </w:pPr>
      <w:bookmarkStart w:id="793" w:name="_Toc32537"/>
      <w:bookmarkStart w:id="794" w:name="_Toc16474"/>
      <w:r>
        <w:rPr>
          <w:szCs w:val="21"/>
        </w:rPr>
        <w:br w:type="textWrapping" w:clear="all"/>
      </w:r>
      <w:r>
        <w:rPr>
          <w:rFonts w:hint="eastAsia"/>
          <w:szCs w:val="21"/>
        </w:rPr>
        <w:t>（资料性附录）</w:t>
      </w:r>
      <w:r>
        <w:rPr>
          <w:szCs w:val="21"/>
        </w:rPr>
        <w:br w:type="textWrapping" w:clear="all"/>
      </w:r>
      <w:r>
        <w:rPr>
          <w:rFonts w:hint="eastAsia"/>
          <w:szCs w:val="21"/>
        </w:rPr>
        <w:t>法兰接口大样图</w:t>
      </w:r>
      <w:bookmarkEnd w:id="785"/>
      <w:bookmarkEnd w:id="786"/>
      <w:bookmarkEnd w:id="787"/>
      <w:bookmarkEnd w:id="788"/>
      <w:bookmarkEnd w:id="789"/>
      <w:bookmarkEnd w:id="790"/>
      <w:bookmarkEnd w:id="791"/>
      <w:bookmarkEnd w:id="792"/>
      <w:bookmarkEnd w:id="793"/>
      <w:bookmarkEnd w:id="794"/>
    </w:p>
    <w:p>
      <w:pPr>
        <w:pStyle w:val="26"/>
        <w:jc w:val="center"/>
        <w:rPr>
          <w:szCs w:val="21"/>
        </w:rPr>
      </w:pPr>
      <w:r>
        <w:rPr>
          <w:rFonts w:hint="eastAsia"/>
          <w:szCs w:val="21"/>
        </w:rPr>
        <w:drawing>
          <wp:inline distT="0" distB="0" distL="0" distR="0">
            <wp:extent cx="6176010" cy="4556760"/>
            <wp:effectExtent l="19050" t="0" r="0" b="0"/>
            <wp:docPr id="1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2"/>
                    <pic:cNvPicPr>
                      <a:picLocks noChangeAspect="1" noChangeArrowheads="1"/>
                    </pic:cNvPicPr>
                  </pic:nvPicPr>
                  <pic:blipFill>
                    <a:blip r:embed="rId22" cstate="print"/>
                    <a:srcRect t="784" r="580"/>
                    <a:stretch>
                      <a:fillRect/>
                    </a:stretch>
                  </pic:blipFill>
                  <pic:spPr>
                    <a:xfrm>
                      <a:off x="0" y="0"/>
                      <a:ext cx="6176010" cy="4556760"/>
                    </a:xfrm>
                    <a:prstGeom prst="rect">
                      <a:avLst/>
                    </a:prstGeom>
                    <a:noFill/>
                    <a:ln w="9525" cmpd="sng">
                      <a:noFill/>
                      <a:miter lim="800000"/>
                      <a:headEnd/>
                      <a:tailEnd/>
                    </a:ln>
                    <a:effectLst/>
                  </pic:spPr>
                </pic:pic>
              </a:graphicData>
            </a:graphic>
          </wp:inline>
        </w:drawing>
      </w:r>
    </w:p>
    <w:p>
      <w:pPr>
        <w:pStyle w:val="144"/>
        <w:tabs>
          <w:tab w:val="left" w:pos="363"/>
        </w:tabs>
        <w:spacing w:before="156" w:after="156"/>
      </w:pPr>
      <w:r>
        <w:rPr>
          <w:rFonts w:hint="eastAsia"/>
        </w:rPr>
        <w:t>图</w:t>
      </w:r>
      <w:r>
        <w:t>A</w:t>
      </w:r>
      <w:r>
        <w:rPr>
          <w:rFonts w:hint="eastAsia"/>
        </w:rPr>
        <w:t>1</w:t>
      </w:r>
      <w:r>
        <w:t xml:space="preserve"> </w:t>
      </w:r>
      <w:r>
        <w:rPr>
          <w:rFonts w:hint="eastAsia"/>
        </w:rPr>
        <w:t>6米智慧灯杆法兰接口大样图</w:t>
      </w:r>
    </w:p>
    <w:p>
      <w:pPr>
        <w:pStyle w:val="26"/>
        <w:jc w:val="center"/>
        <w:rPr>
          <w:szCs w:val="21"/>
        </w:rPr>
      </w:pPr>
      <w:r>
        <w:rPr>
          <w:rFonts w:hint="eastAsia"/>
          <w:szCs w:val="21"/>
        </w:rPr>
        <w:drawing>
          <wp:inline distT="0" distB="0" distL="0" distR="0">
            <wp:extent cx="6354445" cy="5060315"/>
            <wp:effectExtent l="19050" t="0" r="8255" b="0"/>
            <wp:docPr id="1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4"/>
                    <pic:cNvPicPr>
                      <a:picLocks noChangeAspect="1" noChangeArrowheads="1"/>
                    </pic:cNvPicPr>
                  </pic:nvPicPr>
                  <pic:blipFill>
                    <a:blip r:embed="rId23" cstate="print"/>
                    <a:srcRect/>
                    <a:stretch>
                      <a:fillRect/>
                    </a:stretch>
                  </pic:blipFill>
                  <pic:spPr>
                    <a:xfrm>
                      <a:off x="0" y="0"/>
                      <a:ext cx="6354445" cy="5060315"/>
                    </a:xfrm>
                    <a:prstGeom prst="rect">
                      <a:avLst/>
                    </a:prstGeom>
                    <a:noFill/>
                    <a:ln w="9525" cmpd="sng">
                      <a:noFill/>
                      <a:miter lim="800000"/>
                      <a:headEnd/>
                      <a:tailEnd/>
                    </a:ln>
                    <a:effectLst/>
                  </pic:spPr>
                </pic:pic>
              </a:graphicData>
            </a:graphic>
          </wp:inline>
        </w:drawing>
      </w:r>
    </w:p>
    <w:p>
      <w:pPr>
        <w:pStyle w:val="144"/>
        <w:tabs>
          <w:tab w:val="left" w:pos="363"/>
        </w:tabs>
        <w:spacing w:before="156" w:after="156"/>
      </w:pPr>
      <w:r>
        <w:rPr>
          <w:rFonts w:hint="eastAsia"/>
        </w:rPr>
        <w:t>图A2 10米智慧灯杆法兰接口大样图</w:t>
      </w:r>
    </w:p>
    <w:p>
      <w:pPr>
        <w:pStyle w:val="26"/>
        <w:jc w:val="center"/>
        <w:rPr>
          <w:szCs w:val="21"/>
        </w:rPr>
      </w:pPr>
      <w:r>
        <w:rPr>
          <w:rFonts w:hint="eastAsia"/>
          <w:szCs w:val="21"/>
        </w:rPr>
        <w:t xml:space="preserve">    </w:t>
      </w:r>
      <w:r>
        <w:rPr>
          <w:rFonts w:hint="eastAsia"/>
          <w:szCs w:val="21"/>
        </w:rPr>
        <w:drawing>
          <wp:inline distT="0" distB="0" distL="0" distR="0">
            <wp:extent cx="6408420" cy="4944110"/>
            <wp:effectExtent l="19050" t="0" r="0" b="0"/>
            <wp:docPr id="1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8"/>
                    <pic:cNvPicPr>
                      <a:picLocks noChangeAspect="1" noChangeArrowheads="1"/>
                    </pic:cNvPicPr>
                  </pic:nvPicPr>
                  <pic:blipFill>
                    <a:blip r:embed="rId24" cstate="print"/>
                    <a:srcRect t="2330" r="2370" b="729"/>
                    <a:stretch>
                      <a:fillRect/>
                    </a:stretch>
                  </pic:blipFill>
                  <pic:spPr>
                    <a:xfrm>
                      <a:off x="0" y="0"/>
                      <a:ext cx="6408420" cy="4944110"/>
                    </a:xfrm>
                    <a:prstGeom prst="rect">
                      <a:avLst/>
                    </a:prstGeom>
                    <a:noFill/>
                    <a:ln w="9525" cmpd="sng">
                      <a:noFill/>
                      <a:miter lim="800000"/>
                      <a:headEnd/>
                      <a:tailEnd/>
                    </a:ln>
                    <a:effectLst/>
                  </pic:spPr>
                </pic:pic>
              </a:graphicData>
            </a:graphic>
          </wp:inline>
        </w:drawing>
      </w:r>
    </w:p>
    <w:p>
      <w:pPr>
        <w:pStyle w:val="144"/>
        <w:tabs>
          <w:tab w:val="left" w:pos="363"/>
        </w:tabs>
        <w:spacing w:before="156" w:after="156"/>
      </w:pPr>
      <w:r>
        <w:rPr>
          <w:rFonts w:hint="eastAsia"/>
        </w:rPr>
        <w:t>图A3 14米智慧灯杆法兰接口大样图</w:t>
      </w:r>
    </w:p>
    <w:p>
      <w:pPr>
        <w:pStyle w:val="144"/>
        <w:tabs>
          <w:tab w:val="left" w:pos="363"/>
        </w:tabs>
        <w:spacing w:before="156" w:after="156"/>
      </w:pPr>
    </w:p>
    <w:p>
      <w:pPr>
        <w:pStyle w:val="139"/>
        <w:spacing w:before="40" w:after="40"/>
        <w:rPr>
          <w:szCs w:val="21"/>
        </w:rPr>
      </w:pPr>
      <w:bookmarkStart w:id="795" w:name="_Toc27428"/>
      <w:bookmarkStart w:id="796" w:name="_Toc18202"/>
      <w:bookmarkStart w:id="797" w:name="_Toc23539"/>
      <w:bookmarkStart w:id="798" w:name="_Toc13329"/>
      <w:bookmarkStart w:id="799" w:name="_Toc6782"/>
      <w:bookmarkStart w:id="800" w:name="_Toc4800"/>
      <w:bookmarkStart w:id="801" w:name="_Toc14088"/>
      <w:bookmarkStart w:id="802" w:name="_Toc6430"/>
      <w:bookmarkStart w:id="803" w:name="_Toc9252"/>
      <w:bookmarkStart w:id="804" w:name="_Toc28108"/>
      <w:r>
        <w:rPr>
          <w:rFonts w:hint="eastAsia"/>
          <w:szCs w:val="21"/>
        </w:rPr>
        <w:br w:type="textWrapping"/>
      </w:r>
      <w:r>
        <w:rPr>
          <w:rFonts w:hint="eastAsia"/>
          <w:szCs w:val="21"/>
        </w:rPr>
        <w:t>（资料性附录）</w:t>
      </w:r>
      <w:r>
        <w:rPr>
          <w:rFonts w:hint="eastAsia"/>
          <w:szCs w:val="21"/>
        </w:rPr>
        <w:br w:type="textWrapping"/>
      </w:r>
      <w:r>
        <w:rPr>
          <w:rFonts w:hint="eastAsia"/>
          <w:szCs w:val="21"/>
        </w:rPr>
        <w:t>智慧灯杆结构类型示例</w:t>
      </w:r>
      <w:bookmarkEnd w:id="795"/>
      <w:bookmarkEnd w:id="796"/>
      <w:bookmarkEnd w:id="797"/>
      <w:bookmarkEnd w:id="798"/>
      <w:bookmarkEnd w:id="799"/>
      <w:bookmarkEnd w:id="800"/>
      <w:bookmarkEnd w:id="801"/>
      <w:bookmarkEnd w:id="802"/>
      <w:bookmarkEnd w:id="803"/>
      <w:bookmarkEnd w:id="804"/>
    </w:p>
    <w:p>
      <w:pPr>
        <w:pStyle w:val="26"/>
        <w:ind w:firstLine="0" w:firstLineChars="0"/>
        <w:rPr>
          <w:rFonts w:ascii="黑体" w:hAnsi="Times New Roman" w:eastAsia="黑体"/>
          <w:szCs w:val="21"/>
        </w:rPr>
      </w:pPr>
      <w:r>
        <w:rPr>
          <w:rFonts w:hAnsi="Times New Roman"/>
          <w:szCs w:val="21"/>
        </w:rPr>
        <w:drawing>
          <wp:anchor distT="0" distB="0" distL="114300" distR="114300" simplePos="0" relativeHeight="251663360" behindDoc="0" locked="0" layoutInCell="1" allowOverlap="1">
            <wp:simplePos x="0" y="0"/>
            <wp:positionH relativeFrom="column">
              <wp:posOffset>6016625</wp:posOffset>
            </wp:positionH>
            <wp:positionV relativeFrom="paragraph">
              <wp:posOffset>433070</wp:posOffset>
            </wp:positionV>
            <wp:extent cx="1080770" cy="2141220"/>
            <wp:effectExtent l="19050" t="0" r="5080" b="0"/>
            <wp:wrapNone/>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noChangeArrowheads="1"/>
                    </pic:cNvPicPr>
                  </pic:nvPicPr>
                  <pic:blipFill>
                    <a:blip r:embed="rId25" cstate="print"/>
                    <a:srcRect r="40797"/>
                    <a:stretch>
                      <a:fillRect/>
                    </a:stretch>
                  </pic:blipFill>
                  <pic:spPr>
                    <a:xfrm>
                      <a:off x="0" y="0"/>
                      <a:ext cx="1080770" cy="2141220"/>
                    </a:xfrm>
                    <a:prstGeom prst="rect">
                      <a:avLst/>
                    </a:prstGeom>
                    <a:noFill/>
                    <a:ln w="9525" cmpd="sng">
                      <a:noFill/>
                      <a:miter lim="800000"/>
                      <a:headEnd/>
                      <a:tailEnd/>
                    </a:ln>
                  </pic:spPr>
                </pic:pic>
              </a:graphicData>
            </a:graphic>
          </wp:anchor>
        </w:drawing>
      </w:r>
      <w:r>
        <w:rPr>
          <w:rFonts w:hAnsi="Times New Roman"/>
          <w:szCs w:val="21"/>
        </w:rPr>
        <w:drawing>
          <wp:anchor distT="0" distB="0" distL="114300" distR="114300" simplePos="0" relativeHeight="251659264" behindDoc="0" locked="0" layoutInCell="1" allowOverlap="1">
            <wp:simplePos x="0" y="0"/>
            <wp:positionH relativeFrom="margin">
              <wp:posOffset>7170420</wp:posOffset>
            </wp:positionH>
            <wp:positionV relativeFrom="paragraph">
              <wp:posOffset>433070</wp:posOffset>
            </wp:positionV>
            <wp:extent cx="1150620" cy="2141220"/>
            <wp:effectExtent l="19050" t="0" r="0" b="0"/>
            <wp:wrapTopAndBottom/>
            <wp:docPr id="39" name="图片 21" descr="C:\Users\13500_~1\AppData\Local\Temp\15379394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descr="C:\Users\13500_~1\AppData\Local\Temp\1537939411(1).png"/>
                    <pic:cNvPicPr>
                      <a:picLocks noChangeAspect="1" noChangeArrowheads="1"/>
                    </pic:cNvPicPr>
                  </pic:nvPicPr>
                  <pic:blipFill>
                    <a:blip r:embed="rId26" cstate="print"/>
                    <a:srcRect l="63403" t="5557" r="4576" b="21075"/>
                    <a:stretch>
                      <a:fillRect/>
                    </a:stretch>
                  </pic:blipFill>
                  <pic:spPr>
                    <a:xfrm>
                      <a:off x="0" y="0"/>
                      <a:ext cx="1150620" cy="2141220"/>
                    </a:xfrm>
                    <a:prstGeom prst="rect">
                      <a:avLst/>
                    </a:prstGeom>
                    <a:noFill/>
                    <a:ln w="9525" cmpd="sng">
                      <a:noFill/>
                      <a:miter lim="800000"/>
                      <a:headEnd/>
                      <a:tailEnd/>
                    </a:ln>
                  </pic:spPr>
                </pic:pic>
              </a:graphicData>
            </a:graphic>
          </wp:anchor>
        </w:drawing>
      </w:r>
      <w:r>
        <w:rPr>
          <w:rFonts w:hAnsi="Times New Roman"/>
          <w:szCs w:val="21"/>
        </w:rPr>
        <w:drawing>
          <wp:anchor distT="0" distB="0" distL="114300" distR="114300" simplePos="0" relativeHeight="251655168" behindDoc="0" locked="0" layoutInCell="1" allowOverlap="1">
            <wp:simplePos x="0" y="0"/>
            <wp:positionH relativeFrom="margin">
              <wp:posOffset>4069080</wp:posOffset>
            </wp:positionH>
            <wp:positionV relativeFrom="paragraph">
              <wp:posOffset>394970</wp:posOffset>
            </wp:positionV>
            <wp:extent cx="1233170" cy="2171700"/>
            <wp:effectExtent l="19050" t="0" r="5080" b="0"/>
            <wp:wrapTopAndBottom/>
            <wp:docPr id="40" name="图片 10" descr="C:\Users\13500_~1\AppData\Local\Temp\15379394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descr="C:\Users\13500_~1\AppData\Local\Temp\1537939411(1).png"/>
                    <pic:cNvPicPr>
                      <a:picLocks noChangeAspect="1" noChangeArrowheads="1"/>
                    </pic:cNvPicPr>
                  </pic:nvPicPr>
                  <pic:blipFill>
                    <a:blip r:embed="rId26" cstate="print"/>
                    <a:srcRect l="35837" t="5002" r="48259" b="21075"/>
                    <a:stretch>
                      <a:fillRect/>
                    </a:stretch>
                  </pic:blipFill>
                  <pic:spPr>
                    <a:xfrm>
                      <a:off x="0" y="0"/>
                      <a:ext cx="1233170" cy="2171700"/>
                    </a:xfrm>
                    <a:prstGeom prst="rect">
                      <a:avLst/>
                    </a:prstGeom>
                    <a:noFill/>
                    <a:ln w="9525" cmpd="sng">
                      <a:noFill/>
                      <a:miter lim="800000"/>
                      <a:headEnd/>
                      <a:tailEnd/>
                    </a:ln>
                  </pic:spPr>
                </pic:pic>
              </a:graphicData>
            </a:graphic>
          </wp:anchor>
        </w:drawing>
      </w:r>
      <w:r>
        <w:rPr>
          <w:rFonts w:hAnsi="Times New Roman"/>
          <w:szCs w:val="21"/>
        </w:rPr>
        <w:drawing>
          <wp:anchor distT="0" distB="0" distL="114300" distR="114300" simplePos="0" relativeHeight="251661312" behindDoc="0" locked="0" layoutInCell="1" allowOverlap="1">
            <wp:simplePos x="0" y="0"/>
            <wp:positionH relativeFrom="column">
              <wp:posOffset>3086100</wp:posOffset>
            </wp:positionH>
            <wp:positionV relativeFrom="paragraph">
              <wp:posOffset>394970</wp:posOffset>
            </wp:positionV>
            <wp:extent cx="967740" cy="2194560"/>
            <wp:effectExtent l="19050" t="0" r="3810" b="0"/>
            <wp:wrapTopAndBottom/>
            <wp:docPr id="4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pic:cNvPicPr>
                      <a:picLocks noChangeAspect="1" noChangeArrowheads="1"/>
                    </pic:cNvPicPr>
                  </pic:nvPicPr>
                  <pic:blipFill>
                    <a:blip r:embed="rId27" cstate="print"/>
                    <a:srcRect/>
                    <a:stretch>
                      <a:fillRect/>
                    </a:stretch>
                  </pic:blipFill>
                  <pic:spPr>
                    <a:xfrm>
                      <a:off x="0" y="0"/>
                      <a:ext cx="967740" cy="2194560"/>
                    </a:xfrm>
                    <a:prstGeom prst="rect">
                      <a:avLst/>
                    </a:prstGeom>
                    <a:noFill/>
                    <a:ln w="9525" cmpd="sng">
                      <a:noFill/>
                      <a:miter lim="800000"/>
                      <a:headEnd/>
                      <a:tailEnd/>
                    </a:ln>
                  </pic:spPr>
                </pic:pic>
              </a:graphicData>
            </a:graphic>
          </wp:anchor>
        </w:drawing>
      </w:r>
      <w:r>
        <w:rPr>
          <w:rFonts w:hAnsi="Times New Roman"/>
          <w:szCs w:val="21"/>
        </w:rPr>
        <w:drawing>
          <wp:anchor distT="0" distB="0" distL="114300" distR="114300" simplePos="0" relativeHeight="251657216" behindDoc="0" locked="0" layoutInCell="1" allowOverlap="1">
            <wp:simplePos x="0" y="0"/>
            <wp:positionH relativeFrom="column">
              <wp:posOffset>1074420</wp:posOffset>
            </wp:positionH>
            <wp:positionV relativeFrom="paragraph">
              <wp:posOffset>410210</wp:posOffset>
            </wp:positionV>
            <wp:extent cx="1202690" cy="2171700"/>
            <wp:effectExtent l="19050" t="0" r="0" b="0"/>
            <wp:wrapTopAndBottom/>
            <wp:docPr id="4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9"/>
                    <pic:cNvPicPr>
                      <a:picLocks noChangeAspect="1" noChangeArrowheads="1"/>
                    </pic:cNvPicPr>
                  </pic:nvPicPr>
                  <pic:blipFill>
                    <a:blip r:embed="rId28" cstate="print"/>
                    <a:srcRect/>
                    <a:stretch>
                      <a:fillRect/>
                    </a:stretch>
                  </pic:blipFill>
                  <pic:spPr>
                    <a:xfrm>
                      <a:off x="0" y="0"/>
                      <a:ext cx="1202690" cy="2171700"/>
                    </a:xfrm>
                    <a:prstGeom prst="rect">
                      <a:avLst/>
                    </a:prstGeom>
                    <a:noFill/>
                    <a:ln w="9525" cmpd="sng">
                      <a:noFill/>
                      <a:miter lim="800000"/>
                      <a:headEnd/>
                      <a:tailEnd/>
                    </a:ln>
                  </pic:spPr>
                </pic:pic>
              </a:graphicData>
            </a:graphic>
          </wp:anchor>
        </w:drawing>
      </w:r>
      <w:r>
        <w:rPr>
          <w:rFonts w:hAnsi="Times New Roman"/>
          <w:szCs w:val="21"/>
        </w:rPr>
        <w:drawing>
          <wp:anchor distT="0" distB="0" distL="114300" distR="114300" simplePos="0" relativeHeight="251653120" behindDoc="0" locked="0" layoutInCell="1" allowOverlap="1">
            <wp:simplePos x="0" y="0"/>
            <wp:positionH relativeFrom="margin">
              <wp:posOffset>-121920</wp:posOffset>
            </wp:positionH>
            <wp:positionV relativeFrom="paragraph">
              <wp:posOffset>265430</wp:posOffset>
            </wp:positionV>
            <wp:extent cx="1242060" cy="2423160"/>
            <wp:effectExtent l="19050" t="0" r="0" b="0"/>
            <wp:wrapTopAndBottom/>
            <wp:docPr id="43" name="图片 148" descr="C:\Users\13500_~1\AppData\Local\Temp\15379394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8" descr="C:\Users\13500_~1\AppData\Local\Temp\1537939411(1).png"/>
                    <pic:cNvPicPr>
                      <a:picLocks noChangeAspect="1" noChangeArrowheads="1"/>
                    </pic:cNvPicPr>
                  </pic:nvPicPr>
                  <pic:blipFill>
                    <a:blip r:embed="rId26" cstate="print"/>
                    <a:srcRect l="3180" r="80103" b="14497"/>
                    <a:stretch>
                      <a:fillRect/>
                    </a:stretch>
                  </pic:blipFill>
                  <pic:spPr>
                    <a:xfrm>
                      <a:off x="0" y="0"/>
                      <a:ext cx="1242060" cy="2423160"/>
                    </a:xfrm>
                    <a:prstGeom prst="rect">
                      <a:avLst/>
                    </a:prstGeom>
                    <a:noFill/>
                    <a:ln w="9525" cmpd="sng">
                      <a:noFill/>
                      <a:miter lim="800000"/>
                      <a:headEnd/>
                      <a:tailEnd/>
                    </a:ln>
                  </pic:spPr>
                </pic:pic>
              </a:graphicData>
            </a:graphic>
          </wp:anchor>
        </w:drawing>
      </w:r>
    </w:p>
    <w:p>
      <w:pPr>
        <w:tabs>
          <w:tab w:val="left" w:pos="363"/>
        </w:tabs>
        <w:spacing w:before="156" w:beforeLines="50" w:after="156" w:afterLines="50"/>
        <w:ind w:firstLine="1680" w:firstLineChars="800"/>
        <w:jc w:val="left"/>
        <w:rPr>
          <w:rFonts w:ascii="黑体" w:eastAsia="黑体"/>
          <w:szCs w:val="21"/>
        </w:rPr>
      </w:pPr>
      <w:r>
        <w:rPr>
          <w:rFonts w:ascii="黑体" w:eastAsia="黑体"/>
          <w:szCs w:val="21"/>
        </w:rPr>
        <w:t>a)</w:t>
      </w:r>
      <w:r>
        <w:rPr>
          <w:rFonts w:hint="eastAsia" w:ascii="黑体" w:eastAsia="黑体"/>
          <w:szCs w:val="21"/>
        </w:rPr>
        <w:t xml:space="preserve">固定式 </w:t>
      </w:r>
      <w:r>
        <w:rPr>
          <w:rFonts w:ascii="黑体" w:eastAsia="黑体"/>
          <w:szCs w:val="21"/>
        </w:rPr>
        <w:t xml:space="preserve">                                </w:t>
      </w:r>
      <w:r>
        <w:rPr>
          <w:rFonts w:hint="eastAsia" w:ascii="黑体" w:eastAsia="黑体"/>
          <w:szCs w:val="21"/>
        </w:rPr>
        <w:t xml:space="preserve">b）滑槽式 </w:t>
      </w:r>
      <w:r>
        <w:rPr>
          <w:rFonts w:ascii="黑体" w:eastAsia="黑体"/>
          <w:szCs w:val="21"/>
        </w:rPr>
        <w:t xml:space="preserve">                       </w:t>
      </w:r>
      <w:r>
        <w:rPr>
          <w:rFonts w:hint="eastAsia" w:ascii="黑体" w:eastAsia="黑体"/>
          <w:szCs w:val="21"/>
        </w:rPr>
        <w:t xml:space="preserve">         </w:t>
      </w:r>
      <w:r>
        <w:rPr>
          <w:rFonts w:ascii="黑体" w:eastAsia="黑体"/>
          <w:szCs w:val="21"/>
        </w:rPr>
        <w:t xml:space="preserve">     </w:t>
      </w:r>
      <w:r>
        <w:rPr>
          <w:rFonts w:hint="eastAsia" w:ascii="黑体" w:eastAsia="黑体"/>
          <w:szCs w:val="21"/>
        </w:rPr>
        <w:t>c）机架式</w:t>
      </w:r>
    </w:p>
    <w:p>
      <w:pPr>
        <w:tabs>
          <w:tab w:val="left" w:pos="363"/>
        </w:tabs>
        <w:spacing w:before="156" w:beforeLines="50" w:after="156" w:afterLines="50"/>
        <w:jc w:val="center"/>
        <w:rPr>
          <w:rFonts w:ascii="黑体" w:eastAsia="黑体"/>
          <w:szCs w:val="21"/>
        </w:rPr>
      </w:pPr>
      <w:r>
        <w:rPr>
          <w:rFonts w:hint="eastAsia" w:ascii="黑体" w:eastAsia="黑体"/>
          <w:szCs w:val="21"/>
        </w:rPr>
        <w:t>图C</w:t>
      </w:r>
      <w:r>
        <w:rPr>
          <w:rFonts w:ascii="黑体" w:eastAsia="黑体"/>
          <w:szCs w:val="21"/>
        </w:rPr>
        <w:t xml:space="preserve"> </w:t>
      </w:r>
      <w:r>
        <w:rPr>
          <w:rFonts w:hint="eastAsia" w:ascii="黑体" w:eastAsia="黑体"/>
          <w:szCs w:val="21"/>
        </w:rPr>
        <w:t>智慧灯杆结构类型示例</w:t>
      </w:r>
    </w:p>
    <w:p>
      <w:pPr>
        <w:pStyle w:val="26"/>
        <w:tabs>
          <w:tab w:val="clear" w:pos="4201"/>
          <w:tab w:val="clear" w:pos="9298"/>
        </w:tabs>
        <w:ind w:firstLine="0" w:firstLineChars="0"/>
        <w:rPr>
          <w:szCs w:val="21"/>
        </w:rPr>
        <w:sectPr>
          <w:pgSz w:w="16838" w:h="11906" w:orient="landscape"/>
          <w:pgMar w:top="1440" w:right="1800" w:bottom="1440" w:left="1800" w:header="1418" w:footer="1134" w:gutter="0"/>
          <w:cols w:space="720" w:num="1"/>
          <w:formProt w:val="0"/>
          <w:docGrid w:type="lines" w:linePitch="312" w:charSpace="0"/>
        </w:sectPr>
      </w:pPr>
    </w:p>
    <w:bookmarkEnd w:id="676"/>
    <w:p>
      <w:pPr>
        <w:keepNext/>
        <w:widowControl/>
        <w:numPr>
          <w:ilvl w:val="0"/>
          <w:numId w:val="9"/>
        </w:numPr>
        <w:shd w:val="clear" w:color="FFFFFF" w:fill="FFFFFF"/>
        <w:spacing w:before="40" w:after="40"/>
        <w:jc w:val="center"/>
        <w:outlineLvl w:val="0"/>
        <w:rPr>
          <w:rFonts w:ascii="黑体" w:eastAsia="黑体"/>
          <w:kern w:val="0"/>
          <w:szCs w:val="21"/>
        </w:rPr>
      </w:pPr>
      <w:bookmarkStart w:id="805" w:name="_Toc1706"/>
      <w:bookmarkStart w:id="806" w:name="_Toc16960"/>
      <w:bookmarkStart w:id="807" w:name="_Toc6530"/>
      <w:bookmarkStart w:id="808" w:name="_Toc31581"/>
      <w:bookmarkStart w:id="809" w:name="_Toc6630"/>
      <w:bookmarkStart w:id="810" w:name="_Toc14771"/>
      <w:bookmarkStart w:id="811" w:name="_Toc21208"/>
      <w:bookmarkStart w:id="812" w:name="_Toc24002"/>
      <w:bookmarkStart w:id="813" w:name="_Toc26720"/>
      <w:bookmarkStart w:id="814" w:name="_Toc2161"/>
      <w:r>
        <w:rPr>
          <w:rFonts w:ascii="黑体" w:eastAsia="黑体"/>
          <w:kern w:val="0"/>
          <w:szCs w:val="21"/>
        </w:rPr>
        <w:br w:type="textWrapping"/>
      </w:r>
      <w:bookmarkStart w:id="815" w:name="_Toc13646066"/>
      <w:r>
        <w:rPr>
          <w:rFonts w:hint="eastAsia" w:ascii="黑体" w:eastAsia="黑体"/>
          <w:kern w:val="0"/>
          <w:szCs w:val="21"/>
        </w:rPr>
        <w:t>（资料性附录）</w:t>
      </w:r>
      <w:r>
        <w:rPr>
          <w:rFonts w:ascii="黑体" w:eastAsia="黑体"/>
          <w:kern w:val="0"/>
          <w:szCs w:val="21"/>
        </w:rPr>
        <w:br w:type="textWrapping"/>
      </w:r>
      <w:bookmarkStart w:id="816" w:name="_Toc504144565"/>
      <w:bookmarkStart w:id="817" w:name="_Toc503512810"/>
      <w:r>
        <w:rPr>
          <w:rFonts w:hint="eastAsia" w:ascii="黑体" w:eastAsia="黑体"/>
          <w:kern w:val="0"/>
          <w:szCs w:val="21"/>
        </w:rPr>
        <w:t>验收表格</w:t>
      </w:r>
      <w:bookmarkEnd w:id="805"/>
      <w:bookmarkEnd w:id="806"/>
      <w:bookmarkEnd w:id="807"/>
      <w:bookmarkEnd w:id="808"/>
      <w:bookmarkEnd w:id="809"/>
      <w:bookmarkEnd w:id="810"/>
      <w:bookmarkEnd w:id="811"/>
      <w:bookmarkEnd w:id="812"/>
      <w:bookmarkEnd w:id="813"/>
      <w:bookmarkEnd w:id="814"/>
      <w:bookmarkEnd w:id="815"/>
      <w:bookmarkEnd w:id="816"/>
      <w:bookmarkEnd w:id="817"/>
    </w:p>
    <w:p>
      <w:pPr>
        <w:tabs>
          <w:tab w:val="left" w:pos="363"/>
        </w:tabs>
        <w:spacing w:before="156" w:beforeLines="50" w:after="156" w:afterLines="50"/>
        <w:jc w:val="center"/>
        <w:rPr>
          <w:rFonts w:ascii="黑体" w:eastAsia="黑体"/>
          <w:szCs w:val="21"/>
        </w:rPr>
      </w:pPr>
      <w:r>
        <w:rPr>
          <w:rFonts w:hint="eastAsia" w:ascii="黑体" w:eastAsia="黑体"/>
          <w:szCs w:val="21"/>
        </w:rPr>
        <w:t>表C</w:t>
      </w:r>
      <w:r>
        <w:rPr>
          <w:rFonts w:ascii="黑体" w:eastAsia="黑体"/>
          <w:szCs w:val="21"/>
        </w:rPr>
        <w:t>.</w:t>
      </w:r>
      <w:r>
        <w:rPr>
          <w:rFonts w:hint="eastAsia" w:ascii="黑体" w:eastAsia="黑体"/>
          <w:szCs w:val="21"/>
        </w:rPr>
        <w:t>1</w:t>
      </w:r>
      <w:r>
        <w:rPr>
          <w:rFonts w:ascii="黑体" w:eastAsia="黑体"/>
          <w:szCs w:val="21"/>
        </w:rPr>
        <w:t xml:space="preserve"> </w:t>
      </w:r>
      <w:r>
        <w:rPr>
          <w:rFonts w:hint="eastAsia" w:ascii="黑体" w:eastAsia="黑体"/>
          <w:szCs w:val="21"/>
        </w:rPr>
        <w:t>隐蔽工程随工验收单</w:t>
      </w:r>
    </w:p>
    <w:tbl>
      <w:tblPr>
        <w:tblStyle w:val="37"/>
        <w:tblW w:w="0" w:type="auto"/>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
      <w:tblGrid>
        <w:gridCol w:w="663"/>
        <w:gridCol w:w="1993"/>
        <w:gridCol w:w="442"/>
        <w:gridCol w:w="664"/>
        <w:gridCol w:w="1770"/>
        <w:gridCol w:w="886"/>
        <w:gridCol w:w="1106"/>
        <w:gridCol w:w="2656"/>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10180" w:type="dxa"/>
            <w:gridSpan w:val="8"/>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cs="宋体"/>
                <w:kern w:val="0"/>
                <w:szCs w:val="21"/>
                <w:shd w:val="clear" w:color="auto" w:fill="FFFFFF"/>
              </w:rPr>
              <w:t>工程名称：</w:t>
            </w:r>
            <w:r>
              <w:rPr>
                <w:rFonts w:hint="eastAsia" w:cs="宋体"/>
                <w:kern w:val="0"/>
                <w:szCs w:val="21"/>
                <w:u w:val="single"/>
                <w:shd w:val="clear" w:color="auto" w:fill="FFFFFF"/>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2656" w:type="dxa"/>
            <w:gridSpan w:val="2"/>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建设单位／总包单位</w:t>
            </w:r>
          </w:p>
        </w:tc>
        <w:tc>
          <w:tcPr>
            <w:tcW w:w="3762" w:type="dxa"/>
            <w:gridSpan w:val="4"/>
            <w:tcBorders>
              <w:top w:val="single" w:color="auto" w:sz="4" w:space="0"/>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设计，施工单位</w:t>
            </w:r>
          </w:p>
        </w:tc>
        <w:tc>
          <w:tcPr>
            <w:tcW w:w="3762" w:type="dxa"/>
            <w:gridSpan w:val="2"/>
            <w:tcBorders>
              <w:top w:val="single" w:color="auto" w:sz="4" w:space="0"/>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监理单位</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2656" w:type="dxa"/>
            <w:gridSpan w:val="2"/>
            <w:tcBorders>
              <w:top w:val="nil"/>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rPr>
              <w:t> </w:t>
            </w:r>
          </w:p>
        </w:tc>
        <w:tc>
          <w:tcPr>
            <w:tcW w:w="3762" w:type="dxa"/>
            <w:gridSpan w:val="4"/>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rPr>
              <w:t> </w:t>
            </w:r>
          </w:p>
        </w:tc>
        <w:tc>
          <w:tcPr>
            <w:tcW w:w="3762" w:type="dxa"/>
            <w:gridSpan w:val="2"/>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663" w:type="dxa"/>
            <w:vMerge w:val="restart"/>
            <w:tcBorders>
              <w:top w:val="nil"/>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隐蔽工程内容与检查</w:t>
            </w:r>
          </w:p>
        </w:tc>
        <w:tc>
          <w:tcPr>
            <w:tcW w:w="3099" w:type="dxa"/>
            <w:gridSpan w:val="3"/>
            <w:vMerge w:val="restart"/>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u w:val="single"/>
              </w:rPr>
              <w:t> </w:t>
            </w:r>
          </w:p>
          <w:p>
            <w:pPr>
              <w:pStyle w:val="26"/>
              <w:ind w:firstLine="0" w:firstLineChars="0"/>
              <w:rPr>
                <w:rFonts w:hAnsi="Times New Roman"/>
                <w:kern w:val="0"/>
                <w:szCs w:val="21"/>
              </w:rPr>
            </w:pPr>
            <w:r>
              <w:rPr>
                <w:rFonts w:hint="eastAsia" w:hAnsi="Times New Roman"/>
                <w:kern w:val="0"/>
                <w:szCs w:val="21"/>
              </w:rPr>
              <w:t>检查内容（共</w:t>
            </w:r>
            <w:r>
              <w:rPr>
                <w:rFonts w:hAnsi="Times New Roman"/>
                <w:kern w:val="0"/>
                <w:szCs w:val="21"/>
              </w:rPr>
              <w:t>6</w:t>
            </w:r>
            <w:r>
              <w:rPr>
                <w:rFonts w:hint="eastAsia" w:hAnsi="Times New Roman"/>
                <w:kern w:val="0"/>
                <w:szCs w:val="21"/>
              </w:rPr>
              <w:t>项）</w:t>
            </w:r>
          </w:p>
        </w:tc>
        <w:tc>
          <w:tcPr>
            <w:tcW w:w="6418" w:type="dxa"/>
            <w:gridSpan w:val="4"/>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检查结果</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663" w:type="dxa"/>
            <w:vMerge w:val="continue"/>
            <w:tcBorders>
              <w:top w:val="nil"/>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p>
        </w:tc>
        <w:tc>
          <w:tcPr>
            <w:tcW w:w="3099" w:type="dxa"/>
            <w:gridSpan w:val="3"/>
            <w:vMerge w:val="continue"/>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p>
        </w:tc>
        <w:tc>
          <w:tcPr>
            <w:tcW w:w="1770" w:type="dxa"/>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安装质量</w:t>
            </w:r>
          </w:p>
        </w:tc>
        <w:tc>
          <w:tcPr>
            <w:tcW w:w="1992" w:type="dxa"/>
            <w:gridSpan w:val="2"/>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楼层（部位）</w:t>
            </w:r>
          </w:p>
        </w:tc>
        <w:tc>
          <w:tcPr>
            <w:tcW w:w="2656" w:type="dxa"/>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图号</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663" w:type="dxa"/>
            <w:vMerge w:val="continue"/>
            <w:tcBorders>
              <w:top w:val="nil"/>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p>
        </w:tc>
        <w:tc>
          <w:tcPr>
            <w:tcW w:w="3099" w:type="dxa"/>
            <w:gridSpan w:val="3"/>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rPr>
              <w:t> </w:t>
            </w:r>
          </w:p>
        </w:tc>
        <w:tc>
          <w:tcPr>
            <w:tcW w:w="1770" w:type="dxa"/>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rPr>
              <w:t> </w:t>
            </w:r>
          </w:p>
        </w:tc>
        <w:tc>
          <w:tcPr>
            <w:tcW w:w="1992" w:type="dxa"/>
            <w:gridSpan w:val="2"/>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rPr>
              <w:t> </w:t>
            </w:r>
          </w:p>
        </w:tc>
        <w:tc>
          <w:tcPr>
            <w:tcW w:w="2656" w:type="dxa"/>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663" w:type="dxa"/>
            <w:vMerge w:val="continue"/>
            <w:tcBorders>
              <w:top w:val="nil"/>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p>
        </w:tc>
        <w:tc>
          <w:tcPr>
            <w:tcW w:w="3099" w:type="dxa"/>
            <w:gridSpan w:val="3"/>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rPr>
              <w:t> </w:t>
            </w:r>
          </w:p>
        </w:tc>
        <w:tc>
          <w:tcPr>
            <w:tcW w:w="1770" w:type="dxa"/>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rPr>
              <w:t> </w:t>
            </w:r>
          </w:p>
        </w:tc>
        <w:tc>
          <w:tcPr>
            <w:tcW w:w="1992" w:type="dxa"/>
            <w:gridSpan w:val="2"/>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rPr>
              <w:t> </w:t>
            </w:r>
          </w:p>
        </w:tc>
        <w:tc>
          <w:tcPr>
            <w:tcW w:w="2656" w:type="dxa"/>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46" w:hRule="atLeast"/>
          <w:jc w:val="center"/>
        </w:trPr>
        <w:tc>
          <w:tcPr>
            <w:tcW w:w="663" w:type="dxa"/>
            <w:vMerge w:val="continue"/>
            <w:tcBorders>
              <w:top w:val="nil"/>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p>
        </w:tc>
        <w:tc>
          <w:tcPr>
            <w:tcW w:w="3099" w:type="dxa"/>
            <w:gridSpan w:val="3"/>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rPr>
              <w:t> </w:t>
            </w:r>
          </w:p>
        </w:tc>
        <w:tc>
          <w:tcPr>
            <w:tcW w:w="1770" w:type="dxa"/>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rPr>
              <w:t> </w:t>
            </w:r>
          </w:p>
        </w:tc>
        <w:tc>
          <w:tcPr>
            <w:tcW w:w="1992" w:type="dxa"/>
            <w:gridSpan w:val="2"/>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rPr>
              <w:t> </w:t>
            </w:r>
          </w:p>
        </w:tc>
        <w:tc>
          <w:tcPr>
            <w:tcW w:w="2656" w:type="dxa"/>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00" w:hRule="atLeast"/>
          <w:jc w:val="center"/>
        </w:trPr>
        <w:tc>
          <w:tcPr>
            <w:tcW w:w="663" w:type="dxa"/>
            <w:tcBorders>
              <w:top w:val="nil"/>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验收意见</w:t>
            </w:r>
          </w:p>
        </w:tc>
        <w:tc>
          <w:tcPr>
            <w:tcW w:w="9517" w:type="dxa"/>
            <w:gridSpan w:val="7"/>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3098" w:type="dxa"/>
            <w:gridSpan w:val="3"/>
            <w:tcBorders>
              <w:top w:val="nil"/>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建设单位／总包单位</w:t>
            </w:r>
          </w:p>
        </w:tc>
        <w:tc>
          <w:tcPr>
            <w:tcW w:w="3320" w:type="dxa"/>
            <w:gridSpan w:val="3"/>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设计，施工单位</w:t>
            </w:r>
          </w:p>
        </w:tc>
        <w:tc>
          <w:tcPr>
            <w:tcW w:w="3762" w:type="dxa"/>
            <w:gridSpan w:val="2"/>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监理单位</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50" w:hRule="atLeast"/>
          <w:jc w:val="center"/>
        </w:trPr>
        <w:tc>
          <w:tcPr>
            <w:tcW w:w="3098" w:type="dxa"/>
            <w:gridSpan w:val="3"/>
            <w:tcBorders>
              <w:top w:val="nil"/>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验收人：</w:t>
            </w:r>
          </w:p>
          <w:p>
            <w:pPr>
              <w:pStyle w:val="26"/>
              <w:ind w:firstLine="0" w:firstLineChars="0"/>
              <w:rPr>
                <w:rFonts w:hAnsi="Times New Roman"/>
                <w:kern w:val="0"/>
                <w:szCs w:val="21"/>
              </w:rPr>
            </w:pPr>
            <w:r>
              <w:rPr>
                <w:rFonts w:hAnsi="Times New Roman"/>
                <w:kern w:val="0"/>
                <w:szCs w:val="21"/>
              </w:rPr>
              <w:t> </w:t>
            </w:r>
          </w:p>
          <w:p>
            <w:pPr>
              <w:pStyle w:val="26"/>
              <w:ind w:firstLine="0" w:firstLineChars="0"/>
              <w:rPr>
                <w:rFonts w:hAnsi="Times New Roman"/>
                <w:kern w:val="0"/>
                <w:szCs w:val="21"/>
              </w:rPr>
            </w:pPr>
            <w:r>
              <w:rPr>
                <w:rFonts w:hint="eastAsia" w:hAnsi="Times New Roman"/>
                <w:kern w:val="0"/>
                <w:szCs w:val="21"/>
              </w:rPr>
              <w:t>日期：</w:t>
            </w:r>
          </w:p>
          <w:p>
            <w:pPr>
              <w:pStyle w:val="26"/>
              <w:ind w:firstLine="0" w:firstLineChars="0"/>
              <w:rPr>
                <w:rFonts w:hAnsi="Times New Roman"/>
                <w:kern w:val="0"/>
                <w:szCs w:val="21"/>
              </w:rPr>
            </w:pPr>
            <w:r>
              <w:rPr>
                <w:rFonts w:hAnsi="Times New Roman"/>
                <w:kern w:val="0"/>
                <w:szCs w:val="21"/>
              </w:rPr>
              <w:t> </w:t>
            </w:r>
          </w:p>
          <w:p>
            <w:pPr>
              <w:pStyle w:val="26"/>
              <w:ind w:firstLine="0" w:firstLineChars="0"/>
              <w:rPr>
                <w:rFonts w:hAnsi="Times New Roman"/>
                <w:kern w:val="0"/>
                <w:szCs w:val="21"/>
              </w:rPr>
            </w:pPr>
            <w:r>
              <w:rPr>
                <w:rFonts w:hint="eastAsia" w:hAnsi="Times New Roman"/>
                <w:kern w:val="0"/>
                <w:szCs w:val="21"/>
              </w:rPr>
              <w:t>盖章：</w:t>
            </w:r>
          </w:p>
        </w:tc>
        <w:tc>
          <w:tcPr>
            <w:tcW w:w="3320" w:type="dxa"/>
            <w:gridSpan w:val="3"/>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验收人：</w:t>
            </w:r>
          </w:p>
          <w:p>
            <w:pPr>
              <w:pStyle w:val="26"/>
              <w:ind w:firstLine="0" w:firstLineChars="0"/>
              <w:rPr>
                <w:rFonts w:hAnsi="Times New Roman"/>
                <w:kern w:val="0"/>
                <w:szCs w:val="21"/>
              </w:rPr>
            </w:pPr>
            <w:r>
              <w:rPr>
                <w:rFonts w:hAnsi="Times New Roman"/>
                <w:kern w:val="0"/>
                <w:szCs w:val="21"/>
              </w:rPr>
              <w:t> </w:t>
            </w:r>
          </w:p>
          <w:p>
            <w:pPr>
              <w:pStyle w:val="26"/>
              <w:ind w:firstLine="0" w:firstLineChars="0"/>
              <w:rPr>
                <w:rFonts w:hAnsi="Times New Roman"/>
                <w:kern w:val="0"/>
                <w:szCs w:val="21"/>
              </w:rPr>
            </w:pPr>
            <w:r>
              <w:rPr>
                <w:rFonts w:hint="eastAsia" w:hAnsi="Times New Roman"/>
                <w:kern w:val="0"/>
                <w:szCs w:val="21"/>
              </w:rPr>
              <w:t>日期：</w:t>
            </w:r>
          </w:p>
          <w:p>
            <w:pPr>
              <w:pStyle w:val="26"/>
              <w:ind w:firstLine="0" w:firstLineChars="0"/>
              <w:rPr>
                <w:rFonts w:hAnsi="Times New Roman"/>
                <w:kern w:val="0"/>
                <w:szCs w:val="21"/>
              </w:rPr>
            </w:pPr>
            <w:r>
              <w:rPr>
                <w:rFonts w:hAnsi="Times New Roman"/>
                <w:kern w:val="0"/>
                <w:szCs w:val="21"/>
              </w:rPr>
              <w:t> </w:t>
            </w:r>
          </w:p>
          <w:p>
            <w:pPr>
              <w:pStyle w:val="26"/>
              <w:ind w:firstLine="0" w:firstLineChars="0"/>
              <w:rPr>
                <w:rFonts w:hAnsi="Times New Roman"/>
                <w:kern w:val="0"/>
                <w:szCs w:val="21"/>
              </w:rPr>
            </w:pPr>
            <w:r>
              <w:rPr>
                <w:rFonts w:hint="eastAsia" w:hAnsi="Times New Roman"/>
                <w:kern w:val="0"/>
                <w:szCs w:val="21"/>
              </w:rPr>
              <w:t>盖章：</w:t>
            </w:r>
          </w:p>
        </w:tc>
        <w:tc>
          <w:tcPr>
            <w:tcW w:w="3762" w:type="dxa"/>
            <w:gridSpan w:val="2"/>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验收人：</w:t>
            </w:r>
          </w:p>
          <w:p>
            <w:pPr>
              <w:pStyle w:val="26"/>
              <w:ind w:firstLine="0" w:firstLineChars="0"/>
              <w:rPr>
                <w:rFonts w:hAnsi="Times New Roman"/>
                <w:kern w:val="0"/>
                <w:szCs w:val="21"/>
              </w:rPr>
            </w:pPr>
            <w:r>
              <w:rPr>
                <w:rFonts w:hAnsi="Times New Roman"/>
                <w:kern w:val="0"/>
                <w:szCs w:val="21"/>
              </w:rPr>
              <w:t> </w:t>
            </w:r>
          </w:p>
          <w:p>
            <w:pPr>
              <w:pStyle w:val="26"/>
              <w:ind w:firstLine="0" w:firstLineChars="0"/>
              <w:rPr>
                <w:rFonts w:hAnsi="Times New Roman"/>
                <w:kern w:val="0"/>
                <w:szCs w:val="21"/>
              </w:rPr>
            </w:pPr>
            <w:r>
              <w:rPr>
                <w:rFonts w:hint="eastAsia" w:hAnsi="Times New Roman"/>
                <w:kern w:val="0"/>
                <w:szCs w:val="21"/>
              </w:rPr>
              <w:t>日期：</w:t>
            </w:r>
          </w:p>
          <w:p>
            <w:pPr>
              <w:pStyle w:val="26"/>
              <w:ind w:firstLine="0" w:firstLineChars="0"/>
              <w:rPr>
                <w:rFonts w:hAnsi="Times New Roman"/>
                <w:kern w:val="0"/>
                <w:szCs w:val="21"/>
              </w:rPr>
            </w:pPr>
            <w:r>
              <w:rPr>
                <w:rFonts w:hAnsi="Times New Roman"/>
                <w:kern w:val="0"/>
                <w:szCs w:val="21"/>
              </w:rPr>
              <w:t> </w:t>
            </w:r>
          </w:p>
          <w:p>
            <w:pPr>
              <w:pStyle w:val="26"/>
              <w:ind w:firstLine="0" w:firstLineChars="0"/>
              <w:rPr>
                <w:rFonts w:hAnsi="Times New Roman"/>
                <w:kern w:val="0"/>
                <w:szCs w:val="21"/>
              </w:rPr>
            </w:pPr>
            <w:r>
              <w:rPr>
                <w:rFonts w:hint="eastAsia" w:hAnsi="Times New Roman"/>
                <w:kern w:val="0"/>
                <w:szCs w:val="21"/>
              </w:rPr>
              <w:t>盖章：</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152" w:hRule="atLeast"/>
          <w:jc w:val="center"/>
        </w:trPr>
        <w:tc>
          <w:tcPr>
            <w:tcW w:w="10180" w:type="dxa"/>
            <w:gridSpan w:val="8"/>
            <w:tcBorders>
              <w:top w:val="nil"/>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注：</w:t>
            </w:r>
          </w:p>
          <w:p>
            <w:pPr>
              <w:pStyle w:val="26"/>
              <w:ind w:firstLine="0" w:firstLineChars="0"/>
              <w:rPr>
                <w:rFonts w:hAnsi="Times New Roman"/>
                <w:kern w:val="0"/>
                <w:szCs w:val="21"/>
              </w:rPr>
            </w:pPr>
            <w:r>
              <w:rPr>
                <w:rFonts w:hint="eastAsia" w:hAnsi="Times New Roman"/>
                <w:kern w:val="0"/>
                <w:szCs w:val="21"/>
              </w:rPr>
              <w:t>１、检查内容包括：（１）管道排列，走向，弯曲处理，固定方式；（２）管道连接，</w:t>
            </w:r>
          </w:p>
          <w:p>
            <w:pPr>
              <w:pStyle w:val="26"/>
              <w:ind w:firstLine="0" w:firstLineChars="0"/>
              <w:rPr>
                <w:rFonts w:hAnsi="Times New Roman"/>
                <w:kern w:val="0"/>
                <w:szCs w:val="21"/>
              </w:rPr>
            </w:pPr>
            <w:r>
              <w:rPr>
                <w:rFonts w:hint="eastAsia" w:hAnsi="Times New Roman"/>
                <w:kern w:val="0"/>
                <w:szCs w:val="21"/>
              </w:rPr>
              <w:t>管道搭铁，接地；（３）管口安放护圈标识；（４）接线盒及桥架因盖；（５）线缆对</w:t>
            </w:r>
          </w:p>
          <w:p>
            <w:pPr>
              <w:pStyle w:val="26"/>
              <w:ind w:firstLine="0" w:firstLineChars="0"/>
              <w:rPr>
                <w:rFonts w:hAnsi="Times New Roman"/>
                <w:kern w:val="0"/>
                <w:szCs w:val="21"/>
              </w:rPr>
            </w:pPr>
            <w:r>
              <w:rPr>
                <w:rFonts w:hint="eastAsia" w:hAnsi="Times New Roman"/>
                <w:kern w:val="0"/>
                <w:szCs w:val="21"/>
              </w:rPr>
              <w:t>管道及线间绝缘电阴；（６）线缆接头处理等．</w:t>
            </w:r>
          </w:p>
          <w:p>
            <w:pPr>
              <w:pStyle w:val="26"/>
              <w:ind w:firstLine="0" w:firstLineChars="0"/>
              <w:rPr>
                <w:rFonts w:hAnsi="Times New Roman"/>
                <w:kern w:val="0"/>
                <w:szCs w:val="21"/>
              </w:rPr>
            </w:pPr>
            <w:r>
              <w:rPr>
                <w:rFonts w:hint="eastAsia" w:cs="宋体"/>
                <w:kern w:val="0"/>
                <w:szCs w:val="21"/>
              </w:rPr>
              <w:t>２</w:t>
            </w:r>
            <w:r>
              <w:rPr>
                <w:rFonts w:hint="eastAsia" w:hAnsi="Times New Roman"/>
                <w:kern w:val="0"/>
                <w:szCs w:val="21"/>
              </w:rPr>
              <w:t>、检查结果的安装质量栏内，按检查内容序号，合格的打＂﹀＂，基本合格的打＂Ｘ＂，</w:t>
            </w:r>
          </w:p>
          <w:p>
            <w:pPr>
              <w:pStyle w:val="26"/>
              <w:ind w:firstLine="0" w:firstLineChars="0"/>
              <w:rPr>
                <w:rFonts w:hAnsi="Times New Roman"/>
                <w:kern w:val="0"/>
                <w:szCs w:val="21"/>
              </w:rPr>
            </w:pPr>
            <w:r>
              <w:rPr>
                <w:rFonts w:hint="eastAsia" w:hAnsi="Times New Roman"/>
                <w:kern w:val="0"/>
                <w:szCs w:val="21"/>
              </w:rPr>
              <w:t>并对应的楼层（部位），图号．</w:t>
            </w:r>
          </w:p>
          <w:p>
            <w:pPr>
              <w:pStyle w:val="26"/>
              <w:ind w:firstLine="0" w:firstLineChars="0"/>
              <w:rPr>
                <w:rFonts w:hAnsi="Times New Roman"/>
                <w:kern w:val="0"/>
                <w:szCs w:val="21"/>
              </w:rPr>
            </w:pPr>
            <w:r>
              <w:rPr>
                <w:rFonts w:hint="eastAsia" w:cs="宋体"/>
                <w:kern w:val="0"/>
                <w:szCs w:val="21"/>
              </w:rPr>
              <w:t>3</w:t>
            </w:r>
            <w:r>
              <w:rPr>
                <w:rFonts w:hint="eastAsia" w:hAnsi="Times New Roman"/>
                <w:kern w:val="0"/>
                <w:szCs w:val="21"/>
              </w:rPr>
              <w:t>、综合安装质量的检查结果，在验收意见栏内填写验收意见并扼要说明情况．</w:t>
            </w:r>
          </w:p>
        </w:tc>
      </w:tr>
    </w:tbl>
    <w:p>
      <w:pPr>
        <w:tabs>
          <w:tab w:val="left" w:pos="363"/>
        </w:tabs>
        <w:spacing w:before="156" w:beforeLines="50" w:after="156" w:afterLines="50"/>
        <w:jc w:val="center"/>
        <w:rPr>
          <w:rFonts w:ascii="黑体" w:eastAsia="黑体"/>
          <w:szCs w:val="21"/>
        </w:rPr>
      </w:pPr>
      <w:r>
        <w:rPr>
          <w:rFonts w:hint="eastAsia" w:ascii="黑体" w:eastAsia="黑体"/>
          <w:szCs w:val="21"/>
        </w:rPr>
        <w:t>　</w:t>
      </w:r>
      <w:bookmarkStart w:id="818" w:name="_Hlk517963980"/>
    </w:p>
    <w:p>
      <w:pPr>
        <w:tabs>
          <w:tab w:val="left" w:pos="363"/>
        </w:tabs>
        <w:spacing w:before="156" w:beforeLines="50" w:after="156" w:afterLines="50"/>
        <w:jc w:val="center"/>
        <w:rPr>
          <w:rFonts w:ascii="黑体" w:eastAsia="黑体"/>
          <w:szCs w:val="21"/>
        </w:rPr>
      </w:pPr>
    </w:p>
    <w:p>
      <w:pPr>
        <w:tabs>
          <w:tab w:val="left" w:pos="363"/>
        </w:tabs>
        <w:spacing w:before="156" w:beforeLines="50" w:after="156" w:afterLines="50"/>
        <w:jc w:val="center"/>
        <w:rPr>
          <w:rFonts w:ascii="黑体" w:eastAsia="黑体"/>
          <w:szCs w:val="21"/>
        </w:rPr>
      </w:pPr>
    </w:p>
    <w:p>
      <w:pPr>
        <w:tabs>
          <w:tab w:val="left" w:pos="363"/>
        </w:tabs>
        <w:spacing w:before="156" w:beforeLines="50" w:after="156" w:afterLines="50"/>
        <w:jc w:val="center"/>
        <w:rPr>
          <w:rFonts w:ascii="黑体" w:eastAsia="黑体"/>
          <w:szCs w:val="21"/>
        </w:rPr>
      </w:pPr>
      <w:r>
        <w:rPr>
          <w:rFonts w:hint="eastAsia" w:ascii="黑体" w:eastAsia="黑体"/>
          <w:szCs w:val="21"/>
        </w:rPr>
        <w:t>表C</w:t>
      </w:r>
      <w:r>
        <w:rPr>
          <w:rFonts w:ascii="黑体" w:eastAsia="黑体"/>
          <w:szCs w:val="21"/>
        </w:rPr>
        <w:t>.</w:t>
      </w:r>
      <w:bookmarkEnd w:id="818"/>
      <w:r>
        <w:rPr>
          <w:rFonts w:hint="eastAsia" w:ascii="黑体" w:eastAsia="黑体"/>
          <w:szCs w:val="21"/>
        </w:rPr>
        <w:t>2</w:t>
      </w:r>
      <w:r>
        <w:rPr>
          <w:rFonts w:ascii="黑体" w:eastAsia="黑体"/>
          <w:szCs w:val="21"/>
        </w:rPr>
        <w:t xml:space="preserve"> </w:t>
      </w:r>
      <w:r>
        <w:rPr>
          <w:rFonts w:hint="eastAsia" w:ascii="黑体" w:eastAsia="黑体"/>
          <w:szCs w:val="21"/>
        </w:rPr>
        <w:t>更改审核单</w:t>
      </w:r>
    </w:p>
    <w:tbl>
      <w:tblPr>
        <w:tblStyle w:val="37"/>
        <w:tblW w:w="0" w:type="auto"/>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
      <w:tblGrid>
        <w:gridCol w:w="2164"/>
        <w:gridCol w:w="2164"/>
        <w:gridCol w:w="1621"/>
        <w:gridCol w:w="1147"/>
        <w:gridCol w:w="1982"/>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11" w:hRule="atLeast"/>
          <w:jc w:val="center"/>
        </w:trPr>
        <w:tc>
          <w:tcPr>
            <w:tcW w:w="9078" w:type="dxa"/>
            <w:gridSpan w:val="5"/>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cs="宋体"/>
                <w:kern w:val="0"/>
                <w:szCs w:val="21"/>
                <w:shd w:val="clear" w:color="auto" w:fill="FFFFFF"/>
              </w:rPr>
              <w:t>系统（工程）名称：</w:t>
            </w:r>
            <w:r>
              <w:rPr>
                <w:rFonts w:hint="eastAsia" w:ascii="微软雅黑" w:hAnsi="微软雅黑" w:eastAsia="微软雅黑" w:cs="微软雅黑"/>
                <w:kern w:val="0"/>
                <w:szCs w:val="21"/>
                <w:u w:val="single"/>
                <w:shd w:val="clear" w:color="auto" w:fill="FFFFFF"/>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11" w:hRule="atLeast"/>
          <w:jc w:val="center"/>
        </w:trPr>
        <w:tc>
          <w:tcPr>
            <w:tcW w:w="2164"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更改情况</w:t>
            </w:r>
          </w:p>
        </w:tc>
        <w:tc>
          <w:tcPr>
            <w:tcW w:w="2164" w:type="dxa"/>
            <w:tcBorders>
              <w:top w:val="single" w:color="auto" w:sz="4" w:space="0"/>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更改原因</w:t>
            </w:r>
          </w:p>
        </w:tc>
        <w:tc>
          <w:tcPr>
            <w:tcW w:w="2768" w:type="dxa"/>
            <w:gridSpan w:val="2"/>
            <w:tcBorders>
              <w:top w:val="single" w:color="auto" w:sz="4" w:space="0"/>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原为</w:t>
            </w:r>
          </w:p>
        </w:tc>
        <w:tc>
          <w:tcPr>
            <w:tcW w:w="1982" w:type="dxa"/>
            <w:tcBorders>
              <w:top w:val="single" w:color="auto" w:sz="4" w:space="0"/>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更改为</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24" w:hRule="atLeast"/>
          <w:jc w:val="center"/>
        </w:trPr>
        <w:tc>
          <w:tcPr>
            <w:tcW w:w="2164" w:type="dxa"/>
            <w:tcBorders>
              <w:top w:val="nil"/>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rPr>
              <w:t> </w:t>
            </w:r>
          </w:p>
        </w:tc>
        <w:tc>
          <w:tcPr>
            <w:tcW w:w="2164" w:type="dxa"/>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rPr>
              <w:t> </w:t>
            </w:r>
          </w:p>
        </w:tc>
        <w:tc>
          <w:tcPr>
            <w:tcW w:w="2768" w:type="dxa"/>
            <w:gridSpan w:val="2"/>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rPr>
              <w:t> </w:t>
            </w:r>
          </w:p>
        </w:tc>
        <w:tc>
          <w:tcPr>
            <w:tcW w:w="1982" w:type="dxa"/>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41" w:hRule="atLeast"/>
          <w:jc w:val="center"/>
        </w:trPr>
        <w:tc>
          <w:tcPr>
            <w:tcW w:w="2164" w:type="dxa"/>
            <w:tcBorders>
              <w:top w:val="nil"/>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rPr>
              <w:t> </w:t>
            </w:r>
          </w:p>
        </w:tc>
        <w:tc>
          <w:tcPr>
            <w:tcW w:w="2164" w:type="dxa"/>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rPr>
              <w:t> </w:t>
            </w:r>
          </w:p>
        </w:tc>
        <w:tc>
          <w:tcPr>
            <w:tcW w:w="2768" w:type="dxa"/>
            <w:gridSpan w:val="2"/>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rPr>
              <w:t> </w:t>
            </w:r>
          </w:p>
        </w:tc>
        <w:tc>
          <w:tcPr>
            <w:tcW w:w="1982" w:type="dxa"/>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768" w:hRule="atLeast"/>
          <w:jc w:val="center"/>
        </w:trPr>
        <w:tc>
          <w:tcPr>
            <w:tcW w:w="4328" w:type="dxa"/>
            <w:gridSpan w:val="2"/>
            <w:tcBorders>
              <w:top w:val="nil"/>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申请：</w:t>
            </w:r>
            <w:r>
              <w:rPr>
                <w:rFonts w:hAnsi="Times New Roman"/>
                <w:kern w:val="0"/>
                <w:szCs w:val="21"/>
              </w:rPr>
              <w:t>        </w:t>
            </w:r>
            <w:r>
              <w:rPr>
                <w:rFonts w:hint="eastAsia" w:hAnsi="Times New Roman"/>
                <w:kern w:val="0"/>
                <w:szCs w:val="21"/>
              </w:rPr>
              <w:t>日期：</w:t>
            </w:r>
          </w:p>
        </w:tc>
        <w:tc>
          <w:tcPr>
            <w:tcW w:w="1621" w:type="dxa"/>
            <w:tcBorders>
              <w:top w:val="single" w:color="D4D0C8" w:sz="2" w:space="0"/>
              <w:left w:val="single" w:color="D4D0C8" w:sz="2"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分</w:t>
            </w:r>
            <w:r>
              <w:rPr>
                <w:rFonts w:hAnsi="Times New Roman"/>
                <w:kern w:val="0"/>
                <w:szCs w:val="21"/>
              </w:rPr>
              <w:t> </w:t>
            </w:r>
            <w:r>
              <w:rPr>
                <w:rFonts w:hint="eastAsia" w:hAnsi="Times New Roman"/>
                <w:kern w:val="0"/>
                <w:szCs w:val="21"/>
              </w:rPr>
              <w:t>发</w:t>
            </w:r>
            <w:r>
              <w:rPr>
                <w:rFonts w:hAnsi="Times New Roman"/>
                <w:kern w:val="0"/>
                <w:szCs w:val="21"/>
              </w:rPr>
              <w:t> </w:t>
            </w:r>
            <w:r>
              <w:rPr>
                <w:rFonts w:hint="eastAsia" w:hAnsi="Times New Roman"/>
                <w:kern w:val="0"/>
                <w:szCs w:val="21"/>
              </w:rPr>
              <w:t>单</w:t>
            </w:r>
            <w:r>
              <w:rPr>
                <w:rFonts w:hAnsi="Times New Roman"/>
                <w:kern w:val="0"/>
                <w:szCs w:val="21"/>
              </w:rPr>
              <w:t>  </w:t>
            </w:r>
            <w:r>
              <w:rPr>
                <w:rFonts w:hint="eastAsia" w:hAnsi="Times New Roman"/>
                <w:kern w:val="0"/>
                <w:szCs w:val="21"/>
              </w:rPr>
              <w:t>位</w:t>
            </w:r>
          </w:p>
        </w:tc>
        <w:tc>
          <w:tcPr>
            <w:tcW w:w="3129" w:type="dxa"/>
            <w:gridSpan w:val="2"/>
            <w:tcBorders>
              <w:top w:val="single" w:color="D4D0C8" w:sz="2" w:space="0"/>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20" w:hRule="atLeast"/>
          <w:jc w:val="center"/>
        </w:trPr>
        <w:tc>
          <w:tcPr>
            <w:tcW w:w="4328" w:type="dxa"/>
            <w:gridSpan w:val="2"/>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审核：</w:t>
            </w:r>
            <w:r>
              <w:rPr>
                <w:rFonts w:hAnsi="Times New Roman"/>
                <w:kern w:val="0"/>
                <w:szCs w:val="21"/>
              </w:rPr>
              <w:t>        </w:t>
            </w:r>
            <w:r>
              <w:rPr>
                <w:rFonts w:hint="eastAsia" w:hAnsi="Times New Roman"/>
                <w:kern w:val="0"/>
                <w:szCs w:val="21"/>
              </w:rPr>
              <w:t>日期：</w:t>
            </w:r>
          </w:p>
        </w:tc>
        <w:tc>
          <w:tcPr>
            <w:tcW w:w="1621" w:type="dxa"/>
            <w:tcBorders>
              <w:top w:val="single" w:color="auto" w:sz="4" w:space="0"/>
              <w:left w:val="single" w:color="D4D0C8" w:sz="2"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p>
        </w:tc>
        <w:tc>
          <w:tcPr>
            <w:tcW w:w="3129" w:type="dxa"/>
            <w:gridSpan w:val="2"/>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17" w:hRule="atLeast"/>
          <w:jc w:val="center"/>
        </w:trPr>
        <w:tc>
          <w:tcPr>
            <w:tcW w:w="4328" w:type="dxa"/>
            <w:gridSpan w:val="2"/>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批准：</w:t>
            </w:r>
            <w:r>
              <w:rPr>
                <w:rFonts w:hAnsi="Times New Roman"/>
                <w:kern w:val="0"/>
                <w:szCs w:val="21"/>
              </w:rPr>
              <w:t>        </w:t>
            </w:r>
            <w:r>
              <w:rPr>
                <w:rFonts w:hint="eastAsia" w:hAnsi="Times New Roman"/>
                <w:kern w:val="0"/>
                <w:szCs w:val="21"/>
              </w:rPr>
              <w:t>日期：</w:t>
            </w:r>
          </w:p>
        </w:tc>
        <w:tc>
          <w:tcPr>
            <w:tcW w:w="1621" w:type="dxa"/>
            <w:tcBorders>
              <w:top w:val="single" w:color="auto" w:sz="4" w:space="0"/>
              <w:left w:val="single" w:color="D4D0C8" w:sz="2"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p>
        </w:tc>
        <w:tc>
          <w:tcPr>
            <w:tcW w:w="3129" w:type="dxa"/>
            <w:gridSpan w:val="2"/>
            <w:tcBorders>
              <w:top w:val="nil"/>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30" w:hRule="atLeast"/>
          <w:jc w:val="center"/>
        </w:trPr>
        <w:tc>
          <w:tcPr>
            <w:tcW w:w="4328" w:type="dxa"/>
            <w:gridSpan w:val="2"/>
            <w:tcBorders>
              <w:top w:val="nil"/>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更改实施日期：</w:t>
            </w:r>
          </w:p>
        </w:tc>
        <w:tc>
          <w:tcPr>
            <w:tcW w:w="1621" w:type="dxa"/>
            <w:tcBorders>
              <w:top w:val="single" w:color="auto" w:sz="4" w:space="0"/>
              <w:left w:val="single" w:color="D4D0C8" w:sz="2"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p>
        </w:tc>
        <w:tc>
          <w:tcPr>
            <w:tcW w:w="3129" w:type="dxa"/>
            <w:gridSpan w:val="2"/>
            <w:tcBorders>
              <w:top w:val="nil"/>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jc w:val="center"/>
        </w:trPr>
        <w:tc>
          <w:tcPr>
            <w:tcW w:w="2164" w:type="dxa"/>
            <w:tcBorders>
              <w:top w:val="nil"/>
              <w:left w:val="nil"/>
              <w:bottom w:val="nil"/>
              <w:right w:val="nil"/>
            </w:tcBorders>
            <w:vAlign w:val="center"/>
          </w:tcPr>
          <w:p>
            <w:pPr>
              <w:pStyle w:val="26"/>
              <w:ind w:firstLine="0" w:firstLineChars="0"/>
              <w:rPr>
                <w:rFonts w:hAnsi="Times New Roman"/>
                <w:kern w:val="0"/>
                <w:szCs w:val="21"/>
              </w:rPr>
            </w:pPr>
          </w:p>
        </w:tc>
        <w:tc>
          <w:tcPr>
            <w:tcW w:w="2164" w:type="dxa"/>
            <w:tcBorders>
              <w:top w:val="nil"/>
              <w:left w:val="nil"/>
              <w:bottom w:val="nil"/>
              <w:right w:val="nil"/>
            </w:tcBorders>
            <w:vAlign w:val="center"/>
          </w:tcPr>
          <w:p>
            <w:pPr>
              <w:pStyle w:val="26"/>
              <w:ind w:firstLine="0" w:firstLineChars="0"/>
              <w:rPr>
                <w:rFonts w:hAnsi="Times New Roman"/>
                <w:kern w:val="0"/>
                <w:szCs w:val="21"/>
              </w:rPr>
            </w:pPr>
          </w:p>
        </w:tc>
        <w:tc>
          <w:tcPr>
            <w:tcW w:w="1621" w:type="dxa"/>
            <w:tcBorders>
              <w:top w:val="single" w:color="auto" w:sz="4" w:space="0"/>
              <w:left w:val="nil"/>
              <w:bottom w:val="nil"/>
              <w:right w:val="nil"/>
            </w:tcBorders>
            <w:vAlign w:val="center"/>
          </w:tcPr>
          <w:p>
            <w:pPr>
              <w:pStyle w:val="26"/>
              <w:ind w:firstLine="0" w:firstLineChars="0"/>
              <w:rPr>
                <w:rFonts w:hAnsi="Times New Roman"/>
                <w:kern w:val="0"/>
                <w:szCs w:val="21"/>
              </w:rPr>
            </w:pPr>
          </w:p>
        </w:tc>
        <w:tc>
          <w:tcPr>
            <w:tcW w:w="1147" w:type="dxa"/>
            <w:tcBorders>
              <w:top w:val="nil"/>
              <w:left w:val="nil"/>
              <w:bottom w:val="nil"/>
              <w:right w:val="nil"/>
            </w:tcBorders>
            <w:vAlign w:val="center"/>
          </w:tcPr>
          <w:p>
            <w:pPr>
              <w:pStyle w:val="26"/>
              <w:ind w:firstLine="0" w:firstLineChars="0"/>
              <w:rPr>
                <w:rFonts w:hAnsi="Times New Roman"/>
                <w:kern w:val="0"/>
                <w:szCs w:val="21"/>
              </w:rPr>
            </w:pPr>
          </w:p>
        </w:tc>
        <w:tc>
          <w:tcPr>
            <w:tcW w:w="1982" w:type="dxa"/>
            <w:tcBorders>
              <w:top w:val="nil"/>
              <w:left w:val="nil"/>
              <w:bottom w:val="nil"/>
              <w:right w:val="nil"/>
            </w:tcBorders>
            <w:vAlign w:val="center"/>
          </w:tcPr>
          <w:p>
            <w:pPr>
              <w:pStyle w:val="26"/>
              <w:ind w:firstLine="0" w:firstLineChars="0"/>
              <w:rPr>
                <w:rFonts w:hAnsi="Times New Roman"/>
                <w:kern w:val="0"/>
                <w:szCs w:val="21"/>
              </w:rPr>
            </w:pPr>
          </w:p>
        </w:tc>
      </w:tr>
    </w:tbl>
    <w:p>
      <w:pPr>
        <w:pStyle w:val="26"/>
        <w:rPr>
          <w:szCs w:val="21"/>
        </w:rPr>
        <w:sectPr>
          <w:pgSz w:w="11906" w:h="16838"/>
          <w:pgMar w:top="567" w:right="1134" w:bottom="1134" w:left="1417" w:header="1418" w:footer="1134" w:gutter="0"/>
          <w:cols w:space="720" w:num="1"/>
          <w:formProt w:val="0"/>
          <w:docGrid w:type="lines" w:linePitch="312" w:charSpace="0"/>
        </w:sectPr>
      </w:pPr>
    </w:p>
    <w:p>
      <w:pPr>
        <w:tabs>
          <w:tab w:val="left" w:pos="363"/>
        </w:tabs>
        <w:jc w:val="center"/>
        <w:rPr>
          <w:rFonts w:ascii="宋体" w:hAnsi="宋体" w:eastAsia="黑体" w:cs="宋体"/>
          <w:kern w:val="0"/>
          <w:szCs w:val="21"/>
          <w:shd w:val="clear" w:color="auto" w:fill="FFFFFF"/>
        </w:rPr>
      </w:pPr>
      <w:r>
        <w:rPr>
          <w:rFonts w:hint="eastAsia" w:ascii="黑体" w:eastAsia="黑体"/>
          <w:szCs w:val="21"/>
        </w:rPr>
        <w:t>表C</w:t>
      </w:r>
      <w:r>
        <w:rPr>
          <w:rFonts w:ascii="黑体" w:eastAsia="黑体"/>
          <w:szCs w:val="21"/>
        </w:rPr>
        <w:t>.</w:t>
      </w:r>
      <w:r>
        <w:rPr>
          <w:rFonts w:hint="eastAsia" w:ascii="黑体" w:eastAsia="黑体"/>
          <w:szCs w:val="21"/>
        </w:rPr>
        <w:t>3</w:t>
      </w:r>
      <w:r>
        <w:rPr>
          <w:rFonts w:ascii="宋体" w:hAnsi="宋体" w:eastAsia="黑体" w:cs="宋体"/>
          <w:kern w:val="0"/>
          <w:szCs w:val="21"/>
          <w:shd w:val="clear" w:color="auto" w:fill="FFFFFF"/>
        </w:rPr>
        <w:t xml:space="preserve"> </w:t>
      </w:r>
      <w:r>
        <w:rPr>
          <w:rFonts w:hint="eastAsia" w:ascii="宋体" w:hAnsi="宋体" w:eastAsia="黑体" w:cs="宋体"/>
          <w:kern w:val="0"/>
          <w:szCs w:val="21"/>
          <w:shd w:val="clear" w:color="auto" w:fill="FFFFFF"/>
        </w:rPr>
        <w:t>设备安装质量检查表</w:t>
      </w:r>
    </w:p>
    <w:tbl>
      <w:tblPr>
        <w:tblStyle w:val="37"/>
        <w:tblpPr w:leftFromText="180" w:rightFromText="180" w:vertAnchor="text" w:horzAnchor="page" w:tblpX="1363" w:tblpY="380"/>
        <w:tblOverlap w:val="never"/>
        <w:tblW w:w="0" w:type="auto"/>
        <w:tblInd w:w="0"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
      <w:tblGrid>
        <w:gridCol w:w="476"/>
        <w:gridCol w:w="2226"/>
        <w:gridCol w:w="2562"/>
        <w:gridCol w:w="2373"/>
        <w:gridCol w:w="1188"/>
        <w:gridCol w:w="569"/>
        <w:gridCol w:w="1709"/>
        <w:gridCol w:w="469"/>
        <w:gridCol w:w="1382"/>
        <w:gridCol w:w="526"/>
        <w:gridCol w:w="1540"/>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58" w:hRule="atLeast"/>
        </w:trPr>
        <w:tc>
          <w:tcPr>
            <w:tcW w:w="15020" w:type="dxa"/>
            <w:gridSpan w:val="11"/>
            <w:tcBorders>
              <w:top w:val="single" w:color="auto" w:sz="4" w:space="0"/>
              <w:left w:val="single" w:color="auto" w:sz="4" w:space="0"/>
              <w:bottom w:val="single" w:color="auto" w:sz="4" w:space="0"/>
              <w:right w:val="single" w:color="auto" w:sz="4" w:space="0"/>
            </w:tcBorders>
            <w:tcMar>
              <w:left w:w="108" w:type="dxa"/>
              <w:right w:w="108" w:type="dxa"/>
            </w:tcMar>
          </w:tcPr>
          <w:p>
            <w:pPr>
              <w:widowControl/>
              <w:jc w:val="center"/>
              <w:rPr>
                <w:rFonts w:ascii="宋体" w:hAnsi="宋体" w:cs="宋体"/>
                <w:kern w:val="0"/>
                <w:sz w:val="18"/>
                <w:szCs w:val="18"/>
              </w:rPr>
            </w:pPr>
            <w:r>
              <w:rPr>
                <w:rFonts w:hint="eastAsia" w:ascii="宋体" w:hAnsi="宋体" w:cs="宋体"/>
                <w:kern w:val="0"/>
                <w:sz w:val="18"/>
                <w:szCs w:val="18"/>
              </w:rPr>
              <w:t>系统（工程）名称 </w:t>
            </w:r>
            <w:r>
              <w:rPr>
                <w:rFonts w:hint="eastAsia" w:ascii="宋体" w:hAnsi="宋体" w:cs="宋体"/>
                <w:kern w:val="0"/>
                <w:sz w:val="18"/>
                <w:szCs w:val="18"/>
                <w:u w:val="single"/>
              </w:rPr>
              <w:t>                      </w:t>
            </w:r>
            <w:r>
              <w:rPr>
                <w:rFonts w:hint="eastAsia" w:ascii="宋体" w:hAnsi="宋体" w:cs="宋体"/>
                <w:kern w:val="0"/>
                <w:sz w:val="18"/>
                <w:szCs w:val="18"/>
              </w:rPr>
              <w:t>              设计、安装单位</w:t>
            </w:r>
            <w:r>
              <w:rPr>
                <w:rFonts w:hint="eastAsia" w:ascii="宋体" w:hAnsi="宋体" w:cs="宋体"/>
                <w:kern w:val="0"/>
                <w:sz w:val="18"/>
                <w:szCs w:val="18"/>
                <w:u w:val="single"/>
              </w:rPr>
              <w:t>                          </w:t>
            </w:r>
            <w:r>
              <w:rPr>
                <w:rFonts w:hint="eastAsia" w:ascii="宋体" w:hAnsi="宋体" w:cs="宋体"/>
                <w:kern w:val="0"/>
                <w:sz w:val="18"/>
                <w:szCs w:val="18"/>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58" w:hRule="atLeast"/>
        </w:trPr>
        <w:tc>
          <w:tcPr>
            <w:tcW w:w="476" w:type="dxa"/>
            <w:tcBorders>
              <w:top w:val="single" w:color="auto" w:sz="4" w:space="0"/>
              <w:left w:val="single" w:color="auto" w:sz="4" w:space="0"/>
              <w:bottom w:val="single" w:color="auto" w:sz="4" w:space="0"/>
              <w:right w:val="single" w:color="auto" w:sz="4" w:space="0"/>
            </w:tcBorders>
            <w:tcMar>
              <w:left w:w="108" w:type="dxa"/>
              <w:right w:w="108" w:type="dxa"/>
            </w:tcMar>
          </w:tcPr>
          <w:p>
            <w:pPr>
              <w:widowControl/>
              <w:jc w:val="left"/>
              <w:rPr>
                <w:sz w:val="18"/>
                <w:szCs w:val="18"/>
              </w:rPr>
            </w:pPr>
            <w:r>
              <w:rPr>
                <w:kern w:val="0"/>
                <w:sz w:val="18"/>
                <w:szCs w:val="18"/>
              </w:rPr>
              <w:t> </w:t>
            </w:r>
          </w:p>
        </w:tc>
        <w:tc>
          <w:tcPr>
            <w:tcW w:w="2226" w:type="dxa"/>
            <w:tcBorders>
              <w:top w:val="single" w:color="auto" w:sz="4" w:space="0"/>
              <w:left w:val="nil"/>
              <w:bottom w:val="single" w:color="auto" w:sz="4" w:space="0"/>
              <w:right w:val="single" w:color="auto" w:sz="4" w:space="0"/>
            </w:tcBorders>
            <w:tcMar>
              <w:left w:w="108" w:type="dxa"/>
              <w:right w:w="108" w:type="dxa"/>
            </w:tcMar>
          </w:tcPr>
          <w:p>
            <w:pPr>
              <w:widowControl/>
              <w:jc w:val="center"/>
              <w:rPr>
                <w:sz w:val="18"/>
                <w:szCs w:val="18"/>
              </w:rPr>
            </w:pPr>
            <w:r>
              <w:rPr>
                <w:rFonts w:hint="eastAsia" w:ascii="宋体" w:hAnsi="宋体" w:cs="宋体"/>
                <w:kern w:val="0"/>
                <w:sz w:val="18"/>
                <w:szCs w:val="18"/>
              </w:rPr>
              <w:t>项  目</w:t>
            </w:r>
          </w:p>
        </w:tc>
        <w:tc>
          <w:tcPr>
            <w:tcW w:w="2562" w:type="dxa"/>
            <w:tcBorders>
              <w:top w:val="single" w:color="auto" w:sz="4" w:space="0"/>
              <w:left w:val="nil"/>
              <w:bottom w:val="single" w:color="auto" w:sz="4" w:space="0"/>
              <w:right w:val="single" w:color="auto" w:sz="4" w:space="0"/>
            </w:tcBorders>
            <w:tcMar>
              <w:left w:w="108" w:type="dxa"/>
              <w:right w:w="108" w:type="dxa"/>
            </w:tcMar>
          </w:tcPr>
          <w:p>
            <w:pPr>
              <w:widowControl/>
              <w:jc w:val="center"/>
              <w:rPr>
                <w:sz w:val="18"/>
                <w:szCs w:val="18"/>
              </w:rPr>
            </w:pPr>
            <w:r>
              <w:rPr>
                <w:rFonts w:hint="eastAsia" w:ascii="宋体" w:hAnsi="宋体" w:cs="宋体"/>
                <w:kern w:val="0"/>
                <w:sz w:val="18"/>
                <w:szCs w:val="18"/>
              </w:rPr>
              <w:t>要   求</w:t>
            </w:r>
          </w:p>
        </w:tc>
        <w:tc>
          <w:tcPr>
            <w:tcW w:w="2373" w:type="dxa"/>
            <w:tcBorders>
              <w:top w:val="single" w:color="auto" w:sz="4" w:space="0"/>
              <w:left w:val="nil"/>
              <w:bottom w:val="single" w:color="auto" w:sz="4" w:space="0"/>
              <w:right w:val="single" w:color="auto" w:sz="4" w:space="0"/>
            </w:tcBorders>
            <w:tcMar>
              <w:left w:w="108" w:type="dxa"/>
              <w:right w:w="108" w:type="dxa"/>
            </w:tcMar>
          </w:tcPr>
          <w:p>
            <w:pPr>
              <w:widowControl/>
              <w:jc w:val="center"/>
              <w:rPr>
                <w:sz w:val="18"/>
                <w:szCs w:val="18"/>
              </w:rPr>
            </w:pPr>
            <w:r>
              <w:rPr>
                <w:rFonts w:hint="eastAsia" w:ascii="宋体" w:hAnsi="宋体" w:cs="宋体"/>
                <w:kern w:val="0"/>
                <w:sz w:val="18"/>
                <w:szCs w:val="18"/>
              </w:rPr>
              <w:t>方   法</w:t>
            </w:r>
          </w:p>
        </w:tc>
        <w:tc>
          <w:tcPr>
            <w:tcW w:w="5843" w:type="dxa"/>
            <w:gridSpan w:val="6"/>
            <w:tcBorders>
              <w:top w:val="single" w:color="auto" w:sz="4" w:space="0"/>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检 结 结 果</w:t>
            </w:r>
          </w:p>
        </w:tc>
        <w:tc>
          <w:tcPr>
            <w:tcW w:w="1540" w:type="dxa"/>
            <w:tcBorders>
              <w:top w:val="single" w:color="auto" w:sz="4" w:space="0"/>
              <w:left w:val="nil"/>
              <w:bottom w:val="single" w:color="auto" w:sz="4" w:space="0"/>
              <w:right w:val="single" w:color="auto" w:sz="4" w:space="0"/>
            </w:tcBorders>
            <w:tcMar>
              <w:left w:w="108" w:type="dxa"/>
              <w:right w:w="108" w:type="dxa"/>
            </w:tcMar>
          </w:tcPr>
          <w:p>
            <w:pPr>
              <w:widowControl/>
              <w:jc w:val="center"/>
              <w:rPr>
                <w:sz w:val="18"/>
                <w:szCs w:val="18"/>
              </w:rPr>
            </w:pPr>
            <w:r>
              <w:rPr>
                <w:rFonts w:hint="eastAsia" w:ascii="宋体" w:hAnsi="宋体" w:cs="宋体"/>
                <w:kern w:val="0"/>
                <w:sz w:val="18"/>
                <w:szCs w:val="18"/>
              </w:rPr>
              <w:t>抽查百分数</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58" w:hRule="atLeast"/>
        </w:trPr>
        <w:tc>
          <w:tcPr>
            <w:tcW w:w="476" w:type="dxa"/>
            <w:vMerge w:val="restart"/>
            <w:tcBorders>
              <w:top w:val="nil"/>
              <w:left w:val="single" w:color="auto" w:sz="4" w:space="0"/>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杆体</w:t>
            </w:r>
          </w:p>
        </w:tc>
        <w:tc>
          <w:tcPr>
            <w:tcW w:w="2226"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1安装位置（方向）</w:t>
            </w:r>
          </w:p>
        </w:tc>
        <w:tc>
          <w:tcPr>
            <w:tcW w:w="2562"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合理，有效</w:t>
            </w:r>
          </w:p>
        </w:tc>
        <w:tc>
          <w:tcPr>
            <w:tcW w:w="2373"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现场抽查观察</w:t>
            </w:r>
          </w:p>
        </w:tc>
        <w:tc>
          <w:tcPr>
            <w:tcW w:w="1188"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正确</w:t>
            </w:r>
          </w:p>
        </w:tc>
        <w:tc>
          <w:tcPr>
            <w:tcW w:w="56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70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基本正确</w:t>
            </w:r>
          </w:p>
        </w:tc>
        <w:tc>
          <w:tcPr>
            <w:tcW w:w="46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382"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不正确</w:t>
            </w:r>
          </w:p>
        </w:tc>
        <w:tc>
          <w:tcPr>
            <w:tcW w:w="526"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540" w:type="dxa"/>
            <w:vMerge w:val="restart"/>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５％～１０％</w:t>
            </w:r>
          </w:p>
          <w:p>
            <w:pPr>
              <w:widowControl/>
              <w:jc w:val="center"/>
              <w:rPr>
                <w:sz w:val="18"/>
                <w:szCs w:val="18"/>
              </w:rPr>
            </w:pPr>
            <w:r>
              <w:rPr>
                <w:rFonts w:hint="eastAsia" w:ascii="宋体" w:hAnsi="宋体" w:cs="宋体"/>
                <w:kern w:val="0"/>
                <w:sz w:val="18"/>
                <w:szCs w:val="18"/>
              </w:rPr>
              <w:t>（10台以下至少验收3台）</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58" w:hRule="atLeast"/>
        </w:trPr>
        <w:tc>
          <w:tcPr>
            <w:tcW w:w="476" w:type="dxa"/>
            <w:vMerge w:val="continue"/>
            <w:tcBorders>
              <w:top w:val="nil"/>
              <w:left w:val="single" w:color="auto" w:sz="4" w:space="0"/>
              <w:bottom w:val="single" w:color="auto" w:sz="4" w:space="0"/>
              <w:right w:val="single" w:color="auto" w:sz="4" w:space="0"/>
            </w:tcBorders>
            <w:tcMar>
              <w:left w:w="108" w:type="dxa"/>
              <w:right w:w="108" w:type="dxa"/>
            </w:tcMar>
            <w:vAlign w:val="center"/>
          </w:tcPr>
          <w:p>
            <w:pPr>
              <w:rPr>
                <w:rFonts w:ascii="宋体"/>
                <w:sz w:val="18"/>
                <w:szCs w:val="18"/>
              </w:rPr>
            </w:pPr>
          </w:p>
        </w:tc>
        <w:tc>
          <w:tcPr>
            <w:tcW w:w="2226"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2安装质量（工艺）</w:t>
            </w:r>
          </w:p>
        </w:tc>
        <w:tc>
          <w:tcPr>
            <w:tcW w:w="2562"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牢固、整洁、美观、规范</w:t>
            </w:r>
          </w:p>
        </w:tc>
        <w:tc>
          <w:tcPr>
            <w:tcW w:w="2373"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现场抽查观察</w:t>
            </w:r>
          </w:p>
        </w:tc>
        <w:tc>
          <w:tcPr>
            <w:tcW w:w="1188"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良好</w:t>
            </w:r>
          </w:p>
        </w:tc>
        <w:tc>
          <w:tcPr>
            <w:tcW w:w="56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70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基本良好</w:t>
            </w:r>
          </w:p>
        </w:tc>
        <w:tc>
          <w:tcPr>
            <w:tcW w:w="46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382"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不好</w:t>
            </w:r>
          </w:p>
        </w:tc>
        <w:tc>
          <w:tcPr>
            <w:tcW w:w="526"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540" w:type="dxa"/>
            <w:vMerge w:val="continue"/>
            <w:tcBorders>
              <w:top w:val="nil"/>
              <w:left w:val="nil"/>
              <w:bottom w:val="single" w:color="auto" w:sz="4" w:space="0"/>
              <w:right w:val="single" w:color="auto" w:sz="4" w:space="0"/>
            </w:tcBorders>
            <w:tcMar>
              <w:left w:w="108" w:type="dxa"/>
              <w:right w:w="108" w:type="dxa"/>
            </w:tcMar>
            <w:vAlign w:val="center"/>
          </w:tcPr>
          <w:p>
            <w:pPr>
              <w:rPr>
                <w:rFonts w:ascii="宋体"/>
                <w:sz w:val="18"/>
                <w:szCs w:val="1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1002" w:hRule="atLeast"/>
        </w:trPr>
        <w:tc>
          <w:tcPr>
            <w:tcW w:w="476" w:type="dxa"/>
            <w:vMerge w:val="continue"/>
            <w:tcBorders>
              <w:top w:val="nil"/>
              <w:left w:val="single" w:color="auto" w:sz="4" w:space="0"/>
              <w:bottom w:val="single" w:color="auto" w:sz="4" w:space="0"/>
              <w:right w:val="single" w:color="auto" w:sz="4" w:space="0"/>
            </w:tcBorders>
            <w:tcMar>
              <w:left w:w="108" w:type="dxa"/>
              <w:right w:w="108" w:type="dxa"/>
            </w:tcMar>
            <w:vAlign w:val="center"/>
          </w:tcPr>
          <w:p>
            <w:pPr>
              <w:rPr>
                <w:rFonts w:ascii="宋体"/>
                <w:sz w:val="18"/>
                <w:szCs w:val="18"/>
              </w:rPr>
            </w:pPr>
          </w:p>
        </w:tc>
        <w:tc>
          <w:tcPr>
            <w:tcW w:w="2226"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3线缆连接</w:t>
            </w:r>
          </w:p>
        </w:tc>
        <w:tc>
          <w:tcPr>
            <w:tcW w:w="2562"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视频电缆一线到位，接插件可靠，电源线与信号线、控制线分开，走向顺直，无扭绞</w:t>
            </w:r>
          </w:p>
        </w:tc>
        <w:tc>
          <w:tcPr>
            <w:tcW w:w="2373"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复核、抽查或对照图纸资料</w:t>
            </w:r>
          </w:p>
        </w:tc>
        <w:tc>
          <w:tcPr>
            <w:tcW w:w="1188"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符合要求</w:t>
            </w:r>
          </w:p>
        </w:tc>
        <w:tc>
          <w:tcPr>
            <w:tcW w:w="56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70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基本符合要求</w:t>
            </w:r>
          </w:p>
        </w:tc>
        <w:tc>
          <w:tcPr>
            <w:tcW w:w="46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382"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不符合要求</w:t>
            </w:r>
          </w:p>
        </w:tc>
        <w:tc>
          <w:tcPr>
            <w:tcW w:w="526"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540" w:type="dxa"/>
            <w:vMerge w:val="continue"/>
            <w:tcBorders>
              <w:top w:val="nil"/>
              <w:left w:val="nil"/>
              <w:bottom w:val="single" w:color="auto" w:sz="4" w:space="0"/>
              <w:right w:val="single" w:color="auto" w:sz="4" w:space="0"/>
            </w:tcBorders>
            <w:tcMar>
              <w:left w:w="108" w:type="dxa"/>
              <w:right w:w="108" w:type="dxa"/>
            </w:tcMar>
            <w:vAlign w:val="center"/>
          </w:tcPr>
          <w:p>
            <w:pPr>
              <w:rPr>
                <w:rFonts w:ascii="宋体"/>
                <w:sz w:val="18"/>
                <w:szCs w:val="1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58" w:hRule="atLeast"/>
        </w:trPr>
        <w:tc>
          <w:tcPr>
            <w:tcW w:w="476" w:type="dxa"/>
            <w:vMerge w:val="continue"/>
            <w:tcBorders>
              <w:top w:val="nil"/>
              <w:left w:val="single" w:color="auto" w:sz="4" w:space="0"/>
              <w:bottom w:val="single" w:color="auto" w:sz="4" w:space="0"/>
              <w:right w:val="single" w:color="auto" w:sz="4" w:space="0"/>
            </w:tcBorders>
            <w:tcMar>
              <w:left w:w="108" w:type="dxa"/>
              <w:right w:w="108" w:type="dxa"/>
            </w:tcMar>
            <w:vAlign w:val="center"/>
          </w:tcPr>
          <w:p>
            <w:pPr>
              <w:rPr>
                <w:rFonts w:ascii="宋体"/>
                <w:sz w:val="18"/>
                <w:szCs w:val="18"/>
              </w:rPr>
            </w:pPr>
          </w:p>
        </w:tc>
        <w:tc>
          <w:tcPr>
            <w:tcW w:w="2226"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4通电</w:t>
            </w:r>
          </w:p>
        </w:tc>
        <w:tc>
          <w:tcPr>
            <w:tcW w:w="2562"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工作正常</w:t>
            </w:r>
          </w:p>
        </w:tc>
        <w:tc>
          <w:tcPr>
            <w:tcW w:w="2373"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现场通电检查</w:t>
            </w:r>
          </w:p>
        </w:tc>
        <w:tc>
          <w:tcPr>
            <w:tcW w:w="1188"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正常</w:t>
            </w:r>
          </w:p>
        </w:tc>
        <w:tc>
          <w:tcPr>
            <w:tcW w:w="56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70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基本正常</w:t>
            </w:r>
          </w:p>
        </w:tc>
        <w:tc>
          <w:tcPr>
            <w:tcW w:w="46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382"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不正常</w:t>
            </w:r>
          </w:p>
        </w:tc>
        <w:tc>
          <w:tcPr>
            <w:tcW w:w="526"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540" w:type="dxa"/>
            <w:tcBorders>
              <w:top w:val="nil"/>
              <w:left w:val="nil"/>
              <w:bottom w:val="single" w:color="auto" w:sz="4" w:space="0"/>
              <w:right w:val="single" w:color="auto" w:sz="4" w:space="0"/>
            </w:tcBorders>
            <w:tcMar>
              <w:left w:w="108" w:type="dxa"/>
              <w:right w:w="108" w:type="dxa"/>
            </w:tcMar>
          </w:tcPr>
          <w:p>
            <w:pPr>
              <w:widowControl/>
              <w:jc w:val="center"/>
              <w:rPr>
                <w:sz w:val="18"/>
                <w:szCs w:val="18"/>
              </w:rPr>
            </w:pPr>
            <w:r>
              <w:rPr>
                <w:rFonts w:hint="eastAsia" w:ascii="宋体" w:hAnsi="宋体" w:cs="宋体"/>
                <w:kern w:val="0"/>
                <w:sz w:val="18"/>
                <w:szCs w:val="18"/>
              </w:rPr>
              <w:t>100%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58" w:hRule="atLeast"/>
        </w:trPr>
        <w:tc>
          <w:tcPr>
            <w:tcW w:w="476" w:type="dxa"/>
            <w:vMerge w:val="restart"/>
            <w:tcBorders>
              <w:top w:val="nil"/>
              <w:left w:val="single" w:color="auto" w:sz="4" w:space="0"/>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终</w:t>
            </w:r>
          </w:p>
          <w:p>
            <w:pPr>
              <w:widowControl/>
              <w:jc w:val="center"/>
              <w:rPr>
                <w:sz w:val="18"/>
                <w:szCs w:val="18"/>
              </w:rPr>
            </w:pPr>
            <w:r>
              <w:rPr>
                <w:rFonts w:hint="eastAsia" w:ascii="宋体" w:hAnsi="宋体" w:cs="宋体"/>
                <w:kern w:val="0"/>
                <w:sz w:val="18"/>
                <w:szCs w:val="18"/>
              </w:rPr>
              <w:t>端设</w:t>
            </w:r>
          </w:p>
          <w:p>
            <w:pPr>
              <w:widowControl/>
              <w:jc w:val="center"/>
              <w:rPr>
                <w:sz w:val="18"/>
                <w:szCs w:val="18"/>
              </w:rPr>
            </w:pPr>
            <w:r>
              <w:rPr>
                <w:rFonts w:hint="eastAsia" w:ascii="宋体" w:hAnsi="宋体" w:cs="宋体"/>
                <w:kern w:val="0"/>
                <w:sz w:val="18"/>
                <w:szCs w:val="18"/>
              </w:rPr>
              <w:t>备</w:t>
            </w:r>
          </w:p>
          <w:p>
            <w:pPr>
              <w:widowControl/>
              <w:jc w:val="center"/>
              <w:rPr>
                <w:sz w:val="18"/>
                <w:szCs w:val="18"/>
              </w:rPr>
            </w:pPr>
            <w:r>
              <w:rPr>
                <w:kern w:val="0"/>
                <w:sz w:val="18"/>
                <w:szCs w:val="18"/>
              </w:rPr>
              <w:t> </w:t>
            </w:r>
          </w:p>
        </w:tc>
        <w:tc>
          <w:tcPr>
            <w:tcW w:w="2226"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5操作台、机架</w:t>
            </w:r>
          </w:p>
        </w:tc>
        <w:tc>
          <w:tcPr>
            <w:tcW w:w="2562"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安装平稳、合理</w:t>
            </w:r>
          </w:p>
        </w:tc>
        <w:tc>
          <w:tcPr>
            <w:tcW w:w="2373"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现场观察体会</w:t>
            </w:r>
          </w:p>
        </w:tc>
        <w:tc>
          <w:tcPr>
            <w:tcW w:w="1188"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合理</w:t>
            </w:r>
          </w:p>
        </w:tc>
        <w:tc>
          <w:tcPr>
            <w:tcW w:w="56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70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基本合理</w:t>
            </w:r>
          </w:p>
        </w:tc>
        <w:tc>
          <w:tcPr>
            <w:tcW w:w="46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382"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不合理</w:t>
            </w:r>
          </w:p>
        </w:tc>
        <w:tc>
          <w:tcPr>
            <w:tcW w:w="526"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540" w:type="dxa"/>
            <w:vMerge w:val="restart"/>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100%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58" w:hRule="atLeast"/>
        </w:trPr>
        <w:tc>
          <w:tcPr>
            <w:tcW w:w="476" w:type="dxa"/>
            <w:vMerge w:val="continue"/>
            <w:tcBorders>
              <w:top w:val="nil"/>
              <w:left w:val="single" w:color="auto" w:sz="4" w:space="0"/>
              <w:bottom w:val="single" w:color="auto" w:sz="4" w:space="0"/>
              <w:right w:val="single" w:color="auto" w:sz="4" w:space="0"/>
            </w:tcBorders>
            <w:tcMar>
              <w:left w:w="108" w:type="dxa"/>
              <w:right w:w="108" w:type="dxa"/>
            </w:tcMar>
            <w:vAlign w:val="center"/>
          </w:tcPr>
          <w:p>
            <w:pPr>
              <w:rPr>
                <w:rFonts w:ascii="宋体"/>
                <w:sz w:val="18"/>
                <w:szCs w:val="18"/>
              </w:rPr>
            </w:pPr>
          </w:p>
        </w:tc>
        <w:tc>
          <w:tcPr>
            <w:tcW w:w="2226"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6控制设备安装</w:t>
            </w:r>
          </w:p>
        </w:tc>
        <w:tc>
          <w:tcPr>
            <w:tcW w:w="2562"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操作方便、安全</w:t>
            </w:r>
          </w:p>
        </w:tc>
        <w:tc>
          <w:tcPr>
            <w:tcW w:w="2373"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现场观察体会</w:t>
            </w:r>
          </w:p>
        </w:tc>
        <w:tc>
          <w:tcPr>
            <w:tcW w:w="1188"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合理</w:t>
            </w:r>
          </w:p>
        </w:tc>
        <w:tc>
          <w:tcPr>
            <w:tcW w:w="56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70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基本合理</w:t>
            </w:r>
          </w:p>
        </w:tc>
        <w:tc>
          <w:tcPr>
            <w:tcW w:w="46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382"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不合理</w:t>
            </w:r>
          </w:p>
        </w:tc>
        <w:tc>
          <w:tcPr>
            <w:tcW w:w="526"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540" w:type="dxa"/>
            <w:vMerge w:val="continue"/>
            <w:tcBorders>
              <w:top w:val="nil"/>
              <w:left w:val="nil"/>
              <w:bottom w:val="single" w:color="auto" w:sz="4" w:space="0"/>
              <w:right w:val="single" w:color="auto" w:sz="4" w:space="0"/>
            </w:tcBorders>
            <w:tcMar>
              <w:left w:w="108" w:type="dxa"/>
              <w:right w:w="108" w:type="dxa"/>
            </w:tcMar>
            <w:vAlign w:val="center"/>
          </w:tcPr>
          <w:p>
            <w:pPr>
              <w:rPr>
                <w:rFonts w:ascii="宋体"/>
                <w:sz w:val="18"/>
                <w:szCs w:val="1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58" w:hRule="atLeast"/>
        </w:trPr>
        <w:tc>
          <w:tcPr>
            <w:tcW w:w="476" w:type="dxa"/>
            <w:vMerge w:val="continue"/>
            <w:tcBorders>
              <w:top w:val="nil"/>
              <w:left w:val="single" w:color="auto" w:sz="4" w:space="0"/>
              <w:bottom w:val="single" w:color="auto" w:sz="4" w:space="0"/>
              <w:right w:val="single" w:color="auto" w:sz="4" w:space="0"/>
            </w:tcBorders>
            <w:tcMar>
              <w:left w:w="108" w:type="dxa"/>
              <w:right w:w="108" w:type="dxa"/>
            </w:tcMar>
            <w:vAlign w:val="center"/>
          </w:tcPr>
          <w:p>
            <w:pPr>
              <w:rPr>
                <w:rFonts w:ascii="宋体"/>
                <w:sz w:val="18"/>
                <w:szCs w:val="18"/>
              </w:rPr>
            </w:pPr>
          </w:p>
        </w:tc>
        <w:tc>
          <w:tcPr>
            <w:tcW w:w="2226"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7开关、按钮</w:t>
            </w:r>
          </w:p>
        </w:tc>
        <w:tc>
          <w:tcPr>
            <w:tcW w:w="2562"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灵活、安全</w:t>
            </w:r>
          </w:p>
        </w:tc>
        <w:tc>
          <w:tcPr>
            <w:tcW w:w="2373"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现场观察询问</w:t>
            </w:r>
          </w:p>
        </w:tc>
        <w:tc>
          <w:tcPr>
            <w:tcW w:w="1188"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良好</w:t>
            </w:r>
          </w:p>
        </w:tc>
        <w:tc>
          <w:tcPr>
            <w:tcW w:w="56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70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基本良好</w:t>
            </w:r>
          </w:p>
        </w:tc>
        <w:tc>
          <w:tcPr>
            <w:tcW w:w="46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382"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不好</w:t>
            </w:r>
          </w:p>
        </w:tc>
        <w:tc>
          <w:tcPr>
            <w:tcW w:w="526"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540" w:type="dxa"/>
            <w:vMerge w:val="continue"/>
            <w:tcBorders>
              <w:top w:val="nil"/>
              <w:left w:val="nil"/>
              <w:bottom w:val="single" w:color="auto" w:sz="4" w:space="0"/>
              <w:right w:val="single" w:color="auto" w:sz="4" w:space="0"/>
            </w:tcBorders>
            <w:tcMar>
              <w:left w:w="108" w:type="dxa"/>
              <w:right w:w="108" w:type="dxa"/>
            </w:tcMar>
            <w:vAlign w:val="center"/>
          </w:tcPr>
          <w:p>
            <w:pPr>
              <w:rPr>
                <w:rFonts w:ascii="宋体"/>
                <w:sz w:val="18"/>
                <w:szCs w:val="1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58" w:hRule="atLeast"/>
        </w:trPr>
        <w:tc>
          <w:tcPr>
            <w:tcW w:w="476" w:type="dxa"/>
            <w:vMerge w:val="continue"/>
            <w:tcBorders>
              <w:top w:val="nil"/>
              <w:left w:val="single" w:color="auto" w:sz="4" w:space="0"/>
              <w:bottom w:val="single" w:color="auto" w:sz="4" w:space="0"/>
              <w:right w:val="single" w:color="auto" w:sz="4" w:space="0"/>
            </w:tcBorders>
            <w:tcMar>
              <w:left w:w="108" w:type="dxa"/>
              <w:right w:w="108" w:type="dxa"/>
            </w:tcMar>
            <w:vAlign w:val="center"/>
          </w:tcPr>
          <w:p>
            <w:pPr>
              <w:rPr>
                <w:rFonts w:ascii="宋体"/>
                <w:sz w:val="18"/>
                <w:szCs w:val="18"/>
              </w:rPr>
            </w:pPr>
          </w:p>
        </w:tc>
        <w:tc>
          <w:tcPr>
            <w:tcW w:w="2226"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8机柜、设备接地</w:t>
            </w:r>
          </w:p>
        </w:tc>
        <w:tc>
          <w:tcPr>
            <w:tcW w:w="2562"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符合GB50057等电位接地要求</w:t>
            </w:r>
          </w:p>
        </w:tc>
        <w:tc>
          <w:tcPr>
            <w:tcW w:w="2373"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现场观察询问</w:t>
            </w:r>
          </w:p>
        </w:tc>
        <w:tc>
          <w:tcPr>
            <w:tcW w:w="1188"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符合</w:t>
            </w:r>
          </w:p>
        </w:tc>
        <w:tc>
          <w:tcPr>
            <w:tcW w:w="56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70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基本符合</w:t>
            </w:r>
          </w:p>
        </w:tc>
        <w:tc>
          <w:tcPr>
            <w:tcW w:w="46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382"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不符合</w:t>
            </w:r>
          </w:p>
        </w:tc>
        <w:tc>
          <w:tcPr>
            <w:tcW w:w="526"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540" w:type="dxa"/>
            <w:vMerge w:val="continue"/>
            <w:tcBorders>
              <w:top w:val="nil"/>
              <w:left w:val="nil"/>
              <w:bottom w:val="single" w:color="auto" w:sz="4" w:space="0"/>
              <w:right w:val="single" w:color="auto" w:sz="4" w:space="0"/>
            </w:tcBorders>
            <w:tcMar>
              <w:left w:w="108" w:type="dxa"/>
              <w:right w:w="108" w:type="dxa"/>
            </w:tcMar>
            <w:vAlign w:val="center"/>
          </w:tcPr>
          <w:p>
            <w:pPr>
              <w:rPr>
                <w:rFonts w:ascii="宋体"/>
                <w:sz w:val="18"/>
                <w:szCs w:val="1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58" w:hRule="atLeast"/>
        </w:trPr>
        <w:tc>
          <w:tcPr>
            <w:tcW w:w="476" w:type="dxa"/>
            <w:vMerge w:val="continue"/>
            <w:tcBorders>
              <w:top w:val="nil"/>
              <w:left w:val="single" w:color="auto" w:sz="4" w:space="0"/>
              <w:bottom w:val="single" w:color="auto" w:sz="4" w:space="0"/>
              <w:right w:val="single" w:color="auto" w:sz="4" w:space="0"/>
            </w:tcBorders>
            <w:tcMar>
              <w:left w:w="108" w:type="dxa"/>
              <w:right w:w="108" w:type="dxa"/>
            </w:tcMar>
            <w:vAlign w:val="center"/>
          </w:tcPr>
          <w:p>
            <w:pPr>
              <w:rPr>
                <w:rFonts w:ascii="宋体"/>
                <w:sz w:val="18"/>
                <w:szCs w:val="18"/>
              </w:rPr>
            </w:pPr>
          </w:p>
        </w:tc>
        <w:tc>
          <w:tcPr>
            <w:tcW w:w="2226"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9接地电阻</w:t>
            </w:r>
          </w:p>
        </w:tc>
        <w:tc>
          <w:tcPr>
            <w:tcW w:w="2562"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符合GB50198规定</w:t>
            </w:r>
          </w:p>
        </w:tc>
        <w:tc>
          <w:tcPr>
            <w:tcW w:w="2373"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对照表2并按4.6.4要求</w:t>
            </w:r>
          </w:p>
        </w:tc>
        <w:tc>
          <w:tcPr>
            <w:tcW w:w="1188"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合格</w:t>
            </w:r>
          </w:p>
        </w:tc>
        <w:tc>
          <w:tcPr>
            <w:tcW w:w="56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70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46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382"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不合格</w:t>
            </w:r>
          </w:p>
        </w:tc>
        <w:tc>
          <w:tcPr>
            <w:tcW w:w="526"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540" w:type="dxa"/>
            <w:vMerge w:val="continue"/>
            <w:tcBorders>
              <w:top w:val="nil"/>
              <w:left w:val="nil"/>
              <w:bottom w:val="single" w:color="auto" w:sz="4" w:space="0"/>
              <w:right w:val="single" w:color="auto" w:sz="4" w:space="0"/>
            </w:tcBorders>
            <w:tcMar>
              <w:left w:w="108" w:type="dxa"/>
              <w:right w:w="108" w:type="dxa"/>
            </w:tcMar>
            <w:vAlign w:val="center"/>
          </w:tcPr>
          <w:p>
            <w:pPr>
              <w:rPr>
                <w:rFonts w:ascii="宋体"/>
                <w:sz w:val="18"/>
                <w:szCs w:val="1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58" w:hRule="atLeast"/>
        </w:trPr>
        <w:tc>
          <w:tcPr>
            <w:tcW w:w="476" w:type="dxa"/>
            <w:vMerge w:val="continue"/>
            <w:tcBorders>
              <w:top w:val="nil"/>
              <w:left w:val="single" w:color="auto" w:sz="4" w:space="0"/>
              <w:bottom w:val="single" w:color="auto" w:sz="4" w:space="0"/>
              <w:right w:val="single" w:color="auto" w:sz="4" w:space="0"/>
            </w:tcBorders>
            <w:tcMar>
              <w:left w:w="108" w:type="dxa"/>
              <w:right w:w="108" w:type="dxa"/>
            </w:tcMar>
            <w:vAlign w:val="center"/>
          </w:tcPr>
          <w:p>
            <w:pPr>
              <w:rPr>
                <w:rFonts w:ascii="宋体"/>
                <w:sz w:val="18"/>
                <w:szCs w:val="18"/>
              </w:rPr>
            </w:pPr>
          </w:p>
        </w:tc>
        <w:tc>
          <w:tcPr>
            <w:tcW w:w="2226"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10 机架电缆线扎及标识</w:t>
            </w:r>
          </w:p>
        </w:tc>
        <w:tc>
          <w:tcPr>
            <w:tcW w:w="2562"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整齐，有明显编号、标识</w:t>
            </w:r>
          </w:p>
        </w:tc>
        <w:tc>
          <w:tcPr>
            <w:tcW w:w="2373"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现场观察</w:t>
            </w:r>
          </w:p>
        </w:tc>
        <w:tc>
          <w:tcPr>
            <w:tcW w:w="1188" w:type="dxa"/>
            <w:tcBorders>
              <w:top w:val="nil"/>
              <w:left w:val="nil"/>
              <w:bottom w:val="single" w:color="auto" w:sz="4" w:space="0"/>
              <w:right w:val="single" w:color="auto" w:sz="4" w:space="0"/>
            </w:tcBorders>
            <w:tcMar>
              <w:left w:w="108" w:type="dxa"/>
              <w:right w:w="108" w:type="dxa"/>
            </w:tcMar>
            <w:vAlign w:val="center"/>
          </w:tcPr>
          <w:p>
            <w:pPr>
              <w:widowControl/>
              <w:ind w:left="-202" w:leftChars="-96" w:right="-254" w:rightChars="-121"/>
              <w:jc w:val="center"/>
              <w:rPr>
                <w:sz w:val="18"/>
                <w:szCs w:val="18"/>
              </w:rPr>
            </w:pPr>
            <w:r>
              <w:rPr>
                <w:rFonts w:hint="eastAsia" w:ascii="宋体" w:hAnsi="宋体" w:cs="宋体"/>
                <w:kern w:val="0"/>
                <w:sz w:val="18"/>
                <w:szCs w:val="18"/>
              </w:rPr>
              <w:t>整齐、有标识</w:t>
            </w:r>
          </w:p>
        </w:tc>
        <w:tc>
          <w:tcPr>
            <w:tcW w:w="56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70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基本整齐、有标识</w:t>
            </w:r>
          </w:p>
        </w:tc>
        <w:tc>
          <w:tcPr>
            <w:tcW w:w="46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382" w:type="dxa"/>
            <w:tcBorders>
              <w:top w:val="nil"/>
              <w:left w:val="nil"/>
              <w:bottom w:val="single" w:color="auto" w:sz="4" w:space="0"/>
              <w:right w:val="single" w:color="auto" w:sz="4" w:space="0"/>
            </w:tcBorders>
            <w:tcMar>
              <w:left w:w="108" w:type="dxa"/>
              <w:right w:w="108" w:type="dxa"/>
            </w:tcMar>
            <w:vAlign w:val="center"/>
          </w:tcPr>
          <w:p>
            <w:pPr>
              <w:widowControl/>
              <w:ind w:left="-145" w:leftChars="-69" w:right="-105" w:rightChars="-50"/>
              <w:jc w:val="center"/>
              <w:rPr>
                <w:sz w:val="18"/>
                <w:szCs w:val="18"/>
              </w:rPr>
            </w:pPr>
            <w:r>
              <w:rPr>
                <w:rFonts w:hint="eastAsia" w:ascii="宋体" w:hAnsi="宋体" w:cs="宋体"/>
                <w:kern w:val="0"/>
                <w:sz w:val="18"/>
                <w:szCs w:val="18"/>
              </w:rPr>
              <w:t>不整齐或无标识</w:t>
            </w:r>
          </w:p>
        </w:tc>
        <w:tc>
          <w:tcPr>
            <w:tcW w:w="526"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540" w:type="dxa"/>
            <w:vMerge w:val="continue"/>
            <w:tcBorders>
              <w:top w:val="nil"/>
              <w:left w:val="nil"/>
              <w:bottom w:val="single" w:color="auto" w:sz="4" w:space="0"/>
              <w:right w:val="single" w:color="auto" w:sz="4" w:space="0"/>
            </w:tcBorders>
            <w:tcMar>
              <w:left w:w="108" w:type="dxa"/>
              <w:right w:w="108" w:type="dxa"/>
            </w:tcMar>
            <w:vAlign w:val="center"/>
          </w:tcPr>
          <w:p>
            <w:pPr>
              <w:rPr>
                <w:rFonts w:ascii="宋体"/>
                <w:sz w:val="18"/>
                <w:szCs w:val="1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58" w:hRule="atLeast"/>
        </w:trPr>
        <w:tc>
          <w:tcPr>
            <w:tcW w:w="476" w:type="dxa"/>
            <w:vMerge w:val="continue"/>
            <w:tcBorders>
              <w:top w:val="nil"/>
              <w:left w:val="single" w:color="auto" w:sz="4" w:space="0"/>
              <w:bottom w:val="single" w:color="auto" w:sz="4" w:space="0"/>
              <w:right w:val="single" w:color="auto" w:sz="4" w:space="0"/>
            </w:tcBorders>
            <w:tcMar>
              <w:left w:w="108" w:type="dxa"/>
              <w:right w:w="108" w:type="dxa"/>
            </w:tcMar>
            <w:vAlign w:val="center"/>
          </w:tcPr>
          <w:p>
            <w:pPr>
              <w:rPr>
                <w:rFonts w:ascii="宋体"/>
                <w:sz w:val="18"/>
                <w:szCs w:val="18"/>
              </w:rPr>
            </w:pPr>
          </w:p>
        </w:tc>
        <w:tc>
          <w:tcPr>
            <w:tcW w:w="2226"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11 电源引入线缆标识</w:t>
            </w:r>
          </w:p>
        </w:tc>
        <w:tc>
          <w:tcPr>
            <w:tcW w:w="2562"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引入线端标识明显、牢靠</w:t>
            </w:r>
          </w:p>
        </w:tc>
        <w:tc>
          <w:tcPr>
            <w:tcW w:w="2373"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现场观察</w:t>
            </w:r>
          </w:p>
        </w:tc>
        <w:tc>
          <w:tcPr>
            <w:tcW w:w="1188"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有，牢靠</w:t>
            </w:r>
          </w:p>
        </w:tc>
        <w:tc>
          <w:tcPr>
            <w:tcW w:w="56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70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基本符合要求</w:t>
            </w:r>
          </w:p>
        </w:tc>
        <w:tc>
          <w:tcPr>
            <w:tcW w:w="46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382"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不符合要求</w:t>
            </w:r>
          </w:p>
        </w:tc>
        <w:tc>
          <w:tcPr>
            <w:tcW w:w="526"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540" w:type="dxa"/>
            <w:vMerge w:val="continue"/>
            <w:tcBorders>
              <w:top w:val="nil"/>
              <w:left w:val="nil"/>
              <w:bottom w:val="single" w:color="auto" w:sz="4" w:space="0"/>
              <w:right w:val="single" w:color="auto" w:sz="4" w:space="0"/>
            </w:tcBorders>
            <w:tcMar>
              <w:left w:w="108" w:type="dxa"/>
              <w:right w:w="108" w:type="dxa"/>
            </w:tcMar>
            <w:vAlign w:val="center"/>
          </w:tcPr>
          <w:p>
            <w:pPr>
              <w:rPr>
                <w:rFonts w:ascii="宋体"/>
                <w:sz w:val="18"/>
                <w:szCs w:val="1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58" w:hRule="atLeast"/>
        </w:trPr>
        <w:tc>
          <w:tcPr>
            <w:tcW w:w="476" w:type="dxa"/>
            <w:vMerge w:val="continue"/>
            <w:tcBorders>
              <w:top w:val="nil"/>
              <w:left w:val="single" w:color="auto" w:sz="4" w:space="0"/>
              <w:bottom w:val="single" w:color="auto" w:sz="4" w:space="0"/>
              <w:right w:val="single" w:color="auto" w:sz="4" w:space="0"/>
            </w:tcBorders>
            <w:tcMar>
              <w:left w:w="108" w:type="dxa"/>
              <w:right w:w="108" w:type="dxa"/>
            </w:tcMar>
            <w:vAlign w:val="center"/>
          </w:tcPr>
          <w:p>
            <w:pPr>
              <w:rPr>
                <w:rFonts w:ascii="宋体"/>
                <w:sz w:val="18"/>
                <w:szCs w:val="18"/>
              </w:rPr>
            </w:pPr>
          </w:p>
        </w:tc>
        <w:tc>
          <w:tcPr>
            <w:tcW w:w="2226"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12 通电</w:t>
            </w:r>
          </w:p>
        </w:tc>
        <w:tc>
          <w:tcPr>
            <w:tcW w:w="2562"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工作正常</w:t>
            </w:r>
          </w:p>
        </w:tc>
        <w:tc>
          <w:tcPr>
            <w:tcW w:w="2373"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rFonts w:hint="eastAsia" w:ascii="宋体" w:hAnsi="宋体" w:cs="宋体"/>
                <w:kern w:val="0"/>
                <w:sz w:val="18"/>
                <w:szCs w:val="18"/>
              </w:rPr>
              <w:t>现场通电检查</w:t>
            </w:r>
          </w:p>
        </w:tc>
        <w:tc>
          <w:tcPr>
            <w:tcW w:w="1188"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正常</w:t>
            </w:r>
          </w:p>
        </w:tc>
        <w:tc>
          <w:tcPr>
            <w:tcW w:w="56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70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基本正常</w:t>
            </w:r>
          </w:p>
        </w:tc>
        <w:tc>
          <w:tcPr>
            <w:tcW w:w="469"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382"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不正常</w:t>
            </w:r>
          </w:p>
        </w:tc>
        <w:tc>
          <w:tcPr>
            <w:tcW w:w="526" w:type="dxa"/>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c>
          <w:tcPr>
            <w:tcW w:w="1540" w:type="dxa"/>
            <w:vMerge w:val="continue"/>
            <w:tcBorders>
              <w:top w:val="nil"/>
              <w:left w:val="nil"/>
              <w:bottom w:val="single" w:color="auto" w:sz="4" w:space="0"/>
              <w:right w:val="single" w:color="auto" w:sz="4" w:space="0"/>
            </w:tcBorders>
            <w:tcMar>
              <w:left w:w="108" w:type="dxa"/>
              <w:right w:w="108" w:type="dxa"/>
            </w:tcMar>
            <w:vAlign w:val="center"/>
          </w:tcPr>
          <w:p>
            <w:pPr>
              <w:rPr>
                <w:rFonts w:ascii="宋体"/>
                <w:sz w:val="18"/>
                <w:szCs w:val="18"/>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58" w:hRule="atLeast"/>
        </w:trPr>
        <w:tc>
          <w:tcPr>
            <w:tcW w:w="2702" w:type="dxa"/>
            <w:gridSpan w:val="2"/>
            <w:tcBorders>
              <w:top w:val="nil"/>
              <w:left w:val="single" w:color="auto" w:sz="4" w:space="0"/>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检查结果统计：KS (合格率)</w:t>
            </w:r>
          </w:p>
        </w:tc>
        <w:tc>
          <w:tcPr>
            <w:tcW w:w="2562" w:type="dxa"/>
            <w:tcBorders>
              <w:top w:val="nil"/>
              <w:left w:val="nil"/>
              <w:bottom w:val="single" w:color="auto" w:sz="4" w:space="0"/>
              <w:right w:val="single" w:color="auto" w:sz="4" w:space="0"/>
            </w:tcBorders>
            <w:tcMar>
              <w:left w:w="108" w:type="dxa"/>
              <w:right w:w="108" w:type="dxa"/>
            </w:tcMar>
            <w:vAlign w:val="center"/>
          </w:tcPr>
          <w:p>
            <w:pPr>
              <w:widowControl/>
              <w:rPr>
                <w:sz w:val="18"/>
                <w:szCs w:val="18"/>
              </w:rPr>
            </w:pPr>
            <w:r>
              <w:rPr>
                <w:kern w:val="0"/>
                <w:sz w:val="18"/>
                <w:szCs w:val="18"/>
              </w:rPr>
              <w:t> </w:t>
            </w:r>
          </w:p>
        </w:tc>
        <w:tc>
          <w:tcPr>
            <w:tcW w:w="3561" w:type="dxa"/>
            <w:gridSpan w:val="2"/>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rFonts w:hint="eastAsia" w:ascii="宋体" w:hAnsi="宋体" w:cs="宋体"/>
                <w:kern w:val="0"/>
                <w:sz w:val="18"/>
                <w:szCs w:val="18"/>
              </w:rPr>
              <w:t>安装质量检查结论</w:t>
            </w:r>
          </w:p>
        </w:tc>
        <w:tc>
          <w:tcPr>
            <w:tcW w:w="6195" w:type="dxa"/>
            <w:gridSpan w:val="6"/>
            <w:tcBorders>
              <w:top w:val="nil"/>
              <w:left w:val="nil"/>
              <w:bottom w:val="single" w:color="auto" w:sz="4" w:space="0"/>
              <w:right w:val="single" w:color="auto" w:sz="4" w:space="0"/>
            </w:tcBorders>
            <w:tcMar>
              <w:left w:w="108" w:type="dxa"/>
              <w:right w:w="108" w:type="dxa"/>
            </w:tcMar>
            <w:vAlign w:val="center"/>
          </w:tcPr>
          <w:p>
            <w:pPr>
              <w:widowControl/>
              <w:jc w:val="center"/>
              <w:rPr>
                <w:sz w:val="18"/>
                <w:szCs w:val="18"/>
              </w:rPr>
            </w:pPr>
            <w:r>
              <w:rPr>
                <w:kern w:val="0"/>
                <w:sz w:val="18"/>
                <w:szCs w:val="18"/>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58" w:hRule="atLeast"/>
        </w:trPr>
        <w:tc>
          <w:tcPr>
            <w:tcW w:w="8825" w:type="dxa"/>
            <w:gridSpan w:val="5"/>
            <w:tcBorders>
              <w:top w:val="nil"/>
              <w:left w:val="single" w:color="auto" w:sz="4" w:space="0"/>
              <w:bottom w:val="single" w:color="auto" w:sz="4" w:space="0"/>
              <w:right w:val="single" w:color="auto" w:sz="4" w:space="0"/>
            </w:tcBorders>
            <w:tcMar>
              <w:left w:w="108" w:type="dxa"/>
              <w:right w:w="108" w:type="dxa"/>
            </w:tcMar>
            <w:vAlign w:val="center"/>
          </w:tcPr>
          <w:p>
            <w:pPr>
              <w:widowControl/>
              <w:jc w:val="left"/>
              <w:rPr>
                <w:sz w:val="18"/>
                <w:szCs w:val="18"/>
              </w:rPr>
            </w:pPr>
            <w:r>
              <w:rPr>
                <w:rFonts w:hint="eastAsia" w:ascii="宋体" w:hAnsi="宋体" w:cs="宋体"/>
                <w:kern w:val="0"/>
                <w:sz w:val="18"/>
                <w:szCs w:val="18"/>
              </w:rPr>
              <w:t>施工验收组人员签名：</w:t>
            </w:r>
          </w:p>
        </w:tc>
        <w:tc>
          <w:tcPr>
            <w:tcW w:w="6195" w:type="dxa"/>
            <w:gridSpan w:val="6"/>
            <w:tcBorders>
              <w:top w:val="nil"/>
              <w:left w:val="nil"/>
              <w:bottom w:val="single" w:color="auto" w:sz="4" w:space="0"/>
              <w:right w:val="single" w:color="auto" w:sz="4" w:space="0"/>
            </w:tcBorders>
            <w:tcMar>
              <w:left w:w="108" w:type="dxa"/>
              <w:right w:w="108" w:type="dxa"/>
            </w:tcMar>
            <w:vAlign w:val="center"/>
          </w:tcPr>
          <w:p>
            <w:pPr>
              <w:widowControl/>
              <w:jc w:val="left"/>
              <w:rPr>
                <w:sz w:val="18"/>
                <w:szCs w:val="18"/>
              </w:rPr>
            </w:pPr>
            <w:r>
              <w:rPr>
                <w:rFonts w:hint="eastAsia" w:ascii="宋体" w:hAnsi="宋体" w:cs="宋体"/>
                <w:kern w:val="0"/>
                <w:sz w:val="18"/>
                <w:szCs w:val="18"/>
              </w:rPr>
              <w:t>验收日期：</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1039" w:hRule="atLeast"/>
        </w:trPr>
        <w:tc>
          <w:tcPr>
            <w:tcW w:w="15020" w:type="dxa"/>
            <w:gridSpan w:val="11"/>
            <w:tcBorders>
              <w:top w:val="nil"/>
              <w:left w:val="single" w:color="auto" w:sz="4" w:space="0"/>
              <w:bottom w:val="single" w:color="auto" w:sz="4" w:space="0"/>
              <w:right w:val="single" w:color="auto" w:sz="4" w:space="0"/>
            </w:tcBorders>
            <w:tcMar>
              <w:left w:w="108" w:type="dxa"/>
              <w:right w:w="108" w:type="dxa"/>
            </w:tcMar>
            <w:vAlign w:val="center"/>
          </w:tcPr>
          <w:p>
            <w:pPr>
              <w:widowControl/>
              <w:jc w:val="left"/>
              <w:rPr>
                <w:sz w:val="18"/>
                <w:szCs w:val="18"/>
              </w:rPr>
            </w:pPr>
            <w:r>
              <w:rPr>
                <w:rFonts w:hint="eastAsia" w:ascii="宋体" w:hAnsi="宋体" w:cs="宋体"/>
                <w:kern w:val="0"/>
                <w:sz w:val="18"/>
                <w:szCs w:val="18"/>
              </w:rPr>
              <w:t> 注1：在检查结果栏，按实际情况在相应的空格内打“√”（左列打“√”，视为合格；中列打“√”，视为基本合格；又列打“√”，视为不合格）。</w:t>
            </w:r>
          </w:p>
          <w:p>
            <w:pPr>
              <w:widowControl/>
              <w:jc w:val="left"/>
              <w:rPr>
                <w:sz w:val="18"/>
                <w:szCs w:val="18"/>
              </w:rPr>
            </w:pPr>
            <w:r>
              <w:rPr>
                <w:rFonts w:hint="eastAsia" w:ascii="宋体" w:hAnsi="宋体" w:cs="宋体"/>
                <w:kern w:val="0"/>
                <w:sz w:val="18"/>
                <w:szCs w:val="18"/>
              </w:rPr>
              <w:t> 注2：检查结果统计：KS (合格率)＝[合格数＋基本合格数×0.6]/项目审查数(项目审查数如无要求或实际缺乏未检查的，不计在内)。</w:t>
            </w:r>
          </w:p>
          <w:p>
            <w:pPr>
              <w:widowControl/>
              <w:jc w:val="left"/>
              <w:rPr>
                <w:sz w:val="18"/>
                <w:szCs w:val="18"/>
              </w:rPr>
            </w:pPr>
            <w:r>
              <w:rPr>
                <w:rFonts w:hint="eastAsia" w:ascii="宋体" w:hAnsi="宋体" w:cs="宋体"/>
                <w:kern w:val="0"/>
                <w:sz w:val="18"/>
                <w:szCs w:val="18"/>
              </w:rPr>
              <w:t> 注3：检查结论：KS (合格率)≥0.8，判为通过；0.8&gt; KS ≥0.6，判为基本通过；KS &lt; 0.6，判为不通过；必要时作简要说明。</w:t>
            </w:r>
          </w:p>
        </w:tc>
      </w:tr>
    </w:tbl>
    <w:p>
      <w:pPr>
        <w:pStyle w:val="26"/>
        <w:rPr>
          <w:rFonts w:hAnsi="Times New Roman"/>
          <w:szCs w:val="21"/>
        </w:rPr>
      </w:pPr>
    </w:p>
    <w:p>
      <w:pPr>
        <w:pStyle w:val="26"/>
        <w:ind w:firstLine="0" w:firstLineChars="0"/>
        <w:rPr>
          <w:szCs w:val="21"/>
        </w:rPr>
        <w:sectPr>
          <w:pgSz w:w="16838" w:h="11906" w:orient="landscape"/>
          <w:pgMar w:top="1418" w:right="567" w:bottom="1134" w:left="1134" w:header="1134" w:footer="1134" w:gutter="0"/>
          <w:cols w:space="720" w:num="1"/>
          <w:formProt w:val="0"/>
          <w:docGrid w:type="lines" w:linePitch="312" w:charSpace="0"/>
        </w:sectPr>
      </w:pPr>
    </w:p>
    <w:p>
      <w:pPr>
        <w:tabs>
          <w:tab w:val="left" w:pos="363"/>
        </w:tabs>
        <w:jc w:val="center"/>
        <w:rPr>
          <w:rFonts w:ascii="宋体" w:hAnsi="宋体" w:eastAsia="黑体" w:cs="宋体"/>
          <w:kern w:val="0"/>
          <w:szCs w:val="21"/>
          <w:shd w:val="clear" w:color="auto" w:fill="FFFFFF"/>
        </w:rPr>
      </w:pPr>
      <w:r>
        <w:rPr>
          <w:rFonts w:hint="eastAsia" w:ascii="黑体" w:eastAsia="黑体"/>
          <w:szCs w:val="21"/>
        </w:rPr>
        <w:t>表C</w:t>
      </w:r>
      <w:r>
        <w:rPr>
          <w:rFonts w:ascii="黑体" w:eastAsia="黑体"/>
          <w:szCs w:val="21"/>
        </w:rPr>
        <w:t>.</w:t>
      </w:r>
      <w:r>
        <w:rPr>
          <w:rFonts w:hint="eastAsia" w:ascii="黑体" w:eastAsia="黑体"/>
          <w:szCs w:val="21"/>
        </w:rPr>
        <w:t>4</w:t>
      </w:r>
      <w:r>
        <w:rPr>
          <w:rFonts w:ascii="黑体" w:eastAsia="黑体"/>
          <w:szCs w:val="21"/>
        </w:rPr>
        <w:t xml:space="preserve"> </w:t>
      </w:r>
      <w:r>
        <w:rPr>
          <w:rFonts w:hint="eastAsia" w:ascii="宋体" w:hAnsi="宋体" w:eastAsia="黑体" w:cs="宋体"/>
          <w:kern w:val="0"/>
          <w:szCs w:val="21"/>
          <w:shd w:val="clear" w:color="auto" w:fill="FFFFFF"/>
        </w:rPr>
        <w:t>资料审查表</w:t>
      </w:r>
    </w:p>
    <w:tbl>
      <w:tblPr>
        <w:tblStyle w:val="37"/>
        <w:tblW w:w="0" w:type="auto"/>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
      <w:tblGrid>
        <w:gridCol w:w="1207"/>
        <w:gridCol w:w="4275"/>
        <w:gridCol w:w="915"/>
        <w:gridCol w:w="762"/>
        <w:gridCol w:w="915"/>
        <w:gridCol w:w="763"/>
        <w:gridCol w:w="791"/>
        <w:gridCol w:w="913"/>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10541" w:type="dxa"/>
            <w:gridSpan w:val="8"/>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系统名称：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1207" w:type="dxa"/>
            <w:vMerge w:val="restart"/>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序号</w:t>
            </w:r>
          </w:p>
        </w:tc>
        <w:tc>
          <w:tcPr>
            <w:tcW w:w="4275" w:type="dxa"/>
            <w:vMerge w:val="restart"/>
            <w:tcBorders>
              <w:top w:val="single" w:color="auto" w:sz="4" w:space="0"/>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审查内容</w:t>
            </w:r>
          </w:p>
        </w:tc>
        <w:tc>
          <w:tcPr>
            <w:tcW w:w="5059" w:type="dxa"/>
            <w:gridSpan w:val="6"/>
            <w:tcBorders>
              <w:top w:val="single" w:color="auto" w:sz="4" w:space="0"/>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审查结果</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1207" w:type="dxa"/>
            <w:vMerge w:val="continue"/>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p>
        </w:tc>
        <w:tc>
          <w:tcPr>
            <w:tcW w:w="4275" w:type="dxa"/>
            <w:vMerge w:val="continue"/>
            <w:tcBorders>
              <w:top w:val="single" w:color="auto" w:sz="4" w:space="0"/>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p>
        </w:tc>
        <w:tc>
          <w:tcPr>
            <w:tcW w:w="2592" w:type="dxa"/>
            <w:gridSpan w:val="3"/>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完整性</w:t>
            </w:r>
          </w:p>
        </w:tc>
        <w:tc>
          <w:tcPr>
            <w:tcW w:w="2467" w:type="dxa"/>
            <w:gridSpan w:val="3"/>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准确性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1207" w:type="dxa"/>
            <w:vMerge w:val="continue"/>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p>
        </w:tc>
        <w:tc>
          <w:tcPr>
            <w:tcW w:w="4275" w:type="dxa"/>
            <w:vMerge w:val="continue"/>
            <w:tcBorders>
              <w:top w:val="single" w:color="auto" w:sz="4" w:space="0"/>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p>
        </w:tc>
        <w:tc>
          <w:tcPr>
            <w:tcW w:w="915" w:type="dxa"/>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完整</w:t>
            </w:r>
          </w:p>
          <w:p>
            <w:pPr>
              <w:pStyle w:val="26"/>
              <w:ind w:firstLine="0" w:firstLineChars="0"/>
              <w:rPr>
                <w:rFonts w:hAnsi="Times New Roman"/>
                <w:kern w:val="0"/>
                <w:szCs w:val="21"/>
              </w:rPr>
            </w:pPr>
            <w:r>
              <w:rPr>
                <w:rFonts w:hint="eastAsia" w:hAnsi="Times New Roman"/>
                <w:kern w:val="0"/>
                <w:szCs w:val="21"/>
              </w:rPr>
              <w:t>（或有）</w:t>
            </w:r>
          </w:p>
        </w:tc>
        <w:tc>
          <w:tcPr>
            <w:tcW w:w="762" w:type="dxa"/>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基本</w:t>
            </w:r>
          </w:p>
          <w:p>
            <w:pPr>
              <w:pStyle w:val="26"/>
              <w:ind w:firstLine="0" w:firstLineChars="0"/>
              <w:rPr>
                <w:rFonts w:hAnsi="Times New Roman"/>
                <w:kern w:val="0"/>
                <w:szCs w:val="21"/>
              </w:rPr>
            </w:pPr>
            <w:r>
              <w:rPr>
                <w:rFonts w:hint="eastAsia" w:hAnsi="Times New Roman"/>
                <w:kern w:val="0"/>
                <w:szCs w:val="21"/>
              </w:rPr>
              <w:t>完整</w:t>
            </w:r>
          </w:p>
        </w:tc>
        <w:tc>
          <w:tcPr>
            <w:tcW w:w="915" w:type="dxa"/>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不完整</w:t>
            </w:r>
          </w:p>
          <w:p>
            <w:pPr>
              <w:pStyle w:val="26"/>
              <w:ind w:firstLine="0" w:firstLineChars="0"/>
              <w:rPr>
                <w:rFonts w:hAnsi="Times New Roman"/>
                <w:kern w:val="0"/>
                <w:szCs w:val="21"/>
              </w:rPr>
            </w:pPr>
            <w:r>
              <w:rPr>
                <w:rFonts w:hint="eastAsia" w:hAnsi="Times New Roman"/>
                <w:kern w:val="0"/>
                <w:szCs w:val="21"/>
              </w:rPr>
              <w:t>（或无）</w:t>
            </w:r>
          </w:p>
        </w:tc>
        <w:tc>
          <w:tcPr>
            <w:tcW w:w="763" w:type="dxa"/>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合格</w:t>
            </w:r>
          </w:p>
        </w:tc>
        <w:tc>
          <w:tcPr>
            <w:tcW w:w="791" w:type="dxa"/>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基本</w:t>
            </w:r>
          </w:p>
          <w:p>
            <w:pPr>
              <w:pStyle w:val="26"/>
              <w:ind w:firstLine="0" w:firstLineChars="0"/>
              <w:rPr>
                <w:rFonts w:hAnsi="Times New Roman"/>
                <w:kern w:val="0"/>
                <w:szCs w:val="21"/>
              </w:rPr>
            </w:pPr>
            <w:r>
              <w:rPr>
                <w:rFonts w:hint="eastAsia" w:hAnsi="Times New Roman"/>
                <w:kern w:val="0"/>
                <w:szCs w:val="21"/>
              </w:rPr>
              <w:t>合格</w:t>
            </w:r>
          </w:p>
        </w:tc>
        <w:tc>
          <w:tcPr>
            <w:tcW w:w="913" w:type="dxa"/>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不合格</w:t>
            </w:r>
          </w:p>
          <w:p>
            <w:pPr>
              <w:pStyle w:val="26"/>
              <w:ind w:firstLine="0" w:firstLineChars="0"/>
              <w:rPr>
                <w:rFonts w:hAnsi="Times New Roman"/>
                <w:kern w:val="0"/>
                <w:szCs w:val="21"/>
              </w:rPr>
            </w:pPr>
            <w:r>
              <w:rPr>
                <w:rFonts w:hAnsi="Times New Roman"/>
                <w:kern w:val="0"/>
                <w:szCs w:val="21"/>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1207" w:type="dxa"/>
            <w:tcBorders>
              <w:top w:val="nil"/>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1</w:t>
            </w:r>
          </w:p>
        </w:tc>
        <w:tc>
          <w:tcPr>
            <w:tcW w:w="4275"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int="eastAsia" w:hAnsi="Times New Roman"/>
                <w:kern w:val="0"/>
                <w:szCs w:val="21"/>
              </w:rPr>
              <w:t>设计任务书</w:t>
            </w:r>
          </w:p>
        </w:tc>
        <w:tc>
          <w:tcPr>
            <w:tcW w:w="915"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762"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915"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2467" w:type="dxa"/>
            <w:gridSpan w:val="3"/>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1207" w:type="dxa"/>
            <w:tcBorders>
              <w:top w:val="nil"/>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2</w:t>
            </w:r>
          </w:p>
        </w:tc>
        <w:tc>
          <w:tcPr>
            <w:tcW w:w="4275"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int="eastAsia" w:hAnsi="Times New Roman"/>
                <w:kern w:val="0"/>
                <w:szCs w:val="21"/>
              </w:rPr>
              <w:t>合同（或协议书）</w:t>
            </w:r>
          </w:p>
        </w:tc>
        <w:tc>
          <w:tcPr>
            <w:tcW w:w="915"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762"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915"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2467" w:type="dxa"/>
            <w:gridSpan w:val="3"/>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1207" w:type="dxa"/>
            <w:tcBorders>
              <w:top w:val="nil"/>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3</w:t>
            </w:r>
          </w:p>
        </w:tc>
        <w:tc>
          <w:tcPr>
            <w:tcW w:w="4275"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int="eastAsia" w:hAnsi="Times New Roman"/>
                <w:kern w:val="0"/>
                <w:szCs w:val="21"/>
              </w:rPr>
              <w:t>初步设计方案论证意见（含评审机构组成人员名单）</w:t>
            </w:r>
          </w:p>
        </w:tc>
        <w:tc>
          <w:tcPr>
            <w:tcW w:w="915"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762"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915"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2467" w:type="dxa"/>
            <w:gridSpan w:val="3"/>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1207" w:type="dxa"/>
            <w:tcBorders>
              <w:top w:val="nil"/>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4</w:t>
            </w:r>
          </w:p>
        </w:tc>
        <w:tc>
          <w:tcPr>
            <w:tcW w:w="4275"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int="eastAsia" w:hAnsi="Times New Roman"/>
                <w:kern w:val="0"/>
                <w:szCs w:val="21"/>
              </w:rPr>
              <w:t>通过初步设计方案论证的整改落实意见</w:t>
            </w:r>
          </w:p>
        </w:tc>
        <w:tc>
          <w:tcPr>
            <w:tcW w:w="915"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762"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915"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763"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791"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913"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1207" w:type="dxa"/>
            <w:tcBorders>
              <w:top w:val="nil"/>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5</w:t>
            </w:r>
          </w:p>
        </w:tc>
        <w:tc>
          <w:tcPr>
            <w:tcW w:w="4275"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int="eastAsia" w:hAnsi="Times New Roman"/>
                <w:kern w:val="0"/>
                <w:szCs w:val="21"/>
              </w:rPr>
              <w:t>正式设计方案河相关图纸</w:t>
            </w:r>
          </w:p>
        </w:tc>
        <w:tc>
          <w:tcPr>
            <w:tcW w:w="915"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762"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915"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763"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791"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913"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1207" w:type="dxa"/>
            <w:tcBorders>
              <w:top w:val="nil"/>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6</w:t>
            </w:r>
          </w:p>
        </w:tc>
        <w:tc>
          <w:tcPr>
            <w:tcW w:w="4275"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int="eastAsia" w:hAnsi="Times New Roman"/>
                <w:kern w:val="0"/>
                <w:szCs w:val="21"/>
              </w:rPr>
              <w:t>系统试运行报告</w:t>
            </w:r>
          </w:p>
        </w:tc>
        <w:tc>
          <w:tcPr>
            <w:tcW w:w="915"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762"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915"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763"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791"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913"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1207" w:type="dxa"/>
            <w:tcBorders>
              <w:top w:val="nil"/>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7</w:t>
            </w:r>
          </w:p>
        </w:tc>
        <w:tc>
          <w:tcPr>
            <w:tcW w:w="4275"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int="eastAsia" w:hAnsi="Times New Roman"/>
                <w:kern w:val="0"/>
                <w:szCs w:val="21"/>
              </w:rPr>
              <w:t>竣工报告</w:t>
            </w:r>
          </w:p>
        </w:tc>
        <w:tc>
          <w:tcPr>
            <w:tcW w:w="915"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762"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915"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763"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791"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913"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1207" w:type="dxa"/>
            <w:tcBorders>
              <w:top w:val="nil"/>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8</w:t>
            </w:r>
          </w:p>
        </w:tc>
        <w:tc>
          <w:tcPr>
            <w:tcW w:w="4275"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int="eastAsia" w:hAnsi="Times New Roman"/>
                <w:kern w:val="0"/>
                <w:szCs w:val="21"/>
              </w:rPr>
              <w:t>初验报告（含隐蔽工程随工验收单）</w:t>
            </w:r>
          </w:p>
        </w:tc>
        <w:tc>
          <w:tcPr>
            <w:tcW w:w="915"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762"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915"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763"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791"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913"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1207" w:type="dxa"/>
            <w:tcBorders>
              <w:top w:val="nil"/>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9</w:t>
            </w:r>
          </w:p>
        </w:tc>
        <w:tc>
          <w:tcPr>
            <w:tcW w:w="4275"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int="eastAsia" w:hAnsi="Times New Roman"/>
                <w:kern w:val="0"/>
                <w:szCs w:val="21"/>
              </w:rPr>
              <w:t>工程决算报告</w:t>
            </w:r>
          </w:p>
        </w:tc>
        <w:tc>
          <w:tcPr>
            <w:tcW w:w="915"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762"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915"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2467" w:type="dxa"/>
            <w:gridSpan w:val="3"/>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1207" w:type="dxa"/>
            <w:tcBorders>
              <w:top w:val="nil"/>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10</w:t>
            </w:r>
          </w:p>
        </w:tc>
        <w:tc>
          <w:tcPr>
            <w:tcW w:w="4275" w:type="dxa"/>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相关图纸绘制规范要求</w:t>
            </w:r>
          </w:p>
        </w:tc>
        <w:tc>
          <w:tcPr>
            <w:tcW w:w="915" w:type="dxa"/>
            <w:tcBorders>
              <w:top w:val="nil"/>
              <w:left w:val="nil"/>
              <w:bottom w:val="single" w:color="auto" w:sz="4" w:space="0"/>
              <w:right w:val="single" w:color="auto" w:sz="4" w:space="0"/>
            </w:tcBorders>
            <w:tcMar>
              <w:left w:w="108" w:type="dxa"/>
              <w:right w:w="108" w:type="dxa"/>
            </w:tcMar>
            <w:vAlign w:val="center"/>
          </w:tcPr>
          <w:p>
            <w:pPr>
              <w:pStyle w:val="26"/>
              <w:ind w:firstLine="0" w:firstLineChars="0"/>
              <w:jc w:val="center"/>
              <w:rPr>
                <w:rFonts w:hAnsi="Times New Roman"/>
                <w:kern w:val="0"/>
                <w:szCs w:val="21"/>
              </w:rPr>
            </w:pPr>
            <w:r>
              <w:rPr>
                <w:rFonts w:hint="eastAsia" w:hAnsi="Times New Roman"/>
                <w:kern w:val="0"/>
                <w:szCs w:val="21"/>
              </w:rPr>
              <w:t>规范</w:t>
            </w:r>
          </w:p>
        </w:tc>
        <w:tc>
          <w:tcPr>
            <w:tcW w:w="762" w:type="dxa"/>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p>
        </w:tc>
        <w:tc>
          <w:tcPr>
            <w:tcW w:w="915" w:type="dxa"/>
            <w:tcBorders>
              <w:top w:val="nil"/>
              <w:left w:val="nil"/>
              <w:bottom w:val="single" w:color="auto" w:sz="4" w:space="0"/>
              <w:right w:val="single" w:color="auto" w:sz="4" w:space="0"/>
            </w:tcBorders>
            <w:tcMar>
              <w:left w:w="108" w:type="dxa"/>
              <w:right w:w="108" w:type="dxa"/>
            </w:tcMar>
            <w:vAlign w:val="center"/>
          </w:tcPr>
          <w:p>
            <w:pPr>
              <w:pStyle w:val="26"/>
              <w:ind w:firstLine="0" w:firstLineChars="0"/>
              <w:jc w:val="center"/>
              <w:rPr>
                <w:rFonts w:hAnsi="Times New Roman"/>
                <w:kern w:val="0"/>
                <w:szCs w:val="21"/>
              </w:rPr>
            </w:pPr>
            <w:r>
              <w:rPr>
                <w:rFonts w:hint="eastAsia" w:hAnsi="Times New Roman"/>
                <w:kern w:val="0"/>
                <w:szCs w:val="21"/>
              </w:rPr>
              <w:t>基本</w:t>
            </w:r>
          </w:p>
          <w:p>
            <w:pPr>
              <w:pStyle w:val="26"/>
              <w:ind w:firstLine="0" w:firstLineChars="0"/>
              <w:jc w:val="center"/>
              <w:rPr>
                <w:rFonts w:hAnsi="Times New Roman"/>
                <w:kern w:val="0"/>
                <w:szCs w:val="21"/>
              </w:rPr>
            </w:pPr>
            <w:r>
              <w:rPr>
                <w:rFonts w:hint="eastAsia" w:hAnsi="Times New Roman"/>
                <w:kern w:val="0"/>
                <w:szCs w:val="21"/>
              </w:rPr>
              <w:t>规范</w:t>
            </w:r>
          </w:p>
        </w:tc>
        <w:tc>
          <w:tcPr>
            <w:tcW w:w="763" w:type="dxa"/>
            <w:tcBorders>
              <w:top w:val="nil"/>
              <w:left w:val="nil"/>
              <w:bottom w:val="single" w:color="auto" w:sz="4" w:space="0"/>
              <w:right w:val="single" w:color="auto" w:sz="4" w:space="0"/>
            </w:tcBorders>
            <w:tcMar>
              <w:left w:w="108" w:type="dxa"/>
              <w:right w:w="108" w:type="dxa"/>
            </w:tcMar>
            <w:vAlign w:val="center"/>
          </w:tcPr>
          <w:p>
            <w:pPr>
              <w:pStyle w:val="26"/>
              <w:ind w:firstLine="0" w:firstLineChars="0"/>
              <w:jc w:val="center"/>
              <w:rPr>
                <w:rFonts w:hAnsi="Times New Roman"/>
                <w:kern w:val="0"/>
                <w:szCs w:val="21"/>
              </w:rPr>
            </w:pPr>
          </w:p>
        </w:tc>
        <w:tc>
          <w:tcPr>
            <w:tcW w:w="791" w:type="dxa"/>
            <w:tcBorders>
              <w:top w:val="nil"/>
              <w:left w:val="nil"/>
              <w:bottom w:val="single" w:color="auto" w:sz="4" w:space="0"/>
              <w:right w:val="single" w:color="auto" w:sz="4" w:space="0"/>
            </w:tcBorders>
            <w:tcMar>
              <w:left w:w="108" w:type="dxa"/>
              <w:right w:w="108" w:type="dxa"/>
            </w:tcMar>
            <w:vAlign w:val="center"/>
          </w:tcPr>
          <w:p>
            <w:pPr>
              <w:pStyle w:val="26"/>
              <w:ind w:right="-73" w:rightChars="-35" w:firstLine="0" w:firstLineChars="0"/>
              <w:rPr>
                <w:rFonts w:hAnsi="Times New Roman"/>
                <w:kern w:val="0"/>
                <w:szCs w:val="21"/>
              </w:rPr>
            </w:pPr>
            <w:r>
              <w:rPr>
                <w:rFonts w:hint="eastAsia" w:hAnsi="Times New Roman"/>
                <w:kern w:val="0"/>
                <w:szCs w:val="21"/>
              </w:rPr>
              <w:t>不规范</w:t>
            </w:r>
          </w:p>
        </w:tc>
        <w:tc>
          <w:tcPr>
            <w:tcW w:w="913" w:type="dxa"/>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1207" w:type="dxa"/>
            <w:tcBorders>
              <w:top w:val="nil"/>
              <w:left w:val="single" w:color="auto" w:sz="4" w:space="0"/>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int="eastAsia" w:hAnsi="Times New Roman"/>
                <w:kern w:val="0"/>
                <w:szCs w:val="21"/>
              </w:rPr>
              <w:t>审查结果统计：KZ（合格率）</w:t>
            </w:r>
          </w:p>
        </w:tc>
        <w:tc>
          <w:tcPr>
            <w:tcW w:w="4275" w:type="dxa"/>
            <w:tcBorders>
              <w:top w:val="nil"/>
              <w:left w:val="nil"/>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Ansi="Times New Roman"/>
                <w:kern w:val="0"/>
                <w:szCs w:val="21"/>
              </w:rPr>
              <w:t> </w:t>
            </w:r>
          </w:p>
        </w:tc>
        <w:tc>
          <w:tcPr>
            <w:tcW w:w="1677" w:type="dxa"/>
            <w:gridSpan w:val="2"/>
            <w:tcBorders>
              <w:top w:val="nil"/>
              <w:left w:val="nil"/>
              <w:bottom w:val="single" w:color="auto" w:sz="4" w:space="0"/>
              <w:right w:val="single" w:color="auto" w:sz="4" w:space="0"/>
            </w:tcBorders>
            <w:tcMar>
              <w:left w:w="108" w:type="dxa"/>
              <w:right w:w="108" w:type="dxa"/>
            </w:tcMar>
            <w:vAlign w:val="center"/>
          </w:tcPr>
          <w:p>
            <w:pPr>
              <w:pStyle w:val="26"/>
              <w:ind w:firstLine="0" w:firstLineChars="0"/>
              <w:jc w:val="center"/>
              <w:rPr>
                <w:rFonts w:hAnsi="Times New Roman"/>
                <w:kern w:val="0"/>
                <w:szCs w:val="21"/>
              </w:rPr>
            </w:pPr>
            <w:r>
              <w:rPr>
                <w:rFonts w:hint="eastAsia" w:hAnsi="Times New Roman"/>
                <w:kern w:val="0"/>
                <w:szCs w:val="21"/>
              </w:rPr>
              <w:t>审查</w:t>
            </w:r>
          </w:p>
          <w:p>
            <w:pPr>
              <w:pStyle w:val="26"/>
              <w:ind w:firstLine="0" w:firstLineChars="0"/>
              <w:jc w:val="center"/>
              <w:rPr>
                <w:rFonts w:hAnsi="Times New Roman"/>
                <w:kern w:val="0"/>
                <w:szCs w:val="21"/>
              </w:rPr>
            </w:pPr>
            <w:r>
              <w:rPr>
                <w:rFonts w:hint="eastAsia" w:hAnsi="Times New Roman"/>
                <w:kern w:val="0"/>
                <w:szCs w:val="21"/>
              </w:rPr>
              <w:t>结论</w:t>
            </w:r>
          </w:p>
        </w:tc>
        <w:tc>
          <w:tcPr>
            <w:tcW w:w="915" w:type="dxa"/>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rPr>
              <w:t> </w:t>
            </w:r>
          </w:p>
        </w:tc>
        <w:tc>
          <w:tcPr>
            <w:tcW w:w="763" w:type="dxa"/>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rPr>
              <w:t> </w:t>
            </w:r>
          </w:p>
        </w:tc>
        <w:tc>
          <w:tcPr>
            <w:tcW w:w="791" w:type="dxa"/>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rPr>
              <w:t> </w:t>
            </w:r>
          </w:p>
        </w:tc>
        <w:tc>
          <w:tcPr>
            <w:tcW w:w="913" w:type="dxa"/>
            <w:tcBorders>
              <w:top w:val="nil"/>
              <w:left w:val="nil"/>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Ansi="Times New Roman"/>
                <w:kern w:val="0"/>
                <w:szCs w:val="21"/>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10541" w:type="dxa"/>
            <w:gridSpan w:val="8"/>
            <w:tcBorders>
              <w:top w:val="nil"/>
              <w:left w:val="single" w:color="auto" w:sz="4" w:space="0"/>
              <w:bottom w:val="single" w:color="auto" w:sz="4" w:space="0"/>
              <w:right w:val="single" w:color="auto" w:sz="4" w:space="0"/>
            </w:tcBorders>
            <w:tcMar>
              <w:left w:w="108" w:type="dxa"/>
              <w:right w:w="108" w:type="dxa"/>
            </w:tcMar>
            <w:vAlign w:val="center"/>
          </w:tcPr>
          <w:p>
            <w:pPr>
              <w:pStyle w:val="26"/>
              <w:ind w:firstLine="0" w:firstLineChars="0"/>
              <w:rPr>
                <w:rFonts w:hAnsi="Times New Roman"/>
                <w:kern w:val="0"/>
                <w:szCs w:val="21"/>
              </w:rPr>
            </w:pPr>
            <w:r>
              <w:rPr>
                <w:rFonts w:hint="eastAsia" w:hAnsi="Times New Roman"/>
                <w:kern w:val="0"/>
                <w:szCs w:val="21"/>
              </w:rPr>
              <w:t>审查人员签名：                                     日期：</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10541" w:type="dxa"/>
            <w:gridSpan w:val="8"/>
            <w:tcBorders>
              <w:top w:val="nil"/>
              <w:left w:val="single" w:color="auto" w:sz="4" w:space="0"/>
              <w:bottom w:val="single" w:color="auto" w:sz="4" w:space="0"/>
              <w:right w:val="single" w:color="auto" w:sz="4" w:space="0"/>
            </w:tcBorders>
            <w:tcMar>
              <w:left w:w="108" w:type="dxa"/>
              <w:right w:w="108" w:type="dxa"/>
            </w:tcMar>
          </w:tcPr>
          <w:p>
            <w:pPr>
              <w:pStyle w:val="26"/>
              <w:ind w:firstLine="0" w:firstLineChars="0"/>
              <w:rPr>
                <w:rFonts w:hAnsi="Times New Roman"/>
                <w:kern w:val="0"/>
                <w:szCs w:val="21"/>
              </w:rPr>
            </w:pPr>
            <w:r>
              <w:rPr>
                <w:rFonts w:hint="eastAsia" w:hAnsi="Times New Roman"/>
                <w:kern w:val="0"/>
                <w:szCs w:val="21"/>
              </w:rPr>
              <w:t>注</w:t>
            </w:r>
          </w:p>
          <w:p>
            <w:pPr>
              <w:pStyle w:val="26"/>
              <w:ind w:firstLine="0" w:firstLineChars="0"/>
              <w:rPr>
                <w:rFonts w:hAnsi="Times New Roman"/>
                <w:kern w:val="0"/>
                <w:szCs w:val="21"/>
              </w:rPr>
            </w:pPr>
            <w:r>
              <w:rPr>
                <w:rFonts w:hAnsi="Times New Roman"/>
                <w:kern w:val="0"/>
                <w:szCs w:val="21"/>
              </w:rPr>
              <w:t>    </w:t>
            </w:r>
            <w:r>
              <w:rPr>
                <w:rFonts w:hint="eastAsia" w:hAnsi="Times New Roman"/>
                <w:kern w:val="0"/>
                <w:szCs w:val="21"/>
              </w:rPr>
              <w:t>1 在检查结果栏，按实际情况在相应的空格内打“√”（左列打“√”，视为合格；中列打“√”，视为基本合格；右列打“√”，视为不合格）。</w:t>
            </w:r>
          </w:p>
          <w:p>
            <w:pPr>
              <w:pStyle w:val="26"/>
              <w:ind w:firstLine="210" w:firstLineChars="100"/>
              <w:rPr>
                <w:rFonts w:hAnsi="Times New Roman"/>
                <w:kern w:val="0"/>
                <w:szCs w:val="21"/>
              </w:rPr>
            </w:pPr>
            <w:r>
              <w:rPr>
                <w:rFonts w:hint="eastAsia" w:hAnsi="Times New Roman"/>
                <w:kern w:val="0"/>
                <w:szCs w:val="21"/>
              </w:rPr>
              <w:t>2 审查结果统计：</w:t>
            </w:r>
            <w:r>
              <w:rPr>
                <w:rFonts w:hAnsi="Times New Roman"/>
                <w:kern w:val="0"/>
                <w:szCs w:val="21"/>
              </w:rPr>
              <w:t>Kz</w:t>
            </w:r>
            <w:r>
              <w:rPr>
                <w:rFonts w:hint="eastAsia" w:hAnsi="Times New Roman"/>
                <w:kern w:val="0"/>
                <w:szCs w:val="21"/>
              </w:rPr>
              <w:t>(合格率)＝[合格数＋基本合格数×0.6]/项目审查数(项目审查数如不作为要求的，不计在内)。</w:t>
            </w:r>
          </w:p>
          <w:p>
            <w:pPr>
              <w:pStyle w:val="26"/>
              <w:ind w:firstLine="0" w:firstLineChars="0"/>
              <w:rPr>
                <w:rFonts w:hAnsi="Times New Roman"/>
                <w:kern w:val="0"/>
                <w:szCs w:val="21"/>
              </w:rPr>
            </w:pPr>
            <w:r>
              <w:rPr>
                <w:rFonts w:hAnsi="Times New Roman"/>
                <w:kern w:val="0"/>
                <w:szCs w:val="21"/>
              </w:rPr>
              <w:t>    </w:t>
            </w:r>
            <w:r>
              <w:rPr>
                <w:rFonts w:hint="eastAsia" w:hAnsi="Times New Roman"/>
                <w:kern w:val="0"/>
                <w:szCs w:val="21"/>
              </w:rPr>
              <w:t>3 审查结论：</w:t>
            </w:r>
            <w:r>
              <w:rPr>
                <w:rFonts w:hAnsi="Times New Roman"/>
                <w:kern w:val="0"/>
                <w:szCs w:val="21"/>
              </w:rPr>
              <w:t>Kz</w:t>
            </w:r>
            <w:r>
              <w:rPr>
                <w:rFonts w:hint="eastAsia" w:hAnsi="Times New Roman"/>
                <w:kern w:val="0"/>
                <w:szCs w:val="21"/>
              </w:rPr>
              <w:t> (合格率)≥0.8，判为通过；0.8&gt; </w:t>
            </w:r>
            <w:r>
              <w:rPr>
                <w:rFonts w:hAnsi="Times New Roman"/>
                <w:kern w:val="0"/>
                <w:szCs w:val="21"/>
              </w:rPr>
              <w:t>Kz</w:t>
            </w:r>
            <w:r>
              <w:rPr>
                <w:rFonts w:hint="eastAsia" w:hAnsi="Times New Roman"/>
                <w:kern w:val="0"/>
                <w:szCs w:val="21"/>
              </w:rPr>
              <w:t> ≥0.6，判为基本通过；</w:t>
            </w:r>
            <w:r>
              <w:rPr>
                <w:rFonts w:hAnsi="Times New Roman"/>
                <w:kern w:val="0"/>
                <w:szCs w:val="21"/>
              </w:rPr>
              <w:t>Kz</w:t>
            </w:r>
            <w:r>
              <w:rPr>
                <w:rFonts w:hint="eastAsia" w:hAnsi="Times New Roman"/>
                <w:kern w:val="0"/>
                <w:szCs w:val="21"/>
              </w:rPr>
              <w:t> &lt; 0.6，判为不通过。</w:t>
            </w:r>
          </w:p>
        </w:tc>
      </w:tr>
    </w:tbl>
    <w:p>
      <w:pPr>
        <w:widowControl/>
        <w:jc w:val="left"/>
        <w:rPr>
          <w:szCs w:val="21"/>
        </w:rPr>
      </w:pPr>
    </w:p>
    <w:p>
      <w:pPr>
        <w:pStyle w:val="139"/>
      </w:pPr>
      <w:bookmarkStart w:id="819" w:name="_Toc872"/>
      <w:bookmarkStart w:id="820" w:name="_Toc31185"/>
      <w:bookmarkStart w:id="821" w:name="_Toc8099"/>
      <w:bookmarkStart w:id="822" w:name="_Toc22807"/>
      <w:bookmarkStart w:id="823" w:name="_Toc7549"/>
      <w:bookmarkStart w:id="824" w:name="_Toc5613"/>
      <w:bookmarkStart w:id="825" w:name="_Toc29095"/>
      <w:bookmarkStart w:id="826" w:name="_Toc10684"/>
      <w:bookmarkStart w:id="827" w:name="_Toc19169"/>
      <w:bookmarkStart w:id="828" w:name="_Toc29780"/>
      <w:r>
        <w:rPr>
          <w:rFonts w:hint="eastAsia"/>
        </w:rPr>
        <w:br w:type="textWrapping"/>
      </w:r>
      <w:r>
        <w:rPr>
          <w:rFonts w:hint="eastAsia"/>
        </w:rPr>
        <w:t>（规范性附录）</w:t>
      </w:r>
      <w:r>
        <w:br w:type="textWrapping"/>
      </w:r>
      <w:r>
        <w:rPr>
          <w:rFonts w:hint="eastAsia"/>
        </w:rPr>
        <w:t>杆件布设场景示意</w:t>
      </w:r>
      <w:bookmarkEnd w:id="819"/>
      <w:bookmarkEnd w:id="820"/>
      <w:bookmarkEnd w:id="821"/>
      <w:bookmarkEnd w:id="822"/>
      <w:bookmarkEnd w:id="823"/>
      <w:bookmarkEnd w:id="824"/>
      <w:bookmarkEnd w:id="825"/>
      <w:bookmarkEnd w:id="826"/>
      <w:bookmarkEnd w:id="827"/>
      <w:bookmarkEnd w:id="828"/>
    </w:p>
    <w:p>
      <w:pPr>
        <w:pStyle w:val="26"/>
        <w:ind w:firstLine="0" w:firstLineChars="0"/>
      </w:pPr>
      <w:r>
        <w:rPr>
          <w:rFonts w:hint="eastAsia"/>
        </w:rPr>
        <w:t>F.1 典型道路场景杆件布设示例</w:t>
      </w:r>
    </w:p>
    <w:p>
      <w:pPr>
        <w:pStyle w:val="26"/>
      </w:pPr>
      <w:r>
        <w:rPr>
          <w:rFonts w:hint="eastAsia"/>
        </w:rPr>
        <w:drawing>
          <wp:inline distT="0" distB="0" distL="0" distR="0">
            <wp:extent cx="5246370" cy="2658110"/>
            <wp:effectExtent l="19050" t="0" r="0" b="0"/>
            <wp:docPr id="14" name="图片 54" descr="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4" descr="素材"/>
                    <pic:cNvPicPr>
                      <a:picLocks noChangeAspect="1" noChangeArrowheads="1"/>
                    </pic:cNvPicPr>
                  </pic:nvPicPr>
                  <pic:blipFill>
                    <a:blip r:embed="rId29" cstate="print"/>
                    <a:srcRect/>
                    <a:stretch>
                      <a:fillRect/>
                    </a:stretch>
                  </pic:blipFill>
                  <pic:spPr>
                    <a:xfrm>
                      <a:off x="0" y="0"/>
                      <a:ext cx="5246370" cy="2658110"/>
                    </a:xfrm>
                    <a:prstGeom prst="rect">
                      <a:avLst/>
                    </a:prstGeom>
                    <a:noFill/>
                    <a:ln w="9525" cmpd="sng">
                      <a:noFill/>
                      <a:miter lim="800000"/>
                      <a:headEnd/>
                      <a:tailEnd/>
                    </a:ln>
                  </pic:spPr>
                </pic:pic>
              </a:graphicData>
            </a:graphic>
          </wp:inline>
        </w:drawing>
      </w:r>
    </w:p>
    <w:p>
      <w:pPr>
        <w:pStyle w:val="26"/>
        <w:ind w:firstLine="0" w:firstLineChars="0"/>
      </w:pPr>
      <w:r>
        <w:rPr>
          <w:rFonts w:hint="eastAsia"/>
        </w:rPr>
        <w:t>A.2 典型路口布设区域杆件布设示例</w:t>
      </w:r>
    </w:p>
    <w:p>
      <w:pPr>
        <w:pStyle w:val="26"/>
        <w:ind w:firstLine="0" w:firstLineChars="0"/>
        <w:jc w:val="center"/>
      </w:pPr>
      <w:r>
        <w:rPr>
          <w:rFonts w:hint="eastAsia"/>
        </w:rPr>
        <w:drawing>
          <wp:inline distT="0" distB="0" distL="0" distR="0">
            <wp:extent cx="5099050" cy="4625975"/>
            <wp:effectExtent l="19050" t="0" r="6350" b="0"/>
            <wp:docPr id="1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9"/>
                    <pic:cNvPicPr>
                      <a:picLocks noChangeAspect="1" noChangeArrowheads="1"/>
                    </pic:cNvPicPr>
                  </pic:nvPicPr>
                  <pic:blipFill>
                    <a:blip r:embed="rId30" cstate="print"/>
                    <a:srcRect/>
                    <a:stretch>
                      <a:fillRect/>
                    </a:stretch>
                  </pic:blipFill>
                  <pic:spPr>
                    <a:xfrm>
                      <a:off x="0" y="0"/>
                      <a:ext cx="5099050" cy="4625975"/>
                    </a:xfrm>
                    <a:prstGeom prst="rect">
                      <a:avLst/>
                    </a:prstGeom>
                    <a:noFill/>
                    <a:ln w="9525" cmpd="sng">
                      <a:noFill/>
                      <a:miter lim="800000"/>
                      <a:headEnd/>
                      <a:tailEnd/>
                    </a:ln>
                    <a:effectLst/>
                  </pic:spPr>
                </pic:pic>
              </a:graphicData>
            </a:graphic>
          </wp:inline>
        </w:drawing>
      </w:r>
    </w:p>
    <w:p>
      <w:pPr>
        <w:pStyle w:val="26"/>
        <w:ind w:firstLine="0" w:firstLineChars="0"/>
      </w:pPr>
      <w:r>
        <w:rPr>
          <w:rFonts w:hint="eastAsia"/>
        </w:rPr>
        <w:t>F.3 典型横断面杆件布设示例</w:t>
      </w:r>
    </w:p>
    <w:p>
      <w:pPr>
        <w:pStyle w:val="26"/>
        <w:ind w:firstLine="0" w:firstLineChars="0"/>
      </w:pPr>
      <w:r>
        <w:rPr>
          <w:rFonts w:hint="eastAsia"/>
        </w:rPr>
        <w:t>（1）有中分带和机非分隔带</w:t>
      </w:r>
    </w:p>
    <w:p>
      <w:pPr>
        <w:pStyle w:val="26"/>
        <w:ind w:firstLine="0" w:firstLineChars="0"/>
      </w:pPr>
      <w:r>
        <w:rPr>
          <w:rFonts w:hint="eastAsia"/>
        </w:rPr>
        <w:drawing>
          <wp:inline distT="0" distB="0" distL="0" distR="0">
            <wp:extent cx="5935980" cy="1557655"/>
            <wp:effectExtent l="19050" t="0" r="7620" b="0"/>
            <wp:docPr id="1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
                    <pic:cNvPicPr>
                      <a:picLocks noChangeAspect="1" noChangeArrowheads="1"/>
                    </pic:cNvPicPr>
                  </pic:nvPicPr>
                  <pic:blipFill>
                    <a:blip r:embed="rId31" cstate="print"/>
                    <a:srcRect/>
                    <a:stretch>
                      <a:fillRect/>
                    </a:stretch>
                  </pic:blipFill>
                  <pic:spPr>
                    <a:xfrm>
                      <a:off x="0" y="0"/>
                      <a:ext cx="5935980" cy="1557655"/>
                    </a:xfrm>
                    <a:prstGeom prst="rect">
                      <a:avLst/>
                    </a:prstGeom>
                    <a:noFill/>
                    <a:ln w="9525" cmpd="sng">
                      <a:noFill/>
                      <a:miter lim="800000"/>
                      <a:headEnd/>
                      <a:tailEnd/>
                    </a:ln>
                  </pic:spPr>
                </pic:pic>
              </a:graphicData>
            </a:graphic>
          </wp:inline>
        </w:drawing>
      </w:r>
    </w:p>
    <w:p>
      <w:pPr>
        <w:pStyle w:val="26"/>
        <w:ind w:firstLine="0" w:firstLineChars="0"/>
      </w:pPr>
      <w:r>
        <w:rPr>
          <w:rFonts w:hint="eastAsia"/>
        </w:rPr>
        <w:t>（2）有中分带，无机非分隔带</w:t>
      </w:r>
    </w:p>
    <w:p>
      <w:pPr>
        <w:pStyle w:val="26"/>
        <w:ind w:firstLine="0" w:firstLineChars="0"/>
      </w:pPr>
      <w:r>
        <w:rPr>
          <w:rFonts w:hint="eastAsia"/>
        </w:rPr>
        <w:drawing>
          <wp:inline distT="0" distB="0" distL="0" distR="0">
            <wp:extent cx="5935980" cy="1464310"/>
            <wp:effectExtent l="19050" t="0" r="7620" b="0"/>
            <wp:docPr id="1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pic:cNvPicPr>
                      <a:picLocks noChangeAspect="1" noChangeArrowheads="1"/>
                    </pic:cNvPicPr>
                  </pic:nvPicPr>
                  <pic:blipFill>
                    <a:blip r:embed="rId32" cstate="print"/>
                    <a:srcRect/>
                    <a:stretch>
                      <a:fillRect/>
                    </a:stretch>
                  </pic:blipFill>
                  <pic:spPr>
                    <a:xfrm>
                      <a:off x="0" y="0"/>
                      <a:ext cx="5935980" cy="1464310"/>
                    </a:xfrm>
                    <a:prstGeom prst="rect">
                      <a:avLst/>
                    </a:prstGeom>
                    <a:noFill/>
                    <a:ln w="9525" cmpd="sng">
                      <a:noFill/>
                      <a:miter lim="800000"/>
                      <a:headEnd/>
                      <a:tailEnd/>
                    </a:ln>
                  </pic:spPr>
                </pic:pic>
              </a:graphicData>
            </a:graphic>
          </wp:inline>
        </w:drawing>
      </w:r>
    </w:p>
    <w:p>
      <w:pPr>
        <w:pStyle w:val="26"/>
        <w:ind w:firstLine="0" w:firstLineChars="0"/>
      </w:pPr>
      <w:r>
        <w:rPr>
          <w:rFonts w:hint="eastAsia"/>
        </w:rPr>
        <w:t>（3）无中分带，有机非分隔带</w:t>
      </w:r>
    </w:p>
    <w:p>
      <w:pPr>
        <w:pStyle w:val="26"/>
        <w:ind w:firstLine="0" w:firstLineChars="0"/>
      </w:pPr>
      <w:r>
        <w:rPr>
          <w:rFonts w:hint="eastAsia"/>
        </w:rPr>
        <w:drawing>
          <wp:inline distT="0" distB="0" distL="0" distR="0">
            <wp:extent cx="5928360" cy="1627505"/>
            <wp:effectExtent l="19050" t="0" r="0" b="0"/>
            <wp:docPr id="1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
                    <pic:cNvPicPr>
                      <a:picLocks noChangeAspect="1" noChangeArrowheads="1"/>
                    </pic:cNvPicPr>
                  </pic:nvPicPr>
                  <pic:blipFill>
                    <a:blip r:embed="rId33" cstate="print"/>
                    <a:srcRect/>
                    <a:stretch>
                      <a:fillRect/>
                    </a:stretch>
                  </pic:blipFill>
                  <pic:spPr>
                    <a:xfrm>
                      <a:off x="0" y="0"/>
                      <a:ext cx="5928360" cy="1627505"/>
                    </a:xfrm>
                    <a:prstGeom prst="rect">
                      <a:avLst/>
                    </a:prstGeom>
                    <a:noFill/>
                    <a:ln w="9525" cmpd="sng">
                      <a:noFill/>
                      <a:miter lim="800000"/>
                      <a:headEnd/>
                      <a:tailEnd/>
                    </a:ln>
                  </pic:spPr>
                </pic:pic>
              </a:graphicData>
            </a:graphic>
          </wp:inline>
        </w:drawing>
      </w:r>
    </w:p>
    <w:p>
      <w:pPr>
        <w:pStyle w:val="26"/>
        <w:numPr>
          <w:ilvl w:val="0"/>
          <w:numId w:val="42"/>
        </w:numPr>
        <w:ind w:firstLine="0" w:firstLineChars="0"/>
      </w:pPr>
      <w:r>
        <w:rPr>
          <w:rFonts w:hint="eastAsia"/>
        </w:rPr>
        <w:t>防撞护栏的机非分隔带</w:t>
      </w:r>
    </w:p>
    <w:p>
      <w:pPr>
        <w:pStyle w:val="26"/>
        <w:ind w:firstLine="0" w:firstLineChars="0"/>
      </w:pPr>
      <w:r>
        <w:rPr>
          <w:rFonts w:hint="eastAsia"/>
        </w:rPr>
        <w:drawing>
          <wp:inline distT="0" distB="0" distL="0" distR="0">
            <wp:extent cx="5935980" cy="2077085"/>
            <wp:effectExtent l="19050" t="0" r="7620" b="0"/>
            <wp:docPr id="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pic:cNvPicPr>
                      <a:picLocks noChangeAspect="1" noChangeArrowheads="1"/>
                    </pic:cNvPicPr>
                  </pic:nvPicPr>
                  <pic:blipFill>
                    <a:blip r:embed="rId34" cstate="print"/>
                    <a:srcRect/>
                    <a:stretch>
                      <a:fillRect/>
                    </a:stretch>
                  </pic:blipFill>
                  <pic:spPr>
                    <a:xfrm>
                      <a:off x="0" y="0"/>
                      <a:ext cx="5935980" cy="2077085"/>
                    </a:xfrm>
                    <a:prstGeom prst="rect">
                      <a:avLst/>
                    </a:prstGeom>
                    <a:noFill/>
                    <a:ln w="9525" cmpd="sng">
                      <a:noFill/>
                      <a:miter lim="800000"/>
                      <a:headEnd/>
                      <a:tailEnd/>
                    </a:ln>
                  </pic:spPr>
                </pic:pic>
              </a:graphicData>
            </a:graphic>
          </wp:inline>
        </w:drawing>
      </w:r>
    </w:p>
    <w:p>
      <w:pPr>
        <w:pStyle w:val="26"/>
        <w:ind w:firstLine="0" w:firstLineChars="0"/>
      </w:pPr>
    </w:p>
    <w:p>
      <w:pPr>
        <w:pStyle w:val="26"/>
        <w:numPr>
          <w:ilvl w:val="0"/>
          <w:numId w:val="42"/>
        </w:numPr>
        <w:ind w:firstLine="0" w:firstLineChars="0"/>
      </w:pPr>
      <w:r>
        <w:rPr>
          <w:rFonts w:hint="eastAsia"/>
        </w:rPr>
        <w:t>双侧路灯无分隔带</w:t>
      </w:r>
    </w:p>
    <w:p>
      <w:pPr>
        <w:pStyle w:val="26"/>
        <w:ind w:firstLine="0" w:firstLineChars="0"/>
      </w:pPr>
      <w:r>
        <w:drawing>
          <wp:inline distT="0" distB="0" distL="0" distR="0">
            <wp:extent cx="5928360" cy="1867535"/>
            <wp:effectExtent l="19050" t="0" r="0" b="0"/>
            <wp:docPr id="2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6"/>
                    <pic:cNvPicPr>
                      <a:picLocks noChangeAspect="1" noChangeArrowheads="1"/>
                    </pic:cNvPicPr>
                  </pic:nvPicPr>
                  <pic:blipFill>
                    <a:blip r:embed="rId35" cstate="print"/>
                    <a:srcRect/>
                    <a:stretch>
                      <a:fillRect/>
                    </a:stretch>
                  </pic:blipFill>
                  <pic:spPr>
                    <a:xfrm>
                      <a:off x="0" y="0"/>
                      <a:ext cx="5928360" cy="1867535"/>
                    </a:xfrm>
                    <a:prstGeom prst="rect">
                      <a:avLst/>
                    </a:prstGeom>
                    <a:noFill/>
                    <a:ln w="9525" cmpd="sng">
                      <a:noFill/>
                      <a:miter lim="800000"/>
                      <a:headEnd/>
                      <a:tailEnd/>
                    </a:ln>
                  </pic:spPr>
                </pic:pic>
              </a:graphicData>
            </a:graphic>
          </wp:inline>
        </w:drawing>
      </w:r>
    </w:p>
    <w:p>
      <w:pPr>
        <w:pStyle w:val="26"/>
        <w:numPr>
          <w:ilvl w:val="0"/>
          <w:numId w:val="42"/>
        </w:numPr>
        <w:ind w:firstLine="0" w:firstLineChars="0"/>
      </w:pPr>
      <w:r>
        <w:rPr>
          <w:rFonts w:hint="eastAsia"/>
        </w:rPr>
        <w:t>单侧路灯无分隔带</w:t>
      </w:r>
    </w:p>
    <w:p>
      <w:pPr>
        <w:pStyle w:val="26"/>
        <w:ind w:firstLine="0" w:firstLineChars="0"/>
      </w:pPr>
      <w:r>
        <w:drawing>
          <wp:inline distT="0" distB="0" distL="0" distR="0">
            <wp:extent cx="5935980" cy="2232025"/>
            <wp:effectExtent l="19050" t="0" r="7620" b="0"/>
            <wp:docPr id="2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7"/>
                    <pic:cNvPicPr>
                      <a:picLocks noChangeAspect="1" noChangeArrowheads="1"/>
                    </pic:cNvPicPr>
                  </pic:nvPicPr>
                  <pic:blipFill>
                    <a:blip r:embed="rId36" cstate="print"/>
                    <a:srcRect/>
                    <a:stretch>
                      <a:fillRect/>
                    </a:stretch>
                  </pic:blipFill>
                  <pic:spPr>
                    <a:xfrm>
                      <a:off x="0" y="0"/>
                      <a:ext cx="5935980" cy="2232025"/>
                    </a:xfrm>
                    <a:prstGeom prst="rect">
                      <a:avLst/>
                    </a:prstGeom>
                    <a:noFill/>
                    <a:ln w="9525" cmpd="sng">
                      <a:noFill/>
                      <a:miter lim="800000"/>
                      <a:headEnd/>
                      <a:tailEnd/>
                    </a:ln>
                  </pic:spPr>
                </pic:pic>
              </a:graphicData>
            </a:graphic>
          </wp:inline>
        </w:drawing>
      </w:r>
    </w:p>
    <w:p>
      <w:pPr>
        <w:pStyle w:val="139"/>
        <w:rPr>
          <w:color w:val="000000"/>
        </w:rPr>
      </w:pPr>
      <w:r>
        <w:rPr>
          <w:rFonts w:hint="eastAsia"/>
        </w:rPr>
        <w:br w:type="page"/>
      </w:r>
      <w:bookmarkStart w:id="829" w:name="_Toc6668"/>
      <w:bookmarkStart w:id="830" w:name="_Toc20842"/>
      <w:bookmarkStart w:id="831" w:name="_Toc9592"/>
      <w:bookmarkStart w:id="832" w:name="_Toc22583"/>
      <w:bookmarkStart w:id="833" w:name="_Toc7667"/>
      <w:bookmarkStart w:id="834" w:name="_Toc4326"/>
      <w:bookmarkStart w:id="835" w:name="_Toc4667"/>
      <w:bookmarkStart w:id="836" w:name="_Toc20409"/>
      <w:bookmarkStart w:id="837" w:name="_Toc27934"/>
      <w:bookmarkStart w:id="838" w:name="_Toc2289"/>
      <w:r>
        <w:rPr>
          <w:rFonts w:hint="eastAsia"/>
          <w:color w:val="000000"/>
        </w:rPr>
        <w:br w:type="textWrapping"/>
      </w:r>
      <w:r>
        <w:rPr>
          <w:rFonts w:hint="eastAsia"/>
          <w:color w:val="000000"/>
        </w:rPr>
        <w:t>（规范性附录）</w:t>
      </w:r>
      <w:r>
        <w:rPr>
          <w:color w:val="000000"/>
        </w:rPr>
        <w:br w:type="textWrapping"/>
      </w:r>
      <w:r>
        <w:rPr>
          <w:rFonts w:hint="eastAsia"/>
          <w:color w:val="000000"/>
        </w:rPr>
        <w:t>江西省主要城市风压基本值</w:t>
      </w:r>
      <w:bookmarkEnd w:id="829"/>
      <w:bookmarkEnd w:id="830"/>
      <w:bookmarkEnd w:id="831"/>
      <w:bookmarkEnd w:id="832"/>
      <w:bookmarkEnd w:id="833"/>
      <w:bookmarkEnd w:id="834"/>
      <w:bookmarkEnd w:id="835"/>
      <w:bookmarkEnd w:id="836"/>
      <w:bookmarkEnd w:id="837"/>
      <w:bookmarkEnd w:id="838"/>
    </w:p>
    <w:tbl>
      <w:tblPr>
        <w:tblStyle w:val="37"/>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096"/>
        <w:gridCol w:w="1295"/>
        <w:gridCol w:w="1979"/>
        <w:gridCol w:w="1979"/>
        <w:gridCol w:w="2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省市名</w:t>
            </w:r>
          </w:p>
        </w:tc>
        <w:tc>
          <w:tcPr>
            <w:tcW w:w="0" w:type="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城市名</w:t>
            </w:r>
          </w:p>
        </w:tc>
        <w:tc>
          <w:tcPr>
            <w:tcW w:w="0" w:type="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海拔高度(m)</w:t>
            </w:r>
          </w:p>
        </w:tc>
        <w:tc>
          <w:tcPr>
            <w:tcW w:w="0" w:type="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10年一遇风压(KN/m</w:t>
            </w:r>
            <w:r>
              <w:rPr>
                <w:rFonts w:hint="eastAsia" w:ascii="宋体" w:hAnsi="宋体" w:cs="宋体"/>
                <w:color w:val="000000"/>
                <w:kern w:val="0"/>
                <w:sz w:val="22"/>
                <w:vertAlign w:val="superscript"/>
              </w:rPr>
              <w:t>2</w:t>
            </w:r>
            <w:r>
              <w:rPr>
                <w:rFonts w:hint="eastAsia" w:ascii="宋体" w:hAnsi="宋体" w:cs="宋体"/>
                <w:color w:val="000000"/>
                <w:kern w:val="0"/>
                <w:sz w:val="22"/>
              </w:rPr>
              <w:t>)</w:t>
            </w:r>
          </w:p>
        </w:tc>
        <w:tc>
          <w:tcPr>
            <w:tcW w:w="0" w:type="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50年一遇风压(KN/m</w:t>
            </w:r>
            <w:r>
              <w:rPr>
                <w:rFonts w:hint="eastAsia" w:ascii="宋体" w:hAnsi="宋体" w:cs="宋体"/>
                <w:color w:val="000000"/>
                <w:kern w:val="0"/>
                <w:sz w:val="22"/>
                <w:vertAlign w:val="superscript"/>
              </w:rPr>
              <w:t>2</w:t>
            </w:r>
            <w:r>
              <w:rPr>
                <w:rFonts w:hint="eastAsia" w:ascii="宋体" w:hAnsi="宋体" w:cs="宋体"/>
                <w:color w:val="000000"/>
                <w:kern w:val="0"/>
                <w:sz w:val="22"/>
              </w:rPr>
              <w:t>)</w:t>
            </w:r>
          </w:p>
        </w:tc>
        <w:tc>
          <w:tcPr>
            <w:tcW w:w="0" w:type="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100年一年遇风压(KN/m</w:t>
            </w:r>
            <w:r>
              <w:rPr>
                <w:rFonts w:hint="eastAsia" w:ascii="宋体" w:hAnsi="宋体" w:cs="宋体"/>
                <w:color w:val="000000"/>
                <w:kern w:val="0"/>
                <w:sz w:val="22"/>
                <w:vertAlign w:val="superscript"/>
              </w:rPr>
              <w:t>2</w:t>
            </w:r>
            <w:r>
              <w:rPr>
                <w:rFonts w:hint="eastAsia" w:ascii="宋体" w:hAnsi="宋体" w:cs="宋体"/>
                <w:color w:val="000000"/>
                <w:kern w:val="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vMerge w:val="restart"/>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江西</w:t>
            </w:r>
          </w:p>
        </w:tc>
        <w:tc>
          <w:tcPr>
            <w:tcW w:w="0" w:type="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南昌市</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46.7</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0.30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0.45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vMerge w:val="continue"/>
            <w:vAlign w:val="center"/>
          </w:tcPr>
          <w:p>
            <w:pPr>
              <w:widowControl/>
              <w:jc w:val="left"/>
              <w:rPr>
                <w:rFonts w:ascii="宋体" w:hAnsi="宋体" w:cs="宋体"/>
                <w:color w:val="000000"/>
                <w:kern w:val="0"/>
                <w:sz w:val="22"/>
              </w:rPr>
            </w:pPr>
          </w:p>
        </w:tc>
        <w:tc>
          <w:tcPr>
            <w:tcW w:w="0" w:type="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修水</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146.8</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0.20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0.30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vMerge w:val="continue"/>
            <w:vAlign w:val="center"/>
          </w:tcPr>
          <w:p>
            <w:pPr>
              <w:widowControl/>
              <w:jc w:val="left"/>
              <w:rPr>
                <w:rFonts w:ascii="宋体" w:hAnsi="宋体" w:cs="宋体"/>
                <w:color w:val="000000"/>
                <w:kern w:val="0"/>
                <w:sz w:val="22"/>
              </w:rPr>
            </w:pPr>
          </w:p>
        </w:tc>
        <w:tc>
          <w:tcPr>
            <w:tcW w:w="0" w:type="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宜春市</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131.3</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0.20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0.30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vMerge w:val="continue"/>
            <w:vAlign w:val="center"/>
          </w:tcPr>
          <w:p>
            <w:pPr>
              <w:widowControl/>
              <w:jc w:val="left"/>
              <w:rPr>
                <w:rFonts w:ascii="宋体" w:hAnsi="宋体" w:cs="宋体"/>
                <w:color w:val="000000"/>
                <w:kern w:val="0"/>
                <w:sz w:val="22"/>
              </w:rPr>
            </w:pPr>
          </w:p>
        </w:tc>
        <w:tc>
          <w:tcPr>
            <w:tcW w:w="0" w:type="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吉安</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76.4</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0.25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0.30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vMerge w:val="continue"/>
            <w:vAlign w:val="center"/>
          </w:tcPr>
          <w:p>
            <w:pPr>
              <w:widowControl/>
              <w:jc w:val="left"/>
              <w:rPr>
                <w:rFonts w:ascii="宋体" w:hAnsi="宋体" w:cs="宋体"/>
                <w:color w:val="000000"/>
                <w:kern w:val="0"/>
                <w:sz w:val="22"/>
              </w:rPr>
            </w:pPr>
          </w:p>
        </w:tc>
        <w:tc>
          <w:tcPr>
            <w:tcW w:w="0" w:type="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宁冈</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263.1</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0.20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0.30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vMerge w:val="continue"/>
            <w:vAlign w:val="center"/>
          </w:tcPr>
          <w:p>
            <w:pPr>
              <w:widowControl/>
              <w:jc w:val="left"/>
              <w:rPr>
                <w:rFonts w:ascii="宋体" w:hAnsi="宋体" w:cs="宋体"/>
                <w:color w:val="000000"/>
                <w:kern w:val="0"/>
                <w:sz w:val="22"/>
              </w:rPr>
            </w:pPr>
          </w:p>
        </w:tc>
        <w:tc>
          <w:tcPr>
            <w:tcW w:w="0" w:type="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送川</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126.1</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0.20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0.30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vMerge w:val="continue"/>
            <w:vAlign w:val="center"/>
          </w:tcPr>
          <w:p>
            <w:pPr>
              <w:widowControl/>
              <w:jc w:val="left"/>
              <w:rPr>
                <w:rFonts w:ascii="宋体" w:hAnsi="宋体" w:cs="宋体"/>
                <w:color w:val="000000"/>
                <w:kern w:val="0"/>
                <w:sz w:val="22"/>
              </w:rPr>
            </w:pPr>
          </w:p>
        </w:tc>
        <w:tc>
          <w:tcPr>
            <w:tcW w:w="0" w:type="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韩州市</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123.8</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0.20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0.30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vMerge w:val="continue"/>
            <w:vAlign w:val="center"/>
          </w:tcPr>
          <w:p>
            <w:pPr>
              <w:widowControl/>
              <w:jc w:val="left"/>
              <w:rPr>
                <w:rFonts w:ascii="宋体" w:hAnsi="宋体" w:cs="宋体"/>
                <w:color w:val="000000"/>
                <w:kern w:val="0"/>
                <w:sz w:val="22"/>
              </w:rPr>
            </w:pPr>
          </w:p>
        </w:tc>
        <w:tc>
          <w:tcPr>
            <w:tcW w:w="0" w:type="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九江</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36.1</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0.25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0.35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vMerge w:val="continue"/>
            <w:vAlign w:val="center"/>
          </w:tcPr>
          <w:p>
            <w:pPr>
              <w:widowControl/>
              <w:jc w:val="left"/>
              <w:rPr>
                <w:rFonts w:ascii="宋体" w:hAnsi="宋体" w:cs="宋体"/>
                <w:color w:val="000000"/>
                <w:kern w:val="0"/>
                <w:sz w:val="22"/>
              </w:rPr>
            </w:pPr>
          </w:p>
        </w:tc>
        <w:tc>
          <w:tcPr>
            <w:tcW w:w="0" w:type="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庐山</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1164.5</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0.40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0.55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vMerge w:val="continue"/>
            <w:vAlign w:val="center"/>
          </w:tcPr>
          <w:p>
            <w:pPr>
              <w:widowControl/>
              <w:jc w:val="left"/>
              <w:rPr>
                <w:rFonts w:ascii="宋体" w:hAnsi="宋体" w:cs="宋体"/>
                <w:color w:val="000000"/>
                <w:kern w:val="0"/>
                <w:sz w:val="22"/>
              </w:rPr>
            </w:pPr>
          </w:p>
        </w:tc>
        <w:tc>
          <w:tcPr>
            <w:tcW w:w="0" w:type="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波阳</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40.1</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0.25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0.40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vMerge w:val="continue"/>
            <w:vAlign w:val="center"/>
          </w:tcPr>
          <w:p>
            <w:pPr>
              <w:widowControl/>
              <w:jc w:val="left"/>
              <w:rPr>
                <w:rFonts w:ascii="宋体" w:hAnsi="宋体" w:cs="宋体"/>
                <w:color w:val="000000"/>
                <w:kern w:val="0"/>
                <w:sz w:val="22"/>
              </w:rPr>
            </w:pPr>
          </w:p>
        </w:tc>
        <w:tc>
          <w:tcPr>
            <w:tcW w:w="0" w:type="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景德镇市</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61.5</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0.25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0.35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vMerge w:val="continue"/>
            <w:vAlign w:val="center"/>
          </w:tcPr>
          <w:p>
            <w:pPr>
              <w:widowControl/>
              <w:jc w:val="left"/>
              <w:rPr>
                <w:rFonts w:ascii="宋体" w:hAnsi="宋体" w:cs="宋体"/>
                <w:color w:val="000000"/>
                <w:kern w:val="0"/>
                <w:sz w:val="22"/>
              </w:rPr>
            </w:pPr>
          </w:p>
        </w:tc>
        <w:tc>
          <w:tcPr>
            <w:tcW w:w="0" w:type="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棒树市</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30.4</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0.20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0.30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vMerge w:val="continue"/>
            <w:vAlign w:val="center"/>
          </w:tcPr>
          <w:p>
            <w:pPr>
              <w:widowControl/>
              <w:jc w:val="left"/>
              <w:rPr>
                <w:rFonts w:ascii="宋体" w:hAnsi="宋体" w:cs="宋体"/>
                <w:color w:val="000000"/>
                <w:kern w:val="0"/>
                <w:sz w:val="22"/>
              </w:rPr>
            </w:pPr>
          </w:p>
        </w:tc>
        <w:tc>
          <w:tcPr>
            <w:tcW w:w="0" w:type="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贵溪</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51.2</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0.20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0.30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vMerge w:val="continue"/>
            <w:vAlign w:val="center"/>
          </w:tcPr>
          <w:p>
            <w:pPr>
              <w:widowControl/>
              <w:jc w:val="left"/>
              <w:rPr>
                <w:rFonts w:ascii="宋体" w:hAnsi="宋体" w:cs="宋体"/>
                <w:color w:val="000000"/>
                <w:kern w:val="0"/>
                <w:sz w:val="22"/>
              </w:rPr>
            </w:pPr>
          </w:p>
        </w:tc>
        <w:tc>
          <w:tcPr>
            <w:tcW w:w="0" w:type="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玉山</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116.3</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0.20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0.30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vMerge w:val="continue"/>
            <w:vAlign w:val="center"/>
          </w:tcPr>
          <w:p>
            <w:pPr>
              <w:widowControl/>
              <w:jc w:val="left"/>
              <w:rPr>
                <w:rFonts w:ascii="宋体" w:hAnsi="宋体" w:cs="宋体"/>
                <w:color w:val="000000"/>
                <w:kern w:val="0"/>
                <w:sz w:val="22"/>
              </w:rPr>
            </w:pPr>
          </w:p>
        </w:tc>
        <w:tc>
          <w:tcPr>
            <w:tcW w:w="0" w:type="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南城</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80.8</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0.25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0.30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vMerge w:val="continue"/>
            <w:vAlign w:val="center"/>
          </w:tcPr>
          <w:p>
            <w:pPr>
              <w:widowControl/>
              <w:jc w:val="left"/>
              <w:rPr>
                <w:rFonts w:ascii="宋体" w:hAnsi="宋体" w:cs="宋体"/>
                <w:color w:val="000000"/>
                <w:kern w:val="0"/>
                <w:sz w:val="22"/>
              </w:rPr>
            </w:pPr>
          </w:p>
        </w:tc>
        <w:tc>
          <w:tcPr>
            <w:tcW w:w="0" w:type="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广昌</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143.8</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0.20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0.30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vMerge w:val="continue"/>
            <w:vAlign w:val="center"/>
          </w:tcPr>
          <w:p>
            <w:pPr>
              <w:widowControl/>
              <w:jc w:val="left"/>
              <w:rPr>
                <w:rFonts w:ascii="宋体" w:hAnsi="宋体" w:cs="宋体"/>
                <w:color w:val="000000"/>
                <w:kern w:val="0"/>
                <w:sz w:val="22"/>
              </w:rPr>
            </w:pPr>
          </w:p>
        </w:tc>
        <w:tc>
          <w:tcPr>
            <w:tcW w:w="0" w:type="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寻乌</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303.9</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0.25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0.30 </w:t>
            </w:r>
          </w:p>
        </w:tc>
        <w:tc>
          <w:tcPr>
            <w:tcW w:w="0" w:type="auto"/>
            <w:noWrap/>
            <w:vAlign w:val="bottom"/>
          </w:tcPr>
          <w:p>
            <w:pPr>
              <w:widowControl/>
              <w:jc w:val="center"/>
              <w:rPr>
                <w:rFonts w:ascii="宋体" w:hAnsi="宋体" w:cs="宋体"/>
                <w:color w:val="000000"/>
                <w:kern w:val="0"/>
                <w:sz w:val="22"/>
              </w:rPr>
            </w:pPr>
            <w:r>
              <w:rPr>
                <w:rFonts w:hint="eastAsia" w:ascii="宋体" w:hAnsi="宋体" w:cs="宋体"/>
                <w:color w:val="000000"/>
                <w:kern w:val="0"/>
                <w:sz w:val="22"/>
              </w:rPr>
              <w:t xml:space="preserve">0.35 </w:t>
            </w:r>
          </w:p>
        </w:tc>
      </w:tr>
    </w:tbl>
    <w:p>
      <w:pPr>
        <w:keepNext/>
        <w:keepLines/>
        <w:pageBreakBefore/>
        <w:spacing w:before="340" w:after="330" w:line="360" w:lineRule="auto"/>
        <w:jc w:val="center"/>
        <w:outlineLvl w:val="0"/>
        <w:rPr>
          <w:rFonts w:ascii="宋体" w:hAnsi="宋体"/>
          <w:b/>
          <w:bCs/>
          <w:kern w:val="44"/>
          <w:sz w:val="32"/>
          <w:szCs w:val="32"/>
        </w:rPr>
      </w:pPr>
      <w:bookmarkStart w:id="839" w:name="_Toc524006240"/>
      <w:bookmarkStart w:id="840" w:name="_Toc14930"/>
      <w:bookmarkStart w:id="841" w:name="_Toc523996409"/>
      <w:bookmarkStart w:id="842" w:name="_Toc14676"/>
      <w:bookmarkStart w:id="843" w:name="_Toc21950"/>
      <w:bookmarkStart w:id="844" w:name="_Toc5702"/>
      <w:bookmarkStart w:id="845" w:name="_Toc523933245"/>
      <w:bookmarkStart w:id="846" w:name="_Toc20680"/>
      <w:bookmarkStart w:id="847" w:name="_Toc15352"/>
      <w:bookmarkStart w:id="848" w:name="_Toc16083426"/>
      <w:bookmarkStart w:id="849" w:name="_Toc9347"/>
      <w:bookmarkStart w:id="850" w:name="_Toc12283477"/>
      <w:bookmarkStart w:id="851" w:name="_Toc14754"/>
      <w:bookmarkStart w:id="852" w:name="_Toc12440724"/>
      <w:bookmarkStart w:id="853" w:name="_Toc19466"/>
      <w:bookmarkStart w:id="854" w:name="_Toc4569"/>
      <w:r>
        <w:rPr>
          <w:rFonts w:hint="eastAsia" w:ascii="黑体" w:hAnsi="黑体" w:eastAsia="黑体"/>
          <w:b/>
          <w:bCs/>
          <w:kern w:val="44"/>
          <w:sz w:val="28"/>
          <w:szCs w:val="28"/>
        </w:rPr>
        <w:t>本标准用词说明</w:t>
      </w:r>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pPr>
        <w:spacing w:line="360" w:lineRule="auto"/>
        <w:ind w:firstLine="420" w:firstLineChars="200"/>
        <w:rPr>
          <w:rFonts w:ascii="宋体" w:hAnsi="宋体"/>
          <w:szCs w:val="21"/>
        </w:rPr>
      </w:pPr>
      <w:r>
        <w:rPr>
          <w:rFonts w:ascii="黑体" w:hAnsi="黑体" w:eastAsia="黑体"/>
          <w:szCs w:val="21"/>
        </w:rPr>
        <w:t>1</w:t>
      </w:r>
      <w:r>
        <w:rPr>
          <w:rFonts w:hint="eastAsia" w:ascii="宋体" w:hAnsi="宋体"/>
          <w:szCs w:val="21"/>
        </w:rPr>
        <w:t>　为便于在执行本标准条文时区别对待，对要求严格程度不同的用词说明如下：</w:t>
      </w:r>
    </w:p>
    <w:p>
      <w:pPr>
        <w:spacing w:line="360" w:lineRule="auto"/>
        <w:ind w:firstLine="743" w:firstLineChars="354"/>
        <w:rPr>
          <w:rFonts w:ascii="宋体" w:hAnsi="宋体"/>
          <w:szCs w:val="21"/>
        </w:rPr>
      </w:pPr>
      <w:r>
        <w:rPr>
          <w:rFonts w:ascii="黑体" w:hAnsi="黑体" w:eastAsia="黑体"/>
          <w:szCs w:val="21"/>
        </w:rPr>
        <w:t>1</w:t>
      </w:r>
      <w:r>
        <w:rPr>
          <w:rFonts w:hint="eastAsia" w:ascii="黑体" w:hAnsi="黑体" w:eastAsia="黑体"/>
          <w:szCs w:val="21"/>
        </w:rPr>
        <w:t>）</w:t>
      </w:r>
      <w:r>
        <w:rPr>
          <w:rFonts w:hint="eastAsia" w:ascii="宋体" w:hAnsi="宋体"/>
          <w:szCs w:val="21"/>
        </w:rPr>
        <w:t>表示很严格，非这样做不可的用词：</w:t>
      </w:r>
    </w:p>
    <w:p>
      <w:pPr>
        <w:spacing w:line="360" w:lineRule="auto"/>
        <w:ind w:firstLine="1062" w:firstLineChars="506"/>
        <w:rPr>
          <w:rFonts w:ascii="宋体" w:hAnsi="宋体"/>
          <w:szCs w:val="21"/>
        </w:rPr>
      </w:pPr>
      <w:r>
        <w:rPr>
          <w:rFonts w:hint="eastAsia" w:ascii="宋体" w:hAnsi="宋体"/>
          <w:szCs w:val="21"/>
        </w:rPr>
        <w:t>正面词采用“必须”，反面词采用“严禁”。</w:t>
      </w:r>
    </w:p>
    <w:p>
      <w:pPr>
        <w:spacing w:line="360" w:lineRule="auto"/>
        <w:ind w:firstLine="743" w:firstLineChars="354"/>
        <w:rPr>
          <w:rFonts w:ascii="宋体" w:hAnsi="宋体"/>
          <w:szCs w:val="21"/>
        </w:rPr>
      </w:pPr>
      <w:r>
        <w:rPr>
          <w:rFonts w:ascii="黑体" w:hAnsi="黑体" w:eastAsia="黑体"/>
          <w:szCs w:val="21"/>
        </w:rPr>
        <w:t>2</w:t>
      </w:r>
      <w:r>
        <w:rPr>
          <w:rFonts w:hint="eastAsia" w:ascii="黑体" w:hAnsi="黑体" w:eastAsia="黑体"/>
          <w:szCs w:val="21"/>
        </w:rPr>
        <w:t>）</w:t>
      </w:r>
      <w:r>
        <w:rPr>
          <w:rFonts w:hint="eastAsia" w:ascii="宋体" w:hAnsi="宋体"/>
          <w:szCs w:val="21"/>
        </w:rPr>
        <w:t>表示严格，在正常情况下均应这样做的用词：</w:t>
      </w:r>
    </w:p>
    <w:p>
      <w:pPr>
        <w:spacing w:line="360" w:lineRule="auto"/>
        <w:ind w:firstLine="1062" w:firstLineChars="506"/>
        <w:rPr>
          <w:rFonts w:ascii="宋体" w:hAnsi="宋体"/>
          <w:szCs w:val="21"/>
        </w:rPr>
      </w:pPr>
      <w:r>
        <w:rPr>
          <w:rFonts w:hint="eastAsia" w:ascii="宋体" w:hAnsi="宋体"/>
          <w:szCs w:val="21"/>
        </w:rPr>
        <w:t>正面词采用“应”；反面词采用“不应”或“不得”。</w:t>
      </w:r>
    </w:p>
    <w:p>
      <w:pPr>
        <w:spacing w:line="360" w:lineRule="auto"/>
        <w:ind w:firstLine="743" w:firstLineChars="354"/>
        <w:rPr>
          <w:rFonts w:ascii="宋体" w:hAnsi="宋体"/>
          <w:szCs w:val="21"/>
        </w:rPr>
      </w:pPr>
      <w:r>
        <w:rPr>
          <w:rFonts w:ascii="黑体" w:hAnsi="黑体" w:eastAsia="黑体"/>
          <w:szCs w:val="21"/>
        </w:rPr>
        <w:t>3</w:t>
      </w:r>
      <w:r>
        <w:rPr>
          <w:rFonts w:hint="eastAsia" w:ascii="黑体" w:hAnsi="黑体" w:eastAsia="黑体"/>
          <w:szCs w:val="21"/>
        </w:rPr>
        <w:t>）</w:t>
      </w:r>
      <w:r>
        <w:rPr>
          <w:rFonts w:hint="eastAsia" w:ascii="宋体" w:hAnsi="宋体"/>
          <w:szCs w:val="21"/>
        </w:rPr>
        <w:t>表示允许稍有选择，在条件许可时首先应这样做的用词：</w:t>
      </w:r>
    </w:p>
    <w:p>
      <w:pPr>
        <w:spacing w:line="360" w:lineRule="auto"/>
        <w:ind w:firstLine="1062" w:firstLineChars="506"/>
        <w:rPr>
          <w:rFonts w:ascii="宋体" w:hAnsi="宋体"/>
          <w:szCs w:val="21"/>
        </w:rPr>
      </w:pPr>
      <w:r>
        <w:rPr>
          <w:rFonts w:hint="eastAsia" w:ascii="宋体" w:hAnsi="宋体"/>
          <w:szCs w:val="21"/>
        </w:rPr>
        <w:t>正面词采用“宜”；反面词采用“不宜”。</w:t>
      </w:r>
    </w:p>
    <w:p>
      <w:pPr>
        <w:spacing w:line="360" w:lineRule="auto"/>
        <w:ind w:firstLine="743" w:firstLineChars="354"/>
        <w:rPr>
          <w:rFonts w:ascii="宋体" w:hAnsi="宋体"/>
          <w:szCs w:val="21"/>
        </w:rPr>
      </w:pPr>
      <w:r>
        <w:rPr>
          <w:rFonts w:ascii="黑体" w:hAnsi="黑体" w:eastAsia="黑体"/>
          <w:szCs w:val="21"/>
        </w:rPr>
        <w:t>4</w:t>
      </w:r>
      <w:r>
        <w:rPr>
          <w:rFonts w:hint="eastAsia" w:ascii="黑体" w:hAnsi="黑体" w:eastAsia="黑体"/>
          <w:szCs w:val="21"/>
        </w:rPr>
        <w:t>）</w:t>
      </w:r>
      <w:r>
        <w:rPr>
          <w:rFonts w:hint="eastAsia" w:ascii="宋体" w:hAnsi="宋体"/>
          <w:szCs w:val="21"/>
        </w:rPr>
        <w:t>表示有选择，在一定条件下可以这样做的用词，采用“可”。</w:t>
      </w:r>
    </w:p>
    <w:p>
      <w:pPr>
        <w:spacing w:line="360" w:lineRule="auto"/>
        <w:ind w:firstLine="420" w:firstLineChars="200"/>
        <w:rPr>
          <w:rFonts w:ascii="宋体" w:hAnsi="宋体"/>
          <w:szCs w:val="21"/>
        </w:rPr>
      </w:pPr>
      <w:r>
        <w:rPr>
          <w:rFonts w:ascii="黑体" w:hAnsi="黑体" w:eastAsia="黑体"/>
          <w:szCs w:val="21"/>
        </w:rPr>
        <w:t>2</w:t>
      </w:r>
      <w:r>
        <w:rPr>
          <w:rFonts w:hint="eastAsia" w:ascii="宋体" w:hAnsi="宋体"/>
          <w:szCs w:val="21"/>
        </w:rPr>
        <w:t>　本标准中指明应按其他有关标准、标准执行的写法为“应按</w:t>
      </w:r>
      <w:r>
        <w:rPr>
          <w:rFonts w:ascii="宋体" w:hAnsi="宋体"/>
          <w:szCs w:val="21"/>
        </w:rPr>
        <w:t>……</w:t>
      </w:r>
      <w:r>
        <w:rPr>
          <w:rFonts w:hint="eastAsia" w:ascii="宋体" w:hAnsi="宋体"/>
          <w:szCs w:val="21"/>
        </w:rPr>
        <w:t>执行”或“应符合</w:t>
      </w:r>
      <w:r>
        <w:rPr>
          <w:rFonts w:ascii="宋体" w:hAnsi="宋体"/>
          <w:szCs w:val="21"/>
        </w:rPr>
        <w:t>……</w:t>
      </w:r>
      <w:r>
        <w:rPr>
          <w:rFonts w:hint="eastAsia" w:ascii="宋体" w:hAnsi="宋体"/>
          <w:szCs w:val="21"/>
        </w:rPr>
        <w:t>的规定”。</w:t>
      </w:r>
    </w:p>
    <w:p>
      <w:pPr>
        <w:pStyle w:val="26"/>
        <w:ind w:firstLine="0" w:firstLineChars="0"/>
        <w:rPr>
          <w:rFonts w:hAnsi="Times New Roman"/>
          <w:szCs w:val="21"/>
        </w:rPr>
      </w:pPr>
    </w:p>
    <w:p>
      <w:pPr>
        <w:pStyle w:val="26"/>
        <w:ind w:firstLine="0" w:firstLineChars="0"/>
        <w:rPr>
          <w:rFonts w:ascii="黑体" w:hAnsi="黑体" w:eastAsia="黑体"/>
          <w:b/>
          <w:bCs/>
          <w:kern w:val="44"/>
          <w:sz w:val="28"/>
          <w:szCs w:val="28"/>
        </w:rPr>
      </w:pPr>
    </w:p>
    <w:p>
      <w:pPr>
        <w:keepNext/>
        <w:keepLines/>
        <w:pageBreakBefore/>
        <w:tabs>
          <w:tab w:val="center" w:pos="4201"/>
          <w:tab w:val="right" w:leader="dot" w:pos="9298"/>
        </w:tabs>
        <w:spacing w:before="340" w:after="330" w:line="360" w:lineRule="auto"/>
        <w:jc w:val="center"/>
        <w:outlineLvl w:val="0"/>
        <w:rPr>
          <w:rFonts w:ascii="黑体" w:hAnsi="黑体" w:eastAsia="黑体"/>
          <w:b/>
          <w:bCs/>
          <w:kern w:val="44"/>
          <w:sz w:val="28"/>
          <w:szCs w:val="28"/>
        </w:rPr>
      </w:pPr>
      <w:bookmarkStart w:id="855" w:name="_Toc28503"/>
      <w:bookmarkStart w:id="856" w:name="_Toc4270"/>
      <w:bookmarkStart w:id="857" w:name="_Toc28042"/>
      <w:bookmarkStart w:id="858" w:name="_Toc16748"/>
      <w:bookmarkStart w:id="859" w:name="_Toc18134"/>
      <w:bookmarkStart w:id="860" w:name="_Toc28014"/>
      <w:bookmarkStart w:id="861" w:name="_Toc21860"/>
      <w:bookmarkStart w:id="862" w:name="_Toc7116"/>
      <w:bookmarkStart w:id="863" w:name="_Toc28303"/>
      <w:bookmarkStart w:id="864" w:name="_Toc21767"/>
      <w:r>
        <w:rPr>
          <w:rFonts w:hint="eastAsia" w:ascii="黑体" w:hAnsi="黑体" w:eastAsia="黑体"/>
          <w:b/>
          <w:bCs/>
          <w:kern w:val="44"/>
          <w:sz w:val="28"/>
          <w:szCs w:val="28"/>
        </w:rPr>
        <w:t>引用标准名录</w:t>
      </w:r>
      <w:bookmarkEnd w:id="855"/>
      <w:bookmarkEnd w:id="856"/>
      <w:bookmarkEnd w:id="857"/>
      <w:bookmarkEnd w:id="858"/>
      <w:bookmarkEnd w:id="859"/>
      <w:bookmarkEnd w:id="860"/>
      <w:bookmarkEnd w:id="861"/>
      <w:bookmarkEnd w:id="862"/>
      <w:bookmarkEnd w:id="863"/>
      <w:bookmarkEnd w:id="864"/>
    </w:p>
    <w:p>
      <w:pPr>
        <w:rPr>
          <w:rFonts w:ascii="仿宋_GB2312" w:eastAsia="仿宋_GB2312"/>
          <w:sz w:val="28"/>
          <w:szCs w:val="32"/>
        </w:rPr>
      </w:pPr>
      <w:r>
        <w:rPr>
          <w:rFonts w:hint="eastAsia" w:ascii="仿宋_GB2312" w:eastAsia="仿宋_GB2312"/>
          <w:sz w:val="28"/>
          <w:szCs w:val="32"/>
        </w:rPr>
        <w:t>《建筑地基基础设计规范》GB 50007</w:t>
      </w:r>
    </w:p>
    <w:p>
      <w:pPr>
        <w:rPr>
          <w:rFonts w:ascii="仿宋_GB2312" w:eastAsia="仿宋_GB2312"/>
          <w:sz w:val="28"/>
          <w:szCs w:val="32"/>
        </w:rPr>
      </w:pPr>
      <w:r>
        <w:rPr>
          <w:rFonts w:hint="eastAsia" w:ascii="仿宋_GB2312" w:eastAsia="仿宋_GB2312"/>
          <w:sz w:val="28"/>
          <w:szCs w:val="32"/>
        </w:rPr>
        <w:t>《建筑结构荷载规范》GB 50009</w:t>
      </w:r>
    </w:p>
    <w:p>
      <w:pPr>
        <w:rPr>
          <w:rFonts w:ascii="仿宋_GB2312" w:eastAsia="仿宋_GB2312"/>
          <w:sz w:val="28"/>
          <w:szCs w:val="32"/>
        </w:rPr>
      </w:pPr>
      <w:r>
        <w:rPr>
          <w:rFonts w:hint="eastAsia" w:ascii="仿宋_GB2312" w:eastAsia="仿宋_GB2312"/>
          <w:sz w:val="28"/>
          <w:szCs w:val="32"/>
        </w:rPr>
        <w:t>《钢结构设计规范》GB 50017</w:t>
      </w:r>
    </w:p>
    <w:p>
      <w:pPr>
        <w:rPr>
          <w:rFonts w:ascii="仿宋_GB2312" w:eastAsia="仿宋_GB2312"/>
          <w:sz w:val="28"/>
          <w:szCs w:val="32"/>
        </w:rPr>
      </w:pPr>
      <w:r>
        <w:rPr>
          <w:rFonts w:hint="eastAsia" w:ascii="仿宋_GB2312" w:eastAsia="仿宋_GB2312"/>
          <w:sz w:val="28"/>
          <w:szCs w:val="32"/>
        </w:rPr>
        <w:t>《高耸结构设计规范》GB 50135</w:t>
      </w:r>
    </w:p>
    <w:p>
      <w:pPr>
        <w:rPr>
          <w:rFonts w:ascii="仿宋_GB2312" w:eastAsia="仿宋_GB2312"/>
          <w:sz w:val="28"/>
          <w:szCs w:val="32"/>
        </w:rPr>
      </w:pPr>
      <w:r>
        <w:rPr>
          <w:rFonts w:hint="eastAsia" w:ascii="仿宋_GB2312" w:eastAsia="仿宋_GB2312"/>
          <w:sz w:val="28"/>
          <w:szCs w:val="32"/>
        </w:rPr>
        <w:t>《建筑结构可靠度设计统一标准》GB 50068</w:t>
      </w:r>
    </w:p>
    <w:p>
      <w:pPr>
        <w:rPr>
          <w:rFonts w:ascii="仿宋_GB2312" w:eastAsia="仿宋_GB2312"/>
          <w:sz w:val="28"/>
          <w:szCs w:val="32"/>
        </w:rPr>
      </w:pPr>
      <w:r>
        <w:rPr>
          <w:rFonts w:hint="eastAsia" w:ascii="仿宋_GB2312" w:eastAsia="仿宋_GB2312"/>
          <w:sz w:val="28"/>
          <w:szCs w:val="32"/>
        </w:rPr>
        <w:t>《电力设施抗震设计规范》GB 50260</w:t>
      </w:r>
    </w:p>
    <w:p>
      <w:pPr>
        <w:rPr>
          <w:rFonts w:ascii="仿宋_GB2312" w:eastAsia="仿宋_GB2312"/>
          <w:sz w:val="28"/>
          <w:szCs w:val="32"/>
        </w:rPr>
      </w:pPr>
      <w:r>
        <w:rPr>
          <w:rFonts w:hint="eastAsia" w:ascii="仿宋_GB2312" w:eastAsia="仿宋_GB2312"/>
          <w:sz w:val="28"/>
          <w:szCs w:val="32"/>
        </w:rPr>
        <w:t>《供配电系统设计规范》GB 50052</w:t>
      </w:r>
    </w:p>
    <w:p>
      <w:pPr>
        <w:rPr>
          <w:rFonts w:ascii="仿宋_GB2312" w:eastAsia="仿宋_GB2312"/>
          <w:sz w:val="28"/>
          <w:szCs w:val="32"/>
        </w:rPr>
      </w:pPr>
      <w:r>
        <w:rPr>
          <w:rFonts w:hint="eastAsia" w:ascii="仿宋_GB2312" w:eastAsia="仿宋_GB2312"/>
          <w:sz w:val="28"/>
          <w:szCs w:val="32"/>
        </w:rPr>
        <w:t>《城市工程管线综合规划规范》</w:t>
      </w:r>
      <w:r>
        <w:rPr>
          <w:rFonts w:hint="eastAsia"/>
        </w:rPr>
        <w:fldChar w:fldCharType="begin"/>
      </w:r>
      <w:r>
        <w:instrText xml:space="preserve"> HYPERLINK "http://www.baidu.com/link?url=j_jZYZMz-KL82YHj5OFW_jypmlvDw6Ws99hk0O9Tn-MsTS571ZyO8KRrxKtnROhYgTNgmmgCcevKYoRtBCIRna" \t "https://www.baidu.com/_blank" </w:instrText>
      </w:r>
      <w:r>
        <w:rPr>
          <w:rFonts w:hint="eastAsia"/>
        </w:rPr>
        <w:fldChar w:fldCharType="separate"/>
      </w:r>
      <w:r>
        <w:rPr>
          <w:rFonts w:hint="eastAsia" w:ascii="仿宋_GB2312" w:eastAsia="仿宋_GB2312"/>
          <w:sz w:val="28"/>
          <w:szCs w:val="32"/>
        </w:rPr>
        <w:t>GB 50289</w:t>
      </w:r>
      <w:r>
        <w:rPr>
          <w:rFonts w:hint="eastAsia" w:ascii="仿宋_GB2312" w:eastAsia="仿宋_GB2312"/>
          <w:sz w:val="28"/>
          <w:szCs w:val="32"/>
        </w:rPr>
        <w:fldChar w:fldCharType="end"/>
      </w:r>
    </w:p>
    <w:p>
      <w:pPr>
        <w:rPr>
          <w:rFonts w:ascii="仿宋_GB2312" w:eastAsia="仿宋_GB2312"/>
          <w:sz w:val="28"/>
          <w:szCs w:val="32"/>
        </w:rPr>
      </w:pPr>
      <w:r>
        <w:rPr>
          <w:rFonts w:hint="eastAsia" w:ascii="仿宋_GB2312" w:eastAsia="仿宋_GB2312"/>
          <w:sz w:val="28"/>
          <w:szCs w:val="32"/>
        </w:rPr>
        <w:t>《通信局（站）防雷与接地工程设计规范》GB 50689</w:t>
      </w:r>
    </w:p>
    <w:p>
      <w:pPr>
        <w:rPr>
          <w:rFonts w:ascii="仿宋_GB2312" w:eastAsia="仿宋_GB2312"/>
          <w:sz w:val="28"/>
          <w:szCs w:val="32"/>
        </w:rPr>
      </w:pPr>
      <w:r>
        <w:rPr>
          <w:rFonts w:hint="eastAsia" w:ascii="仿宋_GB2312" w:eastAsia="仿宋_GB2312"/>
          <w:sz w:val="28"/>
          <w:szCs w:val="32"/>
        </w:rPr>
        <w:t>《通信局（站）防雷与接地工程验收规范》GB 51120</w:t>
      </w:r>
    </w:p>
    <w:p>
      <w:pPr>
        <w:rPr>
          <w:rFonts w:ascii="仿宋_GB2312" w:eastAsia="仿宋_GB2312"/>
          <w:sz w:val="28"/>
          <w:szCs w:val="32"/>
        </w:rPr>
      </w:pPr>
      <w:r>
        <w:rPr>
          <w:rFonts w:hint="eastAsia" w:ascii="仿宋_GB2312" w:eastAsia="仿宋_GB2312"/>
          <w:sz w:val="28"/>
          <w:szCs w:val="32"/>
        </w:rPr>
        <w:t>《电力工程电缆设计规范》GB 50217</w:t>
      </w:r>
    </w:p>
    <w:p>
      <w:pPr>
        <w:rPr>
          <w:rFonts w:ascii="仿宋_GB2312" w:eastAsia="仿宋_GB2312"/>
          <w:sz w:val="28"/>
          <w:szCs w:val="32"/>
        </w:rPr>
      </w:pPr>
      <w:r>
        <w:rPr>
          <w:rFonts w:hint="eastAsia" w:ascii="仿宋_GB2312" w:eastAsia="仿宋_GB2312"/>
          <w:sz w:val="28"/>
          <w:szCs w:val="32"/>
        </w:rPr>
        <w:t>《工业安装工程质量检验评定统一标准》</w:t>
      </w:r>
      <w:r>
        <w:rPr>
          <w:rFonts w:hint="eastAsia"/>
        </w:rPr>
        <w:fldChar w:fldCharType="begin"/>
      </w:r>
      <w:r>
        <w:instrText xml:space="preserve"> HYPERLINK "http://www.csres.com/detail/320552.html" \t "http://www.csres.com/_blank" </w:instrText>
      </w:r>
      <w:r>
        <w:rPr>
          <w:rFonts w:hint="eastAsia"/>
        </w:rPr>
        <w:fldChar w:fldCharType="separate"/>
      </w:r>
      <w:r>
        <w:rPr>
          <w:rFonts w:hint="eastAsia" w:ascii="仿宋_GB2312" w:eastAsia="仿宋_GB2312"/>
          <w:sz w:val="28"/>
          <w:szCs w:val="32"/>
        </w:rPr>
        <w:t>GB/T 50252</w:t>
      </w:r>
      <w:r>
        <w:rPr>
          <w:rFonts w:hint="eastAsia" w:ascii="仿宋_GB2312" w:eastAsia="仿宋_GB2312"/>
          <w:sz w:val="28"/>
          <w:szCs w:val="32"/>
        </w:rPr>
        <w:fldChar w:fldCharType="end"/>
      </w:r>
    </w:p>
    <w:p>
      <w:pPr>
        <w:rPr>
          <w:rFonts w:ascii="仿宋_GB2312" w:eastAsia="仿宋_GB2312"/>
          <w:sz w:val="28"/>
          <w:szCs w:val="32"/>
        </w:rPr>
      </w:pPr>
      <w:r>
        <w:rPr>
          <w:rFonts w:hint="eastAsia" w:ascii="仿宋_GB2312" w:eastAsia="仿宋_GB2312"/>
          <w:sz w:val="28"/>
          <w:szCs w:val="32"/>
        </w:rPr>
        <w:t>《城市道路照明设计标准》CJJ 45</w:t>
      </w:r>
    </w:p>
    <w:p>
      <w:pPr>
        <w:rPr>
          <w:rFonts w:ascii="仿宋_GB2312" w:eastAsia="仿宋_GB2312"/>
          <w:sz w:val="28"/>
          <w:szCs w:val="32"/>
        </w:rPr>
      </w:pPr>
      <w:r>
        <w:rPr>
          <w:rFonts w:hint="eastAsia" w:ascii="仿宋_GB2312" w:eastAsia="仿宋_GB2312"/>
          <w:sz w:val="28"/>
          <w:szCs w:val="32"/>
        </w:rPr>
        <w:t>《城市道路照明工程施工及验收规程》CJJ 89</w:t>
      </w:r>
    </w:p>
    <w:p>
      <w:pPr>
        <w:rPr>
          <w:rFonts w:ascii="仿宋_GB2312" w:eastAsia="仿宋_GB2312"/>
          <w:sz w:val="28"/>
          <w:szCs w:val="32"/>
        </w:rPr>
      </w:pPr>
      <w:r>
        <w:rPr>
          <w:rFonts w:hint="eastAsia" w:ascii="仿宋_GB2312" w:eastAsia="仿宋_GB2312"/>
          <w:sz w:val="28"/>
          <w:szCs w:val="32"/>
        </w:rPr>
        <w:t>《电磁环境控制限值》GB 8702</w:t>
      </w:r>
    </w:p>
    <w:p>
      <w:pPr>
        <w:rPr>
          <w:rFonts w:ascii="仿宋_GB2312" w:eastAsia="仿宋_GB2312"/>
          <w:sz w:val="28"/>
          <w:szCs w:val="32"/>
        </w:rPr>
      </w:pPr>
      <w:r>
        <w:rPr>
          <w:rFonts w:hint="eastAsia" w:ascii="仿宋_GB2312" w:eastAsia="仿宋_GB2312"/>
          <w:sz w:val="28"/>
          <w:szCs w:val="32"/>
        </w:rPr>
        <w:t>《低压配电设计规范》GB 50054</w:t>
      </w:r>
    </w:p>
    <w:p>
      <w:pPr>
        <w:rPr>
          <w:rFonts w:ascii="仿宋_GB2312" w:eastAsia="仿宋_GB2312"/>
          <w:sz w:val="28"/>
          <w:szCs w:val="32"/>
        </w:rPr>
      </w:pPr>
      <w:r>
        <w:rPr>
          <w:rFonts w:hint="eastAsia" w:ascii="仿宋_GB2312" w:eastAsia="仿宋_GB2312"/>
          <w:sz w:val="28"/>
          <w:szCs w:val="32"/>
        </w:rPr>
        <w:t>《音视频及类似电子设备的安全》GB 8898</w:t>
      </w:r>
    </w:p>
    <w:p>
      <w:pPr>
        <w:rPr>
          <w:rFonts w:ascii="仿宋_GB2312" w:eastAsia="仿宋_GB2312"/>
          <w:sz w:val="28"/>
          <w:szCs w:val="32"/>
        </w:rPr>
      </w:pPr>
      <w:r>
        <w:rPr>
          <w:rFonts w:hint="eastAsia" w:ascii="仿宋_GB2312" w:eastAsia="仿宋_GB2312"/>
          <w:sz w:val="28"/>
          <w:szCs w:val="32"/>
        </w:rPr>
        <w:t>《道路交通信号灯设置与安装规范》GB 14886</w:t>
      </w:r>
    </w:p>
    <w:p>
      <w:pPr>
        <w:rPr>
          <w:rFonts w:ascii="仿宋_GB2312" w:eastAsia="仿宋_GB2312"/>
          <w:sz w:val="28"/>
          <w:szCs w:val="32"/>
        </w:rPr>
      </w:pPr>
      <w:r>
        <w:rPr>
          <w:rFonts w:hint="eastAsia" w:ascii="仿宋_GB2312" w:eastAsia="仿宋_GB2312"/>
          <w:sz w:val="28"/>
          <w:szCs w:val="32"/>
        </w:rPr>
        <w:t>《道路交通信号灯》GB 14887</w:t>
      </w:r>
    </w:p>
    <w:p>
      <w:pPr>
        <w:rPr>
          <w:rFonts w:ascii="仿宋_GB2312" w:eastAsia="仿宋_GB2312"/>
          <w:sz w:val="28"/>
          <w:szCs w:val="32"/>
        </w:rPr>
      </w:pPr>
      <w:r>
        <w:rPr>
          <w:rFonts w:hint="eastAsia" w:ascii="仿宋_GB2312" w:eastAsia="仿宋_GB2312"/>
          <w:sz w:val="28"/>
          <w:szCs w:val="32"/>
        </w:rPr>
        <w:t>《视频安防监控数字录像设备》GB 20815</w:t>
      </w:r>
    </w:p>
    <w:p>
      <w:pPr>
        <w:rPr>
          <w:rFonts w:ascii="仿宋_GB2312" w:eastAsia="仿宋_GB2312"/>
          <w:sz w:val="28"/>
          <w:szCs w:val="32"/>
        </w:rPr>
      </w:pPr>
      <w:r>
        <w:rPr>
          <w:rFonts w:hint="eastAsia" w:ascii="仿宋_GB2312" w:eastAsia="仿宋_GB2312"/>
          <w:sz w:val="28"/>
          <w:szCs w:val="32"/>
        </w:rPr>
        <w:t>《城市户外广告设施技术规范》CJJ 149</w:t>
      </w:r>
    </w:p>
    <w:p>
      <w:pPr>
        <w:rPr>
          <w:rFonts w:ascii="仿宋_GB2312" w:eastAsia="仿宋_GB2312"/>
          <w:sz w:val="28"/>
          <w:szCs w:val="32"/>
        </w:rPr>
      </w:pPr>
      <w:r>
        <w:rPr>
          <w:rFonts w:hint="eastAsia" w:ascii="仿宋_GB2312" w:eastAsia="仿宋_GB2312"/>
          <w:sz w:val="28"/>
          <w:szCs w:val="32"/>
        </w:rPr>
        <w:t>《安全防范系统验收规则》GA 308</w:t>
      </w:r>
    </w:p>
    <w:p>
      <w:pPr>
        <w:rPr>
          <w:rFonts w:ascii="仿宋_GB2312" w:eastAsia="仿宋_GB2312"/>
          <w:sz w:val="28"/>
          <w:szCs w:val="32"/>
        </w:rPr>
      </w:pPr>
      <w:r>
        <w:rPr>
          <w:rFonts w:hint="eastAsia" w:ascii="仿宋_GB2312" w:eastAsia="仿宋_GB2312"/>
          <w:sz w:val="28"/>
          <w:szCs w:val="32"/>
        </w:rPr>
        <w:t>《公共广播系统工程技术规范》GB 50526</w:t>
      </w:r>
    </w:p>
    <w:p>
      <w:pPr>
        <w:rPr>
          <w:rFonts w:ascii="仿宋_GB2312" w:eastAsia="仿宋_GB2312"/>
          <w:sz w:val="28"/>
          <w:szCs w:val="32"/>
        </w:rPr>
      </w:pPr>
      <w:r>
        <w:rPr>
          <w:rFonts w:hint="eastAsia" w:ascii="仿宋_GB2312" w:eastAsia="仿宋_GB2312"/>
          <w:sz w:val="28"/>
          <w:szCs w:val="32"/>
        </w:rPr>
        <w:t>《城市道路交通标志和标线设置规范》GB 51038</w:t>
      </w:r>
    </w:p>
    <w:p>
      <w:pPr>
        <w:rPr>
          <w:rFonts w:ascii="仿宋_GB2312" w:eastAsia="仿宋_GB2312"/>
          <w:sz w:val="28"/>
          <w:szCs w:val="32"/>
        </w:rPr>
      </w:pPr>
      <w:r>
        <w:rPr>
          <w:rFonts w:hint="eastAsia" w:ascii="仿宋_GB2312" w:eastAsia="仿宋_GB2312"/>
          <w:sz w:val="28"/>
          <w:szCs w:val="32"/>
        </w:rPr>
        <w:t>《小型无线系统的防雷接地技术要求》YDT3007</w:t>
      </w:r>
    </w:p>
    <w:p>
      <w:pPr>
        <w:rPr>
          <w:rFonts w:ascii="仿宋_GB2312" w:eastAsia="仿宋_GB2312"/>
          <w:sz w:val="28"/>
          <w:szCs w:val="32"/>
        </w:rPr>
      </w:pPr>
      <w:r>
        <w:rPr>
          <w:rFonts w:hint="eastAsia" w:ascii="仿宋_GB2312" w:eastAsia="仿宋_GB2312"/>
          <w:sz w:val="28"/>
          <w:szCs w:val="32"/>
        </w:rPr>
        <w:t>《通信局(站)在用防雷系统的技术要求和检测方法》YD/T 1429</w:t>
      </w:r>
    </w:p>
    <w:p>
      <w:pPr>
        <w:rPr>
          <w:rFonts w:ascii="仿宋_GB2312" w:eastAsia="仿宋_GB2312"/>
          <w:sz w:val="28"/>
          <w:szCs w:val="32"/>
        </w:rPr>
      </w:pPr>
      <w:r>
        <w:rPr>
          <w:rFonts w:hint="eastAsia" w:ascii="仿宋_GB2312" w:eastAsia="仿宋_GB2312"/>
          <w:sz w:val="28"/>
          <w:szCs w:val="32"/>
        </w:rPr>
        <w:t>《电动汽车交流充电桩技术条件》NB/T 33002</w:t>
      </w:r>
    </w:p>
    <w:p>
      <w:pPr>
        <w:rPr>
          <w:rFonts w:ascii="仿宋_GB2312" w:eastAsia="仿宋_GB2312"/>
          <w:sz w:val="28"/>
          <w:szCs w:val="32"/>
        </w:rPr>
      </w:pPr>
      <w:r>
        <w:rPr>
          <w:rFonts w:hint="eastAsia" w:ascii="仿宋_GB2312" w:eastAsia="仿宋_GB2312"/>
          <w:sz w:val="28"/>
          <w:szCs w:val="32"/>
        </w:rPr>
        <w:t>《电动汽车传导充电系统 第1部分：通用要求》GB/T 18487.1</w:t>
      </w:r>
    </w:p>
    <w:p>
      <w:pPr>
        <w:rPr>
          <w:rFonts w:ascii="仿宋_GB2312" w:eastAsia="仿宋_GB2312"/>
          <w:sz w:val="28"/>
          <w:szCs w:val="32"/>
        </w:rPr>
      </w:pPr>
      <w:r>
        <w:rPr>
          <w:rFonts w:hint="eastAsia" w:ascii="仿宋_GB2312" w:eastAsia="仿宋_GB2312"/>
          <w:sz w:val="28"/>
          <w:szCs w:val="32"/>
        </w:rPr>
        <w:t>《电动汽车传导充电系统 第2部分：非车载传导供电设备电磁兼容要求》GB/T 18487.2</w:t>
      </w:r>
    </w:p>
    <w:p>
      <w:pPr>
        <w:rPr>
          <w:rFonts w:ascii="仿宋_GB2312" w:eastAsia="仿宋_GB2312"/>
          <w:sz w:val="28"/>
          <w:szCs w:val="32"/>
        </w:rPr>
      </w:pPr>
      <w:r>
        <w:rPr>
          <w:rFonts w:hint="eastAsia" w:ascii="仿宋_GB2312" w:eastAsia="仿宋_GB2312"/>
          <w:sz w:val="28"/>
          <w:szCs w:val="32"/>
        </w:rPr>
        <w:t>《电动车辆传导充电系统 电动车辆交流/直流充电机(站)》GB/T 18487.3</w:t>
      </w:r>
    </w:p>
    <w:p>
      <w:pPr>
        <w:rPr>
          <w:rFonts w:ascii="仿宋_GB2312" w:eastAsia="仿宋_GB2312"/>
          <w:sz w:val="28"/>
          <w:szCs w:val="32"/>
        </w:rPr>
      </w:pPr>
      <w:r>
        <w:rPr>
          <w:rFonts w:hint="eastAsia" w:ascii="仿宋_GB2312" w:eastAsia="仿宋_GB2312"/>
          <w:sz w:val="28"/>
          <w:szCs w:val="32"/>
        </w:rPr>
        <w:t>《中国智慧杆塔白皮书》</w:t>
      </w:r>
    </w:p>
    <w:p>
      <w:pPr>
        <w:numPr>
          <w:ilvl w:val="255"/>
          <w:numId w:val="0"/>
        </w:numPr>
        <w:rPr>
          <w:rFonts w:ascii="仿宋_GB2312" w:eastAsia="仿宋_GB2312"/>
          <w:sz w:val="28"/>
          <w:szCs w:val="32"/>
        </w:rPr>
      </w:pPr>
      <w:r>
        <w:rPr>
          <w:rFonts w:hint="eastAsia" w:ascii="仿宋_GB2312" w:eastAsia="仿宋_GB2312"/>
          <w:sz w:val="28"/>
          <w:szCs w:val="32"/>
        </w:rPr>
        <w:t>《道路照明灯杆技术条件》CJ/T 527</w:t>
      </w:r>
    </w:p>
    <w:p>
      <w:pPr>
        <w:numPr>
          <w:ilvl w:val="255"/>
          <w:numId w:val="0"/>
        </w:numPr>
        <w:rPr>
          <w:rFonts w:ascii="仿宋_GB2312" w:eastAsia="仿宋_GB2312"/>
          <w:sz w:val="28"/>
          <w:szCs w:val="32"/>
        </w:rPr>
      </w:pPr>
      <w:r>
        <w:rPr>
          <w:rFonts w:hint="eastAsia" w:ascii="仿宋_GB2312" w:eastAsia="仿宋_GB2312"/>
          <w:sz w:val="28"/>
          <w:szCs w:val="32"/>
        </w:rPr>
        <w:t>《城市道路工程设计规范》CJJ 37</w:t>
      </w:r>
    </w:p>
    <w:p>
      <w:pPr>
        <w:numPr>
          <w:ilvl w:val="255"/>
          <w:numId w:val="0"/>
        </w:numPr>
        <w:rPr>
          <w:rFonts w:ascii="仿宋_GB2312" w:eastAsia="仿宋_GB2312"/>
          <w:sz w:val="28"/>
          <w:szCs w:val="32"/>
        </w:rPr>
      </w:pPr>
      <w:r>
        <w:rPr>
          <w:rFonts w:hint="eastAsia" w:ascii="仿宋_GB2312" w:eastAsia="仿宋_GB2312"/>
          <w:sz w:val="28"/>
          <w:szCs w:val="32"/>
        </w:rPr>
        <w:t>《城市夜景照明设计规范》JGJ/T 163</w:t>
      </w:r>
    </w:p>
    <w:p>
      <w:pPr>
        <w:numPr>
          <w:ilvl w:val="255"/>
          <w:numId w:val="0"/>
        </w:numPr>
        <w:rPr>
          <w:rFonts w:ascii="仿宋_GB2312" w:eastAsia="仿宋_GB2312"/>
          <w:sz w:val="28"/>
          <w:szCs w:val="32"/>
        </w:rPr>
      </w:pPr>
      <w:r>
        <w:rPr>
          <w:rFonts w:hint="eastAsia" w:ascii="仿宋_GB2312" w:eastAsia="仿宋_GB2312"/>
          <w:sz w:val="28"/>
          <w:szCs w:val="32"/>
        </w:rPr>
        <w:t>《中国网络安全法》</w:t>
      </w:r>
    </w:p>
    <w:p>
      <w:pPr>
        <w:numPr>
          <w:ilvl w:val="255"/>
          <w:numId w:val="0"/>
        </w:numPr>
        <w:rPr>
          <w:rFonts w:ascii="仿宋_GB2312" w:eastAsia="仿宋_GB2312"/>
          <w:sz w:val="28"/>
          <w:szCs w:val="32"/>
        </w:rPr>
      </w:pPr>
      <w:r>
        <w:rPr>
          <w:rFonts w:hint="eastAsia" w:ascii="仿宋_GB2312" w:eastAsia="仿宋_GB2312"/>
          <w:sz w:val="28"/>
          <w:szCs w:val="32"/>
        </w:rPr>
        <w:t>《信息安全技术 网络安全等级保护基本要求》GB/T 22239</w:t>
      </w:r>
    </w:p>
    <w:p>
      <w:pPr>
        <w:numPr>
          <w:ilvl w:val="255"/>
          <w:numId w:val="0"/>
        </w:numPr>
        <w:rPr>
          <w:rFonts w:ascii="仿宋_GB2312" w:eastAsia="仿宋_GB2312"/>
          <w:sz w:val="28"/>
          <w:szCs w:val="32"/>
        </w:rPr>
      </w:pPr>
      <w:r>
        <w:rPr>
          <w:rFonts w:hint="eastAsia" w:ascii="仿宋_GB2312" w:eastAsia="仿宋_GB2312"/>
          <w:sz w:val="28"/>
          <w:szCs w:val="32"/>
        </w:rPr>
        <w:t>《信息安全技术 信息系统安全管理要求》GB/T 20269</w:t>
      </w:r>
    </w:p>
    <w:p>
      <w:pPr>
        <w:numPr>
          <w:ilvl w:val="255"/>
          <w:numId w:val="0"/>
        </w:numPr>
        <w:rPr>
          <w:rFonts w:ascii="仿宋_GB2312" w:eastAsia="仿宋_GB2312"/>
          <w:sz w:val="28"/>
          <w:szCs w:val="32"/>
        </w:rPr>
      </w:pPr>
      <w:r>
        <w:rPr>
          <w:rFonts w:hint="eastAsia" w:ascii="仿宋_GB2312" w:eastAsia="仿宋_GB2312"/>
          <w:sz w:val="28"/>
          <w:szCs w:val="32"/>
        </w:rPr>
        <w:t>《安全标志及其使用导则》 GB 2894</w:t>
      </w:r>
    </w:p>
    <w:p>
      <w:pPr>
        <w:numPr>
          <w:ilvl w:val="255"/>
          <w:numId w:val="0"/>
        </w:numPr>
        <w:rPr>
          <w:rFonts w:ascii="仿宋_GB2312" w:eastAsia="仿宋_GB2312"/>
          <w:sz w:val="28"/>
          <w:szCs w:val="32"/>
        </w:rPr>
      </w:pPr>
      <w:r>
        <w:rPr>
          <w:rFonts w:hint="eastAsia" w:ascii="仿宋_GB2312" w:eastAsia="仿宋_GB2312"/>
          <w:sz w:val="28"/>
          <w:szCs w:val="32"/>
        </w:rPr>
        <w:t>《建筑工程施工质量验收统一标准》 GB 50300</w:t>
      </w:r>
    </w:p>
    <w:p>
      <w:pPr>
        <w:numPr>
          <w:ilvl w:val="255"/>
          <w:numId w:val="0"/>
        </w:numPr>
        <w:rPr>
          <w:rFonts w:ascii="仿宋_GB2312" w:eastAsia="仿宋_GB2312"/>
          <w:sz w:val="28"/>
          <w:szCs w:val="32"/>
        </w:rPr>
      </w:pPr>
      <w:r>
        <w:rPr>
          <w:rFonts w:hint="eastAsia" w:ascii="仿宋_GB2312" w:eastAsia="仿宋_GB2312"/>
          <w:sz w:val="28"/>
          <w:szCs w:val="32"/>
        </w:rPr>
        <w:t>《通信局站共建共享技术规范》 GB/T 51125</w:t>
      </w:r>
    </w:p>
    <w:p>
      <w:pPr>
        <w:numPr>
          <w:ilvl w:val="255"/>
          <w:numId w:val="0"/>
        </w:numPr>
        <w:rPr>
          <w:rFonts w:ascii="仿宋_GB2312" w:eastAsia="仿宋_GB2312"/>
          <w:sz w:val="28"/>
          <w:szCs w:val="32"/>
        </w:rPr>
      </w:pPr>
      <w:r>
        <w:rPr>
          <w:rFonts w:hint="eastAsia" w:ascii="仿宋_GB2312" w:eastAsia="仿宋_GB2312"/>
          <w:sz w:val="28"/>
          <w:szCs w:val="32"/>
        </w:rPr>
        <w:t>《互联网安全保护技术措施规定》公安部令第82号</w:t>
      </w:r>
    </w:p>
    <w:p>
      <w:pPr>
        <w:numPr>
          <w:ilvl w:val="255"/>
          <w:numId w:val="0"/>
        </w:numPr>
        <w:rPr>
          <w:rFonts w:ascii="仿宋_GB2312" w:eastAsia="仿宋_GB2312"/>
          <w:sz w:val="28"/>
          <w:szCs w:val="32"/>
        </w:rPr>
      </w:pPr>
      <w:r>
        <w:rPr>
          <w:rFonts w:hint="eastAsia" w:ascii="仿宋_GB2312" w:eastAsia="仿宋_GB2312"/>
          <w:sz w:val="28"/>
          <w:szCs w:val="32"/>
        </w:rPr>
        <w:t>《灯杆：第一部分一般要求》QBT5093-1</w:t>
      </w:r>
    </w:p>
    <w:p>
      <w:pPr>
        <w:numPr>
          <w:ilvl w:val="255"/>
          <w:numId w:val="0"/>
        </w:numPr>
        <w:rPr>
          <w:rFonts w:ascii="仿宋_GB2312" w:eastAsia="仿宋_GB2312"/>
          <w:sz w:val="28"/>
          <w:szCs w:val="32"/>
        </w:rPr>
      </w:pPr>
      <w:r>
        <w:rPr>
          <w:rFonts w:hint="eastAsia" w:ascii="仿宋_GB2312" w:eastAsia="仿宋_GB2312"/>
          <w:sz w:val="28"/>
          <w:szCs w:val="32"/>
        </w:rPr>
        <w:t>《民用建筑电气设计标准》GB 51348</w:t>
      </w:r>
    </w:p>
    <w:p>
      <w:pPr>
        <w:numPr>
          <w:ilvl w:val="255"/>
          <w:numId w:val="0"/>
        </w:numPr>
        <w:rPr>
          <w:rFonts w:ascii="仿宋_GB2312" w:eastAsia="仿宋_GB2312"/>
          <w:sz w:val="28"/>
          <w:szCs w:val="32"/>
        </w:rPr>
      </w:pPr>
      <w:r>
        <w:rPr>
          <w:rFonts w:hint="eastAsia" w:ascii="仿宋_GB2312" w:eastAsia="仿宋_GB2312"/>
          <w:sz w:val="28"/>
          <w:szCs w:val="32"/>
        </w:rPr>
        <w:t>《钢结构工程施工质量验收标准》GB50205</w:t>
      </w:r>
    </w:p>
    <w:p>
      <w:pPr>
        <w:numPr>
          <w:ilvl w:val="255"/>
          <w:numId w:val="0"/>
        </w:numPr>
        <w:rPr>
          <w:rFonts w:ascii="仿宋_GB2312" w:eastAsia="仿宋_GB2312"/>
          <w:sz w:val="28"/>
          <w:szCs w:val="32"/>
        </w:rPr>
      </w:pPr>
      <w:r>
        <w:rPr>
          <w:rFonts w:hint="eastAsia" w:ascii="仿宋_GB2312" w:eastAsia="仿宋_GB2312"/>
          <w:sz w:val="28"/>
          <w:szCs w:val="32"/>
        </w:rPr>
        <w:t>《城市照明自动控制系统技术规范》CJJ/T 227</w:t>
      </w:r>
    </w:p>
    <w:p>
      <w:pPr>
        <w:numPr>
          <w:ilvl w:val="255"/>
          <w:numId w:val="0"/>
        </w:numPr>
        <w:rPr>
          <w:rFonts w:ascii="仿宋_GB2312" w:eastAsia="仿宋_GB2312"/>
          <w:sz w:val="28"/>
          <w:szCs w:val="32"/>
        </w:rPr>
      </w:pPr>
      <w:r>
        <w:rPr>
          <w:rFonts w:hint="eastAsia" w:ascii="仿宋_GB2312" w:eastAsia="仿宋_GB2312"/>
          <w:sz w:val="28"/>
          <w:szCs w:val="32"/>
        </w:rPr>
        <w:t>《道路与街路照明灯具性能要求》GB/T 24827</w:t>
      </w:r>
    </w:p>
    <w:p>
      <w:pPr>
        <w:numPr>
          <w:ilvl w:val="255"/>
          <w:numId w:val="0"/>
        </w:numPr>
        <w:rPr>
          <w:rFonts w:ascii="仿宋_GB2312" w:eastAsia="仿宋_GB2312"/>
          <w:sz w:val="28"/>
          <w:szCs w:val="32"/>
        </w:rPr>
      </w:pPr>
      <w:r>
        <w:rPr>
          <w:rFonts w:hint="eastAsia" w:ascii="仿宋_GB2312" w:eastAsia="仿宋_GB2312"/>
          <w:sz w:val="28"/>
          <w:szCs w:val="32"/>
        </w:rPr>
        <w:t>《灯具性能 第1部分：一般要求》GB/T 31897.1</w:t>
      </w:r>
    </w:p>
    <w:p>
      <w:pPr>
        <w:numPr>
          <w:ilvl w:val="255"/>
          <w:numId w:val="0"/>
        </w:numPr>
        <w:rPr>
          <w:rFonts w:ascii="仿宋_GB2312" w:eastAsia="仿宋_GB2312"/>
          <w:sz w:val="28"/>
          <w:szCs w:val="32"/>
        </w:rPr>
      </w:pPr>
      <w:r>
        <w:rPr>
          <w:rFonts w:hint="eastAsia" w:ascii="仿宋_GB2312" w:eastAsia="仿宋_GB2312"/>
          <w:sz w:val="28"/>
          <w:szCs w:val="32"/>
        </w:rPr>
        <w:t>《灯具性能 第2-1部分：LED灯具特殊要求》GB/T 31897.201</w:t>
      </w:r>
    </w:p>
    <w:p>
      <w:pPr>
        <w:numPr>
          <w:ilvl w:val="255"/>
          <w:numId w:val="0"/>
        </w:numPr>
        <w:rPr>
          <w:rFonts w:ascii="仿宋_GB2312" w:eastAsia="仿宋_GB2312"/>
          <w:sz w:val="28"/>
          <w:szCs w:val="32"/>
        </w:rPr>
      </w:pPr>
      <w:r>
        <w:rPr>
          <w:rFonts w:hint="eastAsia" w:ascii="仿宋_GB2312" w:eastAsia="仿宋_GB2312"/>
          <w:sz w:val="28"/>
          <w:szCs w:val="32"/>
        </w:rPr>
        <w:t>《灯具 第1部分：一般要求与试验》GB 7000.1</w:t>
      </w:r>
    </w:p>
    <w:p>
      <w:pPr>
        <w:numPr>
          <w:ilvl w:val="255"/>
          <w:numId w:val="0"/>
        </w:numPr>
        <w:rPr>
          <w:rFonts w:ascii="仿宋_GB2312" w:eastAsia="仿宋_GB2312"/>
          <w:sz w:val="28"/>
          <w:szCs w:val="32"/>
        </w:rPr>
      </w:pPr>
      <w:r>
        <w:rPr>
          <w:rFonts w:hint="eastAsia" w:ascii="仿宋_GB2312" w:eastAsia="仿宋_GB2312"/>
          <w:sz w:val="28"/>
          <w:szCs w:val="32"/>
        </w:rPr>
        <w:t>《灯具 第2-3部分：特殊要求 道路与街路照明灯具》GB 7000.203</w:t>
      </w:r>
    </w:p>
    <w:p>
      <w:pPr>
        <w:numPr>
          <w:ilvl w:val="255"/>
          <w:numId w:val="0"/>
        </w:numPr>
        <w:rPr>
          <w:rFonts w:ascii="仿宋_GB2312" w:eastAsia="仿宋_GB2312"/>
          <w:sz w:val="28"/>
          <w:szCs w:val="32"/>
        </w:rPr>
      </w:pPr>
      <w:r>
        <w:rPr>
          <w:rFonts w:hint="eastAsia" w:ascii="仿宋_GB2312" w:eastAsia="仿宋_GB2312"/>
          <w:sz w:val="28"/>
          <w:szCs w:val="32"/>
        </w:rPr>
        <w:t>《电磁兼容 限值 谐波电流发射限值(设备每相输入电流≤16A)》GB 17625.1</w:t>
      </w:r>
    </w:p>
    <w:p>
      <w:pPr>
        <w:numPr>
          <w:ilvl w:val="255"/>
          <w:numId w:val="0"/>
        </w:numPr>
        <w:rPr>
          <w:rFonts w:ascii="仿宋_GB2312" w:eastAsia="仿宋_GB2312"/>
          <w:sz w:val="28"/>
          <w:szCs w:val="32"/>
        </w:rPr>
      </w:pPr>
      <w:r>
        <w:rPr>
          <w:rFonts w:hint="eastAsia" w:ascii="仿宋_GB2312" w:eastAsia="仿宋_GB2312"/>
          <w:sz w:val="28"/>
          <w:szCs w:val="32"/>
        </w:rPr>
        <w:t>《电磁兼容 限值 对每相额定电流≤16A且无条件接入的设备在公用低压供电系统中产生的电压变化、电压波动和闪烁的限制》GB 17625.2</w:t>
      </w:r>
    </w:p>
    <w:p>
      <w:pPr>
        <w:numPr>
          <w:ilvl w:val="255"/>
          <w:numId w:val="0"/>
        </w:numPr>
        <w:rPr>
          <w:rFonts w:ascii="仿宋_GB2312" w:eastAsia="仿宋_GB2312"/>
          <w:sz w:val="28"/>
          <w:szCs w:val="32"/>
        </w:rPr>
      </w:pPr>
      <w:r>
        <w:rPr>
          <w:rFonts w:hint="eastAsia" w:ascii="仿宋_GB2312" w:eastAsia="仿宋_GB2312"/>
          <w:sz w:val="28"/>
          <w:szCs w:val="32"/>
        </w:rPr>
        <w:t>《电气照明和类似设备的无线电骚扰特性的限值和测量方法》GB/T 17743</w:t>
      </w:r>
    </w:p>
    <w:p>
      <w:pPr>
        <w:numPr>
          <w:ilvl w:val="255"/>
          <w:numId w:val="0"/>
        </w:numPr>
        <w:rPr>
          <w:rFonts w:ascii="仿宋_GB2312" w:eastAsia="仿宋_GB2312"/>
          <w:sz w:val="28"/>
          <w:szCs w:val="32"/>
        </w:rPr>
      </w:pPr>
      <w:r>
        <w:rPr>
          <w:rFonts w:hint="eastAsia" w:ascii="仿宋_GB2312" w:eastAsia="仿宋_GB2312"/>
          <w:sz w:val="28"/>
          <w:szCs w:val="32"/>
        </w:rPr>
        <w:t>《一般照明用设备电磁兼容抗扰度要求》GB/T 18595</w:t>
      </w:r>
    </w:p>
    <w:p>
      <w:pPr>
        <w:numPr>
          <w:ilvl w:val="255"/>
          <w:numId w:val="0"/>
        </w:numPr>
        <w:rPr>
          <w:rFonts w:ascii="仿宋_GB2312" w:eastAsia="仿宋_GB2312"/>
          <w:sz w:val="28"/>
          <w:szCs w:val="32"/>
        </w:rPr>
      </w:pPr>
      <w:r>
        <w:rPr>
          <w:rFonts w:hint="eastAsia" w:ascii="仿宋_GB2312" w:eastAsia="仿宋_GB2312"/>
          <w:sz w:val="28"/>
          <w:szCs w:val="32"/>
        </w:rPr>
        <w:t>《电磁兼容 试验和测量技术 静电放电抗扰度试验》GB/T 17626.2</w:t>
      </w:r>
    </w:p>
    <w:p>
      <w:pPr>
        <w:numPr>
          <w:ilvl w:val="255"/>
          <w:numId w:val="0"/>
        </w:numPr>
        <w:rPr>
          <w:rFonts w:ascii="仿宋_GB2312" w:eastAsia="仿宋_GB2312"/>
          <w:sz w:val="28"/>
          <w:szCs w:val="32"/>
        </w:rPr>
      </w:pPr>
      <w:r>
        <w:rPr>
          <w:rFonts w:hint="eastAsia" w:ascii="仿宋_GB2312" w:eastAsia="仿宋_GB2312"/>
          <w:sz w:val="28"/>
          <w:szCs w:val="32"/>
        </w:rPr>
        <w:t>《电磁兼容 试验和测量技术 浪涌(冲击)抗扰度试验》GB/T 17626.5</w:t>
      </w:r>
    </w:p>
    <w:p>
      <w:pPr>
        <w:numPr>
          <w:ilvl w:val="255"/>
          <w:numId w:val="0"/>
        </w:numPr>
        <w:rPr>
          <w:rFonts w:ascii="仿宋_GB2312" w:eastAsia="仿宋_GB2312"/>
          <w:sz w:val="28"/>
          <w:szCs w:val="32"/>
        </w:rPr>
      </w:pPr>
      <w:r>
        <w:rPr>
          <w:rFonts w:hint="eastAsia" w:ascii="仿宋_GB2312" w:eastAsia="仿宋_GB2312"/>
          <w:sz w:val="28"/>
          <w:szCs w:val="32"/>
        </w:rPr>
        <w:t>《电磁兼容 试验和测量技术 射频场感应的传导骚扰抗扰度》GB/T 17626.6</w:t>
      </w:r>
    </w:p>
    <w:p>
      <w:pPr>
        <w:numPr>
          <w:ilvl w:val="255"/>
          <w:numId w:val="0"/>
        </w:numPr>
        <w:rPr>
          <w:rFonts w:ascii="仿宋_GB2312" w:eastAsia="仿宋_GB2312"/>
          <w:sz w:val="28"/>
          <w:szCs w:val="32"/>
        </w:rPr>
      </w:pPr>
      <w:r>
        <w:rPr>
          <w:rFonts w:hint="eastAsia" w:ascii="仿宋_GB2312" w:eastAsia="仿宋_GB2312"/>
          <w:sz w:val="28"/>
          <w:szCs w:val="32"/>
        </w:rPr>
        <w:t>《LED城市道路照明应用技术要求》 GB/T 31832</w:t>
      </w:r>
    </w:p>
    <w:p>
      <w:pPr>
        <w:numPr>
          <w:ilvl w:val="255"/>
          <w:numId w:val="0"/>
        </w:numPr>
        <w:rPr>
          <w:rFonts w:ascii="仿宋_GB2312" w:eastAsia="仿宋_GB2312"/>
          <w:sz w:val="28"/>
          <w:szCs w:val="32"/>
        </w:rPr>
      </w:pPr>
      <w:r>
        <w:rPr>
          <w:rFonts w:hint="eastAsia" w:ascii="仿宋_GB2312" w:eastAsia="仿宋_GB2312"/>
          <w:sz w:val="28"/>
          <w:szCs w:val="32"/>
        </w:rPr>
        <w:t>《公共照明智能系统接口应用层通信协议》CSA-018</w:t>
      </w:r>
    </w:p>
    <w:p>
      <w:pPr>
        <w:numPr>
          <w:ilvl w:val="255"/>
          <w:numId w:val="0"/>
        </w:numPr>
        <w:rPr>
          <w:rFonts w:ascii="仿宋_GB2312" w:eastAsia="仿宋_GB2312"/>
          <w:sz w:val="28"/>
          <w:szCs w:val="32"/>
        </w:rPr>
      </w:pPr>
      <w:r>
        <w:rPr>
          <w:rFonts w:hint="eastAsia" w:ascii="仿宋_GB2312" w:eastAsia="仿宋_GB2312"/>
          <w:sz w:val="28"/>
          <w:szCs w:val="32"/>
        </w:rPr>
        <w:t>《路灯控制管理系统》GB∕T 34923.1~6</w:t>
      </w:r>
    </w:p>
    <w:p>
      <w:pPr>
        <w:numPr>
          <w:ilvl w:val="255"/>
          <w:numId w:val="0"/>
        </w:numPr>
        <w:rPr>
          <w:rFonts w:ascii="仿宋_GB2312" w:eastAsia="仿宋_GB2312"/>
          <w:sz w:val="28"/>
          <w:szCs w:val="32"/>
        </w:rPr>
      </w:pPr>
      <w:r>
        <w:rPr>
          <w:rFonts w:hint="eastAsia" w:ascii="仿宋_GB2312" w:eastAsia="仿宋_GB2312"/>
          <w:sz w:val="28"/>
          <w:szCs w:val="32"/>
        </w:rPr>
        <w:t>《公共安全视频监控联网系统信息传输、交换、控制技术要求》GB/T 28181</w:t>
      </w:r>
    </w:p>
    <w:p>
      <w:pPr>
        <w:numPr>
          <w:ilvl w:val="255"/>
          <w:numId w:val="0"/>
        </w:numPr>
        <w:rPr>
          <w:rFonts w:ascii="仿宋_GB2312" w:eastAsia="仿宋_GB2312"/>
          <w:sz w:val="28"/>
          <w:szCs w:val="32"/>
        </w:rPr>
      </w:pPr>
      <w:r>
        <w:rPr>
          <w:rFonts w:hint="eastAsia" w:ascii="仿宋_GB2312" w:eastAsia="仿宋_GB2312"/>
          <w:sz w:val="28"/>
          <w:szCs w:val="32"/>
        </w:rPr>
        <w:t>《道路交通标志和标线 第1部分：总则》GB5768.1</w:t>
      </w:r>
    </w:p>
    <w:p>
      <w:pPr>
        <w:numPr>
          <w:ilvl w:val="255"/>
          <w:numId w:val="0"/>
        </w:numPr>
        <w:rPr>
          <w:rFonts w:ascii="仿宋_GB2312" w:eastAsia="仿宋_GB2312"/>
          <w:sz w:val="28"/>
          <w:szCs w:val="32"/>
        </w:rPr>
      </w:pPr>
      <w:r>
        <w:rPr>
          <w:rFonts w:hint="eastAsia" w:ascii="仿宋_GB2312" w:eastAsia="仿宋_GB2312"/>
          <w:sz w:val="28"/>
          <w:szCs w:val="32"/>
        </w:rPr>
        <w:t>《道路交通标志和标线 第2部分：道路交通标志》GB5768.2</w:t>
      </w:r>
    </w:p>
    <w:p>
      <w:pPr>
        <w:numPr>
          <w:ilvl w:val="255"/>
          <w:numId w:val="0"/>
        </w:numPr>
        <w:rPr>
          <w:rFonts w:ascii="仿宋_GB2312" w:eastAsia="仿宋_GB2312"/>
          <w:sz w:val="28"/>
          <w:szCs w:val="32"/>
        </w:rPr>
      </w:pPr>
      <w:r>
        <w:rPr>
          <w:rFonts w:hint="eastAsia" w:ascii="仿宋_GB2312" w:eastAsia="仿宋_GB2312"/>
          <w:sz w:val="28"/>
          <w:szCs w:val="32"/>
        </w:rPr>
        <w:t>《城市道路交通标志和标线设置规范》GB51038</w:t>
      </w:r>
    </w:p>
    <w:p>
      <w:pPr>
        <w:numPr>
          <w:ilvl w:val="255"/>
          <w:numId w:val="0"/>
        </w:numPr>
        <w:rPr>
          <w:rFonts w:ascii="仿宋_GB2312" w:eastAsia="仿宋_GB2312"/>
          <w:sz w:val="28"/>
          <w:szCs w:val="32"/>
        </w:rPr>
      </w:pPr>
      <w:r>
        <w:rPr>
          <w:rFonts w:hint="eastAsia" w:ascii="仿宋_GB2312" w:eastAsia="仿宋_GB2312"/>
          <w:sz w:val="28"/>
          <w:szCs w:val="32"/>
        </w:rPr>
        <w:t>《传感器通用术语》GB/T 7665</w:t>
      </w:r>
    </w:p>
    <w:p>
      <w:pPr>
        <w:numPr>
          <w:ilvl w:val="255"/>
          <w:numId w:val="0"/>
        </w:numPr>
        <w:rPr>
          <w:rFonts w:ascii="仿宋_GB2312" w:eastAsia="仿宋_GB2312"/>
          <w:sz w:val="28"/>
          <w:szCs w:val="32"/>
        </w:rPr>
      </w:pPr>
      <w:r>
        <w:rPr>
          <w:rFonts w:hint="eastAsia" w:ascii="仿宋_GB2312" w:eastAsia="仿宋_GB2312"/>
          <w:sz w:val="28"/>
          <w:szCs w:val="32"/>
        </w:rPr>
        <w:t>《微波和被动红外复合入侵探测器》GB 10408.6</w:t>
      </w:r>
    </w:p>
    <w:p>
      <w:pPr>
        <w:numPr>
          <w:ilvl w:val="255"/>
          <w:numId w:val="0"/>
        </w:numPr>
        <w:rPr>
          <w:rFonts w:ascii="仿宋_GB2312" w:eastAsia="仿宋_GB2312"/>
          <w:sz w:val="28"/>
          <w:szCs w:val="32"/>
        </w:rPr>
      </w:pPr>
      <w:r>
        <w:rPr>
          <w:rFonts w:hint="eastAsia" w:ascii="仿宋_GB2312" w:eastAsia="仿宋_GB2312"/>
          <w:sz w:val="28"/>
          <w:szCs w:val="32"/>
        </w:rPr>
        <w:t>《信息技术 传感器网络 第701部分：传感器接口：信号接口》GB/T 30269.701</w:t>
      </w:r>
    </w:p>
    <w:p>
      <w:pPr>
        <w:numPr>
          <w:ilvl w:val="255"/>
          <w:numId w:val="0"/>
        </w:numPr>
        <w:rPr>
          <w:rFonts w:ascii="仿宋_GB2312" w:eastAsia="仿宋_GB2312"/>
          <w:sz w:val="28"/>
          <w:szCs w:val="32"/>
        </w:rPr>
      </w:pPr>
      <w:r>
        <w:rPr>
          <w:rFonts w:hint="eastAsia" w:ascii="仿宋_GB2312" w:eastAsia="仿宋_GB2312"/>
          <w:sz w:val="28"/>
          <w:szCs w:val="32"/>
        </w:rPr>
        <w:t>《压力传感器性能试验方法》GB/T 15478</w:t>
      </w:r>
    </w:p>
    <w:p>
      <w:pPr>
        <w:numPr>
          <w:ilvl w:val="255"/>
          <w:numId w:val="0"/>
        </w:numPr>
        <w:rPr>
          <w:rFonts w:ascii="仿宋_GB2312" w:eastAsia="仿宋_GB2312"/>
          <w:sz w:val="28"/>
          <w:szCs w:val="32"/>
        </w:rPr>
      </w:pPr>
      <w:r>
        <w:rPr>
          <w:rFonts w:hint="eastAsia" w:ascii="仿宋_GB2312" w:eastAsia="仿宋_GB2312"/>
          <w:sz w:val="28"/>
          <w:szCs w:val="32"/>
        </w:rPr>
        <w:t>《电容式湿敏元件与湿度传感器总规范》 GB/T 15768</w:t>
      </w:r>
    </w:p>
    <w:p>
      <w:pPr>
        <w:numPr>
          <w:ilvl w:val="255"/>
          <w:numId w:val="0"/>
        </w:numPr>
        <w:rPr>
          <w:rFonts w:ascii="仿宋_GB2312" w:eastAsia="仿宋_GB2312"/>
          <w:sz w:val="28"/>
          <w:szCs w:val="32"/>
        </w:rPr>
      </w:pPr>
      <w:r>
        <w:rPr>
          <w:rFonts w:hint="eastAsia" w:ascii="仿宋_GB2312" w:eastAsia="仿宋_GB2312"/>
          <w:sz w:val="28"/>
          <w:szCs w:val="32"/>
        </w:rPr>
        <w:t>《公路交通气象监测设施技术要求》GB/T 33697</w:t>
      </w:r>
    </w:p>
    <w:p>
      <w:pPr>
        <w:numPr>
          <w:ilvl w:val="255"/>
          <w:numId w:val="0"/>
        </w:numPr>
        <w:rPr>
          <w:rFonts w:ascii="仿宋_GB2312" w:eastAsia="仿宋_GB2312"/>
          <w:sz w:val="28"/>
          <w:szCs w:val="32"/>
        </w:rPr>
      </w:pPr>
      <w:r>
        <w:rPr>
          <w:rFonts w:hint="eastAsia" w:ascii="仿宋_GB2312" w:eastAsia="仿宋_GB2312"/>
          <w:sz w:val="28"/>
          <w:szCs w:val="32"/>
        </w:rPr>
        <w:t>《水文监测数据通信规约》SL 651</w:t>
      </w:r>
    </w:p>
    <w:p>
      <w:pPr>
        <w:numPr>
          <w:ilvl w:val="255"/>
          <w:numId w:val="0"/>
        </w:numPr>
        <w:rPr>
          <w:rFonts w:ascii="仿宋_GB2312" w:eastAsia="仿宋_GB2312"/>
          <w:sz w:val="28"/>
          <w:szCs w:val="32"/>
        </w:rPr>
      </w:pPr>
      <w:r>
        <w:rPr>
          <w:rFonts w:hint="eastAsia" w:ascii="仿宋_GB2312" w:eastAsia="仿宋_GB2312"/>
          <w:sz w:val="28"/>
          <w:szCs w:val="32"/>
        </w:rPr>
        <w:t>《水文自动测报系统技术规范》SL 61</w:t>
      </w:r>
    </w:p>
    <w:p>
      <w:pPr>
        <w:numPr>
          <w:ilvl w:val="255"/>
          <w:numId w:val="0"/>
        </w:numPr>
        <w:rPr>
          <w:rFonts w:ascii="仿宋_GB2312" w:eastAsia="仿宋_GB2312"/>
          <w:sz w:val="28"/>
          <w:szCs w:val="32"/>
        </w:rPr>
      </w:pPr>
      <w:r>
        <w:rPr>
          <w:rFonts w:hint="eastAsia" w:ascii="仿宋_GB2312" w:eastAsia="仿宋_GB2312"/>
          <w:sz w:val="28"/>
          <w:szCs w:val="32"/>
        </w:rPr>
        <w:t>《发光二极管(LED)显示屏通用规范》SJ/T 11141</w:t>
      </w:r>
    </w:p>
    <w:p>
      <w:pPr>
        <w:rPr>
          <w:rFonts w:ascii="仿宋_GB2312" w:eastAsia="仿宋_GB2312"/>
          <w:sz w:val="28"/>
          <w:szCs w:val="32"/>
        </w:rPr>
      </w:pPr>
      <w:r>
        <w:rPr>
          <w:rFonts w:hint="eastAsia" w:ascii="仿宋_GB2312" w:eastAsia="仿宋_GB2312"/>
          <w:sz w:val="28"/>
          <w:szCs w:val="32"/>
        </w:rPr>
        <w:t>《软件工程 软件产品质量要求与评价（SQuaRE）SQuaRE指南》GB/T 25000.1</w:t>
      </w:r>
    </w:p>
    <w:p>
      <w:pPr>
        <w:rPr>
          <w:rFonts w:ascii="仿宋_GB2312" w:eastAsia="仿宋_GB2312"/>
          <w:sz w:val="28"/>
          <w:szCs w:val="32"/>
        </w:rPr>
      </w:pPr>
      <w:r>
        <w:rPr>
          <w:rFonts w:hint="eastAsia" w:ascii="仿宋_GB2312" w:eastAsia="仿宋_GB2312"/>
          <w:sz w:val="28"/>
          <w:szCs w:val="32"/>
        </w:rPr>
        <w:t>《信息安全技术 信息系统安全管理要求》GB/T20269</w:t>
      </w:r>
    </w:p>
    <w:p>
      <w:pPr>
        <w:rPr>
          <w:rFonts w:ascii="仿宋_GB2312" w:eastAsia="仿宋_GB2312"/>
          <w:sz w:val="28"/>
          <w:szCs w:val="32"/>
        </w:rPr>
      </w:pPr>
      <w:r>
        <w:rPr>
          <w:rFonts w:hint="eastAsia" w:ascii="仿宋_GB2312" w:eastAsia="仿宋_GB2312"/>
          <w:sz w:val="28"/>
          <w:szCs w:val="32"/>
        </w:rPr>
        <w:t>《信息安全技术 信息系统安全工程管理要求》GB/T20282</w:t>
      </w:r>
    </w:p>
    <w:p/>
    <w:p/>
    <w:p/>
    <w:p>
      <w:pPr>
        <w:sectPr>
          <w:headerReference r:id="rId9" w:type="first"/>
          <w:headerReference r:id="rId7" w:type="default"/>
          <w:footerReference r:id="rId10" w:type="default"/>
          <w:headerReference r:id="rId8" w:type="even"/>
          <w:pgSz w:w="11906" w:h="16838"/>
          <w:pgMar w:top="567" w:right="1134" w:bottom="1134" w:left="1418" w:header="1134" w:footer="1134" w:gutter="0"/>
          <w:cols w:space="720" w:num="1"/>
          <w:formProt w:val="0"/>
          <w:docGrid w:type="lines" w:linePitch="312" w:charSpace="0"/>
        </w:sectPr>
      </w:pPr>
    </w:p>
    <w:p>
      <w:pPr>
        <w:autoSpaceDE w:val="0"/>
        <w:autoSpaceDN w:val="0"/>
        <w:adjustRightInd w:val="0"/>
        <w:spacing w:line="640" w:lineRule="exact"/>
        <w:jc w:val="center"/>
        <w:rPr>
          <w:rFonts w:ascii="黑体" w:hAnsi="黑体" w:eastAsia="黑体"/>
          <w:sz w:val="28"/>
          <w:szCs w:val="28"/>
        </w:rPr>
      </w:pPr>
      <w:r>
        <w:rPr>
          <w:rFonts w:hint="eastAsia" w:ascii="黑体" w:hAnsi="黑体" w:eastAsia="黑体"/>
          <w:sz w:val="28"/>
          <w:szCs w:val="28"/>
        </w:rPr>
        <w:t>江西省工程建设标准</w:t>
      </w:r>
    </w:p>
    <w:p>
      <w:pPr>
        <w:autoSpaceDE w:val="0"/>
        <w:autoSpaceDN w:val="0"/>
        <w:adjustRightInd w:val="0"/>
        <w:spacing w:line="720" w:lineRule="auto"/>
        <w:rPr>
          <w:sz w:val="44"/>
          <w:szCs w:val="44"/>
        </w:rPr>
      </w:pPr>
    </w:p>
    <w:p>
      <w:pPr>
        <w:autoSpaceDE w:val="0"/>
        <w:autoSpaceDN w:val="0"/>
        <w:adjustRightInd w:val="0"/>
        <w:spacing w:line="720" w:lineRule="auto"/>
        <w:jc w:val="center"/>
        <w:rPr>
          <w:rFonts w:ascii="黑体" w:hAnsi="黑体" w:eastAsia="黑体"/>
          <w:b/>
          <w:sz w:val="32"/>
          <w:szCs w:val="32"/>
        </w:rPr>
      </w:pPr>
      <w:r>
        <w:rPr>
          <w:rFonts w:hint="eastAsia" w:ascii="黑体" w:hAnsi="黑体" w:eastAsia="黑体"/>
          <w:b/>
          <w:sz w:val="32"/>
          <w:szCs w:val="32"/>
        </w:rPr>
        <w:t>江西省智慧灯杆建设技术标准</w:t>
      </w:r>
    </w:p>
    <w:p>
      <w:pPr>
        <w:autoSpaceDE w:val="0"/>
        <w:autoSpaceDN w:val="0"/>
        <w:adjustRightInd w:val="0"/>
        <w:jc w:val="center"/>
        <w:rPr>
          <w:szCs w:val="21"/>
        </w:rPr>
      </w:pPr>
      <w:r>
        <w:rPr>
          <w:rFonts w:hint="eastAsia" w:ascii="黑体" w:hAnsi="黑体" w:eastAsia="黑体"/>
          <w:szCs w:val="21"/>
        </w:rPr>
        <w:t>Technical standard of the construction of smart lighting pole in JiangXi</w:t>
      </w:r>
    </w:p>
    <w:p>
      <w:pPr>
        <w:autoSpaceDE w:val="0"/>
        <w:autoSpaceDN w:val="0"/>
        <w:adjustRightInd w:val="0"/>
        <w:jc w:val="center"/>
        <w:rPr>
          <w:rFonts w:ascii="黑体" w:hAnsi="黑体" w:eastAsia="黑体" w:cs="黑体"/>
          <w:b/>
          <w:sz w:val="28"/>
          <w:szCs w:val="28"/>
        </w:rPr>
      </w:pPr>
    </w:p>
    <w:p>
      <w:pPr>
        <w:autoSpaceDE w:val="0"/>
        <w:autoSpaceDN w:val="0"/>
        <w:adjustRightInd w:val="0"/>
        <w:jc w:val="center"/>
        <w:rPr>
          <w:rFonts w:ascii="黑体" w:hAnsi="黑体" w:eastAsia="黑体" w:cs="黑体"/>
          <w:b/>
          <w:sz w:val="28"/>
          <w:szCs w:val="28"/>
        </w:rPr>
      </w:pPr>
    </w:p>
    <w:p>
      <w:pPr>
        <w:autoSpaceDE w:val="0"/>
        <w:autoSpaceDN w:val="0"/>
        <w:adjustRightInd w:val="0"/>
        <w:jc w:val="center"/>
        <w:rPr>
          <w:rFonts w:ascii="黑体" w:hAnsi="黑体" w:eastAsia="黑体" w:cs="黑体"/>
          <w:b/>
          <w:sz w:val="28"/>
          <w:szCs w:val="28"/>
        </w:rPr>
      </w:pPr>
    </w:p>
    <w:p>
      <w:pPr>
        <w:autoSpaceDE w:val="0"/>
        <w:autoSpaceDN w:val="0"/>
        <w:adjustRightInd w:val="0"/>
        <w:jc w:val="center"/>
        <w:rPr>
          <w:rFonts w:ascii="黑体" w:hAnsi="黑体" w:eastAsia="黑体" w:cs="黑体"/>
          <w:b/>
          <w:sz w:val="28"/>
          <w:szCs w:val="28"/>
        </w:rPr>
      </w:pPr>
      <w:r>
        <w:rPr>
          <w:rFonts w:hint="eastAsia" w:ascii="黑体" w:hAnsi="黑体" w:eastAsia="黑体" w:cs="黑体"/>
          <w:b/>
          <w:sz w:val="28"/>
          <w:szCs w:val="28"/>
        </w:rPr>
        <w:t>条文说明</w:t>
      </w:r>
    </w:p>
    <w:p>
      <w:pPr>
        <w:autoSpaceDE w:val="0"/>
        <w:autoSpaceDN w:val="0"/>
        <w:adjustRightInd w:val="0"/>
        <w:rPr>
          <w:sz w:val="28"/>
          <w:szCs w:val="28"/>
        </w:rPr>
      </w:pPr>
    </w:p>
    <w:p>
      <w:pPr>
        <w:jc w:val="center"/>
        <w:rPr>
          <w:b/>
          <w:sz w:val="28"/>
          <w:szCs w:val="28"/>
        </w:rPr>
      </w:pPr>
    </w:p>
    <w:p>
      <w:pPr>
        <w:jc w:val="center"/>
        <w:rPr>
          <w:b/>
          <w:sz w:val="28"/>
          <w:szCs w:val="28"/>
        </w:rPr>
      </w:pPr>
    </w:p>
    <w:p>
      <w:pPr>
        <w:ind w:firstLine="2227" w:firstLineChars="696"/>
        <w:rPr>
          <w:rFonts w:ascii="ᒋ⨀ሀ宋体" w:hAnsi="ᒋ⨀ሀ宋体"/>
          <w:b/>
          <w:sz w:val="32"/>
          <w:szCs w:val="32"/>
        </w:rPr>
      </w:pPr>
    </w:p>
    <w:p>
      <w:pPr>
        <w:ind w:firstLine="2227" w:firstLineChars="696"/>
        <w:rPr>
          <w:rFonts w:ascii="ᒋ⨀ሀ宋体" w:hAnsi="ᒋ⨀ሀ宋体"/>
          <w:b/>
          <w:sz w:val="32"/>
          <w:szCs w:val="32"/>
        </w:rPr>
      </w:pPr>
    </w:p>
    <w:p>
      <w:pPr>
        <w:ind w:firstLine="2227" w:firstLineChars="696"/>
        <w:rPr>
          <w:rFonts w:ascii="ᒋ⨀ሀ宋体" w:hAnsi="ᒋ⨀ሀ宋体"/>
          <w:b/>
          <w:sz w:val="32"/>
          <w:szCs w:val="32"/>
        </w:rPr>
      </w:pPr>
    </w:p>
    <w:p>
      <w:pPr>
        <w:rPr>
          <w:rFonts w:ascii="ᒋ⨀ሀ宋体" w:hAnsi="ᒋ⨀ሀ宋体"/>
          <w:b/>
          <w:sz w:val="32"/>
          <w:szCs w:val="32"/>
        </w:rPr>
      </w:pPr>
    </w:p>
    <w:p>
      <w:pPr>
        <w:ind w:right="-50" w:rightChars="-24"/>
        <w:rPr>
          <w:szCs w:val="21"/>
          <w:u w:val="single"/>
        </w:rPr>
        <w:sectPr>
          <w:headerReference r:id="rId11" w:type="default"/>
          <w:headerReference r:id="rId12" w:type="even"/>
          <w:footerReference r:id="rId13" w:type="even"/>
          <w:pgSz w:w="11906" w:h="16838"/>
          <w:pgMar w:top="720" w:right="720" w:bottom="720" w:left="720" w:header="851" w:footer="992" w:gutter="0"/>
          <w:pgNumType w:start="0"/>
          <w:cols w:space="720" w:num="1"/>
          <w:titlePg/>
          <w:docGrid w:type="linesAndChars" w:linePitch="312" w:charSpace="0"/>
        </w:sectPr>
      </w:pPr>
    </w:p>
    <w:p>
      <w:pPr>
        <w:jc w:val="center"/>
        <w:rPr>
          <w:rFonts w:hAnsi="黑体"/>
          <w:b/>
          <w:bCs/>
          <w:sz w:val="28"/>
          <w:szCs w:val="28"/>
        </w:rPr>
      </w:pPr>
      <w:bookmarkStart w:id="865" w:name="_Toc1227"/>
      <w:bookmarkStart w:id="866" w:name="_Toc12111"/>
      <w:r>
        <w:rPr>
          <w:rFonts w:hint="eastAsia"/>
          <w:b/>
          <w:bCs/>
          <w:sz w:val="28"/>
          <w:szCs w:val="28"/>
        </w:rPr>
        <w:t>目</w:t>
      </w:r>
      <w:r>
        <w:rPr>
          <w:rFonts w:hAnsi="黑体"/>
          <w:b/>
          <w:bCs/>
          <w:sz w:val="28"/>
          <w:szCs w:val="28"/>
        </w:rPr>
        <w:t>  </w:t>
      </w:r>
      <w:r>
        <w:rPr>
          <w:rFonts w:hint="eastAsia" w:hAnsi="黑体"/>
          <w:b/>
          <w:bCs/>
          <w:sz w:val="28"/>
          <w:szCs w:val="28"/>
        </w:rPr>
        <w:t>次</w:t>
      </w:r>
      <w:bookmarkEnd w:id="865"/>
      <w:bookmarkEnd w:id="866"/>
    </w:p>
    <w:sdt>
      <w:sdtPr>
        <w:rPr>
          <w:rFonts w:ascii="宋体" w:hAnsi="宋体"/>
          <w:kern w:val="2"/>
          <w:sz w:val="21"/>
          <w:szCs w:val="22"/>
        </w:rPr>
        <w:id w:val="147482520"/>
        <w15:color w:val="DBDBDB"/>
        <w:docPartObj>
          <w:docPartGallery w:val="Table of Contents"/>
          <w:docPartUnique/>
        </w:docPartObj>
      </w:sdtPr>
      <w:sdtEndPr>
        <w:rPr>
          <w:rFonts w:hint="eastAsia" w:ascii="宋体" w:hAnsi="宋体"/>
          <w:kern w:val="2"/>
          <w:sz w:val="21"/>
          <w:szCs w:val="22"/>
        </w:rPr>
      </w:sdtEndPr>
      <w:sdtContent>
        <w:p>
          <w:pPr>
            <w:pStyle w:val="176"/>
            <w:tabs>
              <w:tab w:val="right" w:leader="dot" w:pos="9354"/>
            </w:tabs>
          </w:pPr>
          <w:r>
            <w:rPr>
              <w:rFonts w:hint="eastAsia"/>
            </w:rPr>
            <w:fldChar w:fldCharType="begin"/>
          </w:r>
          <w:r>
            <w:rPr>
              <w:rFonts w:hint="eastAsia"/>
            </w:rPr>
            <w:instrText xml:space="preserve">TOC \o "1-3" \h \u </w:instrText>
          </w:r>
          <w:r>
            <w:rPr>
              <w:rFonts w:hint="eastAsia"/>
            </w:rPr>
            <w:fldChar w:fldCharType="separate"/>
          </w:r>
        </w:p>
        <w:p>
          <w:pPr>
            <w:pStyle w:val="177"/>
            <w:tabs>
              <w:tab w:val="right" w:leader="dot" w:pos="9354"/>
            </w:tabs>
            <w:ind w:left="420"/>
          </w:pPr>
          <w:r>
            <w:fldChar w:fldCharType="begin"/>
          </w:r>
          <w:r>
            <w:instrText xml:space="preserve"> HYPERLINK \l "_Toc13218" </w:instrText>
          </w:r>
          <w:r>
            <w:fldChar w:fldCharType="separate"/>
          </w:r>
          <w:r>
            <w:rPr>
              <w:rFonts w:hint="eastAsia"/>
            </w:rPr>
            <w:t>3 基本规定</w:t>
          </w:r>
          <w:r>
            <w:tab/>
          </w:r>
          <w:r>
            <w:fldChar w:fldCharType="begin"/>
          </w:r>
          <w:r>
            <w:instrText xml:space="preserve"> PAGEREF _Toc13218 </w:instrText>
          </w:r>
          <w:r>
            <w:fldChar w:fldCharType="separate"/>
          </w:r>
          <w:r>
            <w:t>2</w:t>
          </w:r>
          <w:r>
            <w:fldChar w:fldCharType="end"/>
          </w:r>
          <w:r>
            <w:fldChar w:fldCharType="end"/>
          </w:r>
        </w:p>
        <w:p>
          <w:pPr>
            <w:pStyle w:val="178"/>
            <w:tabs>
              <w:tab w:val="right" w:leader="dot" w:pos="9354"/>
            </w:tabs>
            <w:ind w:left="840"/>
          </w:pPr>
          <w:r>
            <w:fldChar w:fldCharType="begin"/>
          </w:r>
          <w:r>
            <w:instrText xml:space="preserve"> HYPERLINK \l "_Toc13781" </w:instrText>
          </w:r>
          <w:r>
            <w:fldChar w:fldCharType="separate"/>
          </w:r>
          <w:r>
            <w:rPr>
              <w:rFonts w:hint="eastAsia"/>
            </w:rPr>
            <w:t>3.3 结构类型</w:t>
          </w:r>
          <w:r>
            <w:tab/>
          </w:r>
          <w:r>
            <w:fldChar w:fldCharType="begin"/>
          </w:r>
          <w:r>
            <w:instrText xml:space="preserve"> PAGEREF _Toc13781 </w:instrText>
          </w:r>
          <w:r>
            <w:fldChar w:fldCharType="separate"/>
          </w:r>
          <w:r>
            <w:t>2</w:t>
          </w:r>
          <w:r>
            <w:fldChar w:fldCharType="end"/>
          </w:r>
          <w:r>
            <w:fldChar w:fldCharType="end"/>
          </w:r>
        </w:p>
        <w:p>
          <w:pPr>
            <w:pStyle w:val="177"/>
            <w:tabs>
              <w:tab w:val="right" w:leader="dot" w:pos="9354"/>
            </w:tabs>
            <w:ind w:left="420"/>
          </w:pPr>
          <w:r>
            <w:fldChar w:fldCharType="begin"/>
          </w:r>
          <w:r>
            <w:instrText xml:space="preserve"> HYPERLINK \l "_Toc4711" </w:instrText>
          </w:r>
          <w:r>
            <w:fldChar w:fldCharType="separate"/>
          </w:r>
          <w:r>
            <w:rPr>
              <w:rFonts w:hint="eastAsia"/>
            </w:rPr>
            <w:t>4 杆体</w:t>
          </w:r>
          <w:r>
            <w:tab/>
          </w:r>
          <w:r>
            <w:fldChar w:fldCharType="begin"/>
          </w:r>
          <w:r>
            <w:instrText xml:space="preserve"> PAGEREF _Toc4711 </w:instrText>
          </w:r>
          <w:r>
            <w:fldChar w:fldCharType="separate"/>
          </w:r>
          <w:r>
            <w:t>3</w:t>
          </w:r>
          <w:r>
            <w:fldChar w:fldCharType="end"/>
          </w:r>
          <w:r>
            <w:fldChar w:fldCharType="end"/>
          </w:r>
        </w:p>
        <w:p>
          <w:pPr>
            <w:pStyle w:val="178"/>
            <w:tabs>
              <w:tab w:val="right" w:leader="dot" w:pos="9354"/>
            </w:tabs>
            <w:ind w:left="840"/>
          </w:pPr>
          <w:r>
            <w:fldChar w:fldCharType="begin"/>
          </w:r>
          <w:r>
            <w:instrText xml:space="preserve"> HYPERLINK \l "_Toc24865" </w:instrText>
          </w:r>
          <w:r>
            <w:fldChar w:fldCharType="separate"/>
          </w:r>
          <w:r>
            <w:rPr>
              <w:rFonts w:hint="eastAsia"/>
            </w:rPr>
            <w:t>4.5 杆体接口</w:t>
          </w:r>
          <w:r>
            <w:tab/>
          </w:r>
          <w:r>
            <w:fldChar w:fldCharType="begin"/>
          </w:r>
          <w:r>
            <w:instrText xml:space="preserve"> PAGEREF _Toc24865 </w:instrText>
          </w:r>
          <w:r>
            <w:fldChar w:fldCharType="separate"/>
          </w:r>
          <w:r>
            <w:t>3</w:t>
          </w:r>
          <w:r>
            <w:fldChar w:fldCharType="end"/>
          </w:r>
          <w:r>
            <w:fldChar w:fldCharType="end"/>
          </w:r>
        </w:p>
        <w:p>
          <w:pPr>
            <w:pStyle w:val="178"/>
            <w:tabs>
              <w:tab w:val="right" w:leader="dot" w:pos="9354"/>
            </w:tabs>
            <w:ind w:left="840"/>
          </w:pPr>
          <w:r>
            <w:fldChar w:fldCharType="begin"/>
          </w:r>
          <w:r>
            <w:instrText xml:space="preserve"> HYPERLINK \l "_Toc24019" </w:instrText>
          </w:r>
          <w:r>
            <w:fldChar w:fldCharType="separate"/>
          </w:r>
          <w:r>
            <w:rPr>
              <w:rFonts w:hint="eastAsia"/>
            </w:rPr>
            <w:t>4.6 安全设计要求</w:t>
          </w:r>
          <w:r>
            <w:tab/>
          </w:r>
          <w:r>
            <w:fldChar w:fldCharType="begin"/>
          </w:r>
          <w:r>
            <w:instrText xml:space="preserve"> PAGEREF _Toc24019 </w:instrText>
          </w:r>
          <w:r>
            <w:fldChar w:fldCharType="separate"/>
          </w:r>
          <w:r>
            <w:t>3</w:t>
          </w:r>
          <w:r>
            <w:fldChar w:fldCharType="end"/>
          </w:r>
          <w:r>
            <w:fldChar w:fldCharType="end"/>
          </w:r>
        </w:p>
        <w:p>
          <w:pPr>
            <w:pStyle w:val="178"/>
            <w:tabs>
              <w:tab w:val="right" w:leader="dot" w:pos="9354"/>
            </w:tabs>
            <w:ind w:left="840"/>
          </w:pPr>
          <w:r>
            <w:fldChar w:fldCharType="begin"/>
          </w:r>
          <w:r>
            <w:instrText xml:space="preserve"> HYPERLINK \l "_Toc10891" </w:instrText>
          </w:r>
          <w:r>
            <w:fldChar w:fldCharType="separate"/>
          </w:r>
          <w:r>
            <w:rPr>
              <w:rFonts w:hint="eastAsia"/>
            </w:rPr>
            <w:t>4.6.2 荷载要求</w:t>
          </w:r>
          <w:r>
            <w:tab/>
          </w:r>
          <w:r>
            <w:fldChar w:fldCharType="begin"/>
          </w:r>
          <w:r>
            <w:instrText xml:space="preserve"> PAGEREF _Toc10891 </w:instrText>
          </w:r>
          <w:r>
            <w:fldChar w:fldCharType="separate"/>
          </w:r>
          <w:r>
            <w:t>3</w:t>
          </w:r>
          <w:r>
            <w:fldChar w:fldCharType="end"/>
          </w:r>
          <w:r>
            <w:fldChar w:fldCharType="end"/>
          </w:r>
        </w:p>
        <w:p>
          <w:pPr>
            <w:pStyle w:val="178"/>
            <w:tabs>
              <w:tab w:val="right" w:leader="dot" w:pos="9354"/>
            </w:tabs>
            <w:ind w:left="840"/>
          </w:pPr>
          <w:r>
            <w:fldChar w:fldCharType="begin"/>
          </w:r>
          <w:r>
            <w:instrText xml:space="preserve"> HYPERLINK \l "_Toc17321" </w:instrText>
          </w:r>
          <w:r>
            <w:fldChar w:fldCharType="separate"/>
          </w:r>
          <w:r>
            <w:rPr>
              <w:rFonts w:hint="eastAsia"/>
            </w:rPr>
            <w:t>4.6.3 防雷接地</w:t>
          </w:r>
          <w:r>
            <w:tab/>
          </w:r>
          <w:r>
            <w:fldChar w:fldCharType="begin"/>
          </w:r>
          <w:r>
            <w:instrText xml:space="preserve"> PAGEREF _Toc17321 </w:instrText>
          </w:r>
          <w:r>
            <w:fldChar w:fldCharType="separate"/>
          </w:r>
          <w:r>
            <w:t>4</w:t>
          </w:r>
          <w:r>
            <w:fldChar w:fldCharType="end"/>
          </w:r>
          <w:r>
            <w:fldChar w:fldCharType="end"/>
          </w:r>
        </w:p>
        <w:p>
          <w:pPr>
            <w:pStyle w:val="178"/>
            <w:tabs>
              <w:tab w:val="right" w:leader="dot" w:pos="9354"/>
            </w:tabs>
            <w:ind w:left="840"/>
          </w:pPr>
          <w:r>
            <w:fldChar w:fldCharType="begin"/>
          </w:r>
          <w:r>
            <w:instrText xml:space="preserve"> HYPERLINK \l "_Toc25454" </w:instrText>
          </w:r>
          <w:r>
            <w:fldChar w:fldCharType="separate"/>
          </w:r>
          <w:r>
            <w:rPr>
              <w:rFonts w:hint="eastAsia"/>
            </w:rPr>
            <w:t>4.6.4 接地保护</w:t>
          </w:r>
          <w:r>
            <w:tab/>
          </w:r>
          <w:r>
            <w:fldChar w:fldCharType="begin"/>
          </w:r>
          <w:r>
            <w:instrText xml:space="preserve"> PAGEREF _Toc25454 </w:instrText>
          </w:r>
          <w:r>
            <w:fldChar w:fldCharType="separate"/>
          </w:r>
          <w:r>
            <w:t>5</w:t>
          </w:r>
          <w:r>
            <w:fldChar w:fldCharType="end"/>
          </w:r>
          <w:r>
            <w:fldChar w:fldCharType="end"/>
          </w:r>
        </w:p>
        <w:p>
          <w:pPr>
            <w:pStyle w:val="177"/>
            <w:tabs>
              <w:tab w:val="right" w:leader="dot" w:pos="9354"/>
            </w:tabs>
            <w:ind w:left="420"/>
          </w:pPr>
          <w:r>
            <w:fldChar w:fldCharType="begin"/>
          </w:r>
          <w:r>
            <w:instrText xml:space="preserve"> HYPERLINK \l "_Toc18417" </w:instrText>
          </w:r>
          <w:r>
            <w:fldChar w:fldCharType="separate"/>
          </w:r>
          <w:r>
            <w:rPr>
              <w:rFonts w:hint="eastAsia"/>
            </w:rPr>
            <w:t>6 附属配套</w:t>
          </w:r>
          <w:r>
            <w:tab/>
          </w:r>
          <w:r>
            <w:fldChar w:fldCharType="begin"/>
          </w:r>
          <w:r>
            <w:instrText xml:space="preserve"> PAGEREF _Toc18417 </w:instrText>
          </w:r>
          <w:r>
            <w:fldChar w:fldCharType="separate"/>
          </w:r>
          <w:r>
            <w:t>6</w:t>
          </w:r>
          <w:r>
            <w:fldChar w:fldCharType="end"/>
          </w:r>
          <w:r>
            <w:fldChar w:fldCharType="end"/>
          </w:r>
        </w:p>
        <w:p>
          <w:pPr>
            <w:pStyle w:val="178"/>
            <w:tabs>
              <w:tab w:val="right" w:leader="dot" w:pos="9354"/>
            </w:tabs>
            <w:ind w:left="840"/>
          </w:pPr>
          <w:r>
            <w:fldChar w:fldCharType="begin"/>
          </w:r>
          <w:r>
            <w:instrText xml:space="preserve"> HYPERLINK \l "_Toc22730" </w:instrText>
          </w:r>
          <w:r>
            <w:fldChar w:fldCharType="separate"/>
          </w:r>
          <w:r>
            <w:rPr>
              <w:rFonts w:hint="eastAsia"/>
            </w:rPr>
            <w:t>6.2 配套管道</w:t>
          </w:r>
          <w:r>
            <w:tab/>
          </w:r>
          <w:r>
            <w:fldChar w:fldCharType="begin"/>
          </w:r>
          <w:r>
            <w:instrText xml:space="preserve"> PAGEREF _Toc22730 </w:instrText>
          </w:r>
          <w:r>
            <w:fldChar w:fldCharType="separate"/>
          </w:r>
          <w:r>
            <w:t>6</w:t>
          </w:r>
          <w:r>
            <w:fldChar w:fldCharType="end"/>
          </w:r>
          <w:r>
            <w:fldChar w:fldCharType="end"/>
          </w:r>
        </w:p>
        <w:p>
          <w:pPr>
            <w:pStyle w:val="178"/>
            <w:tabs>
              <w:tab w:val="right" w:leader="dot" w:pos="9354"/>
            </w:tabs>
            <w:ind w:left="840"/>
          </w:pPr>
          <w:r>
            <w:fldChar w:fldCharType="begin"/>
          </w:r>
          <w:r>
            <w:instrText xml:space="preserve"> HYPERLINK \l "_Toc337" </w:instrText>
          </w:r>
          <w:r>
            <w:fldChar w:fldCharType="separate"/>
          </w:r>
          <w:r>
            <w:rPr>
              <w:rFonts w:hint="eastAsia"/>
            </w:rPr>
            <w:t>6.3 综合机箱</w:t>
          </w:r>
          <w:r>
            <w:tab/>
          </w:r>
          <w:r>
            <w:fldChar w:fldCharType="begin"/>
          </w:r>
          <w:r>
            <w:instrText xml:space="preserve"> PAGEREF _Toc337 </w:instrText>
          </w:r>
          <w:r>
            <w:fldChar w:fldCharType="separate"/>
          </w:r>
          <w:r>
            <w:t>6</w:t>
          </w:r>
          <w:r>
            <w:fldChar w:fldCharType="end"/>
          </w:r>
          <w:r>
            <w:fldChar w:fldCharType="end"/>
          </w:r>
        </w:p>
        <w:p>
          <w:pPr>
            <w:pStyle w:val="177"/>
            <w:tabs>
              <w:tab w:val="right" w:leader="dot" w:pos="9354"/>
            </w:tabs>
            <w:ind w:left="420"/>
          </w:pPr>
          <w:r>
            <w:fldChar w:fldCharType="begin"/>
          </w:r>
          <w:r>
            <w:instrText xml:space="preserve"> HYPERLINK \l "_Toc3512" </w:instrText>
          </w:r>
          <w:r>
            <w:fldChar w:fldCharType="separate"/>
          </w:r>
          <w:r>
            <w:rPr>
              <w:rFonts w:hint="eastAsia"/>
            </w:rPr>
            <w:t>10 运行和维护</w:t>
          </w:r>
          <w:r>
            <w:tab/>
          </w:r>
          <w:r>
            <w:fldChar w:fldCharType="begin"/>
          </w:r>
          <w:r>
            <w:instrText xml:space="preserve"> PAGEREF _Toc3512 </w:instrText>
          </w:r>
          <w:r>
            <w:fldChar w:fldCharType="separate"/>
          </w:r>
          <w:r>
            <w:t>8</w:t>
          </w:r>
          <w:r>
            <w:fldChar w:fldCharType="end"/>
          </w:r>
          <w:r>
            <w:fldChar w:fldCharType="end"/>
          </w:r>
        </w:p>
        <w:p>
          <w:pPr>
            <w:pStyle w:val="178"/>
            <w:tabs>
              <w:tab w:val="right" w:leader="dot" w:pos="9354"/>
            </w:tabs>
            <w:ind w:left="840"/>
          </w:pPr>
          <w:r>
            <w:fldChar w:fldCharType="begin"/>
          </w:r>
          <w:r>
            <w:instrText xml:space="preserve"> HYPERLINK \l "_Toc10746" </w:instrText>
          </w:r>
          <w:r>
            <w:fldChar w:fldCharType="separate"/>
          </w:r>
          <w:r>
            <w:rPr>
              <w:rFonts w:hint="eastAsia"/>
            </w:rPr>
            <w:t>10.5 系统平台</w:t>
          </w:r>
          <w:r>
            <w:tab/>
          </w:r>
          <w:r>
            <w:fldChar w:fldCharType="begin"/>
          </w:r>
          <w:r>
            <w:instrText xml:space="preserve"> PAGEREF _Toc10746 </w:instrText>
          </w:r>
          <w:r>
            <w:fldChar w:fldCharType="separate"/>
          </w:r>
          <w:r>
            <w:t>8</w:t>
          </w:r>
          <w:r>
            <w:fldChar w:fldCharType="end"/>
          </w:r>
          <w:r>
            <w:fldChar w:fldCharType="end"/>
          </w:r>
        </w:p>
        <w:p>
          <w:pPr>
            <w:pStyle w:val="26"/>
          </w:pPr>
          <w:r>
            <w:rPr>
              <w:rFonts w:hint="eastAsia"/>
            </w:rPr>
            <w:fldChar w:fldCharType="end"/>
          </w:r>
        </w:p>
      </w:sdtContent>
    </w:sdt>
    <w:p>
      <w:r>
        <w:br w:type="page"/>
      </w:r>
    </w:p>
    <w:p>
      <w:pPr>
        <w:pStyle w:val="85"/>
        <w:numPr>
          <w:ilvl w:val="0"/>
          <w:numId w:val="0"/>
        </w:numPr>
        <w:spacing w:before="312" w:after="312"/>
        <w:outlineLvl w:val="0"/>
      </w:pPr>
      <w:bookmarkStart w:id="867" w:name="_Toc13218"/>
      <w:r>
        <w:rPr>
          <w:rFonts w:hint="eastAsia"/>
        </w:rPr>
        <w:t>3 基本规定</w:t>
      </w:r>
      <w:bookmarkEnd w:id="867"/>
    </w:p>
    <w:p>
      <w:pPr>
        <w:pStyle w:val="53"/>
        <w:numPr>
          <w:ilvl w:val="1"/>
          <w:numId w:val="0"/>
        </w:numPr>
        <w:spacing w:before="156" w:after="156"/>
        <w:outlineLvl w:val="1"/>
      </w:pPr>
      <w:bookmarkStart w:id="868" w:name="_Toc13781"/>
      <w:r>
        <w:rPr>
          <w:rFonts w:hint="eastAsia"/>
        </w:rPr>
        <w:t>3.3 结构类型</w:t>
      </w:r>
      <w:bookmarkEnd w:id="868"/>
    </w:p>
    <w:p>
      <w:pPr>
        <w:pStyle w:val="26"/>
        <w:rPr>
          <w:color w:val="000000" w:themeColor="text1"/>
          <w:szCs w:val="21"/>
          <w14:textFill>
            <w14:solidFill>
              <w14:schemeClr w14:val="tx1"/>
            </w14:solidFill>
          </w14:textFill>
        </w:rPr>
      </w:pPr>
      <w:r>
        <w:rPr>
          <w:rFonts w:hint="eastAsia" w:ascii="黑体" w:hAnsi="黑体" w:eastAsia="黑体" w:cs="黑体"/>
          <w:color w:val="000000" w:themeColor="text1"/>
          <w:szCs w:val="21"/>
          <w14:textFill>
            <w14:solidFill>
              <w14:schemeClr w14:val="tx1"/>
            </w14:solidFill>
          </w14:textFill>
        </w:rPr>
        <w:t>3.3.1</w:t>
      </w:r>
      <w:r>
        <w:rPr>
          <w:rFonts w:hint="eastAsia"/>
          <w:color w:val="000000" w:themeColor="text1"/>
          <w:szCs w:val="21"/>
          <w14:textFill>
            <w14:solidFill>
              <w14:schemeClr w14:val="tx1"/>
            </w14:solidFill>
          </w14:textFill>
        </w:rPr>
        <w:t xml:space="preserve"> 智慧灯杆三种结构类型可参见附录B 智慧灯杆结构类型示例。针对智慧灯杆的几种典型应用场景，根据技术可行、经济合理的推荐原则给出建议：</w:t>
      </w:r>
    </w:p>
    <w:p>
      <w:pPr>
        <w:pStyle w:val="26"/>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固定式结构造型简单，成本造价较低，符合技术可行经济合理性要求，适用于大面积布设；</w:t>
      </w:r>
    </w:p>
    <w:p>
      <w:pPr>
        <w:pStyle w:val="26"/>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滑槽式造型美观，设备安装位置灵活，但其造价较高，承载能力低；适用于公园、风景区、商业步行街、小区等对承载能力要求相对不高，对美观要求高的应用场景。</w:t>
      </w:r>
    </w:p>
    <w:p>
      <w:pPr>
        <w:pStyle w:val="26"/>
        <w:numPr>
          <w:ilvl w:val="255"/>
          <w:numId w:val="0"/>
        </w:num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机架式易于安装维护，造价低，造型不够美观；适用于工业区等对功能模块有增减需求、造型要求不高的区域。</w:t>
      </w:r>
    </w:p>
    <w:p>
      <w:bookmarkStart w:id="869" w:name="_Toc4711"/>
      <w:r>
        <w:rPr>
          <w:rFonts w:hint="eastAsia"/>
        </w:rPr>
        <w:br w:type="page"/>
      </w:r>
    </w:p>
    <w:p>
      <w:pPr>
        <w:pStyle w:val="85"/>
        <w:numPr>
          <w:ilvl w:val="0"/>
          <w:numId w:val="0"/>
        </w:numPr>
        <w:spacing w:before="312" w:after="312"/>
        <w:outlineLvl w:val="0"/>
      </w:pPr>
      <w:r>
        <w:rPr>
          <w:rFonts w:hint="eastAsia"/>
        </w:rPr>
        <w:t>4 杆体</w:t>
      </w:r>
      <w:bookmarkEnd w:id="869"/>
    </w:p>
    <w:p>
      <w:pPr>
        <w:pStyle w:val="53"/>
        <w:numPr>
          <w:ilvl w:val="1"/>
          <w:numId w:val="0"/>
        </w:numPr>
        <w:spacing w:before="156" w:after="156"/>
        <w:outlineLvl w:val="1"/>
      </w:pPr>
      <w:bookmarkStart w:id="870" w:name="_Toc24865"/>
      <w:r>
        <w:rPr>
          <w:rFonts w:hint="eastAsia"/>
        </w:rPr>
        <w:t>4.5 杆体接口</w:t>
      </w:r>
      <w:bookmarkEnd w:id="870"/>
    </w:p>
    <w:p>
      <w:pPr>
        <w:jc w:val="left"/>
        <w:rPr>
          <w:b/>
          <w:bCs/>
          <w:i/>
          <w:iCs/>
          <w:color w:val="FF0000"/>
          <w:szCs w:val="21"/>
        </w:rPr>
      </w:pPr>
      <w:r>
        <w:rPr>
          <w:rFonts w:hint="eastAsia" w:ascii="黑体" w:hAnsi="黑体" w:eastAsia="黑体" w:cs="黑体"/>
          <w:color w:val="000000" w:themeColor="text1"/>
          <w:szCs w:val="21"/>
          <w14:textFill>
            <w14:solidFill>
              <w14:schemeClr w14:val="tx1"/>
            </w14:solidFill>
          </w14:textFill>
        </w:rPr>
        <w:t>4.5.3</w:t>
      </w:r>
      <w:r>
        <w:rPr>
          <w:rFonts w:hint="eastAsia" w:ascii="宋体" w:hAnsi="宋体"/>
          <w:color w:val="000000" w:themeColor="text1"/>
          <w:szCs w:val="21"/>
          <w14:textFill>
            <w14:solidFill>
              <w14:schemeClr w14:val="tx1"/>
            </w14:solidFill>
          </w14:textFill>
        </w:rPr>
        <w:t xml:space="preserve"> 匹配金属盖板形式如下：</w:t>
      </w:r>
      <w:r>
        <w:rPr>
          <w:b/>
          <w:bCs/>
          <w:i/>
          <w:iCs/>
          <w:color w:val="FF0000"/>
          <w:szCs w:val="21"/>
        </w:rPr>
        <w:drawing>
          <wp:inline distT="0" distB="0" distL="0" distR="0">
            <wp:extent cx="5881370" cy="4641850"/>
            <wp:effectExtent l="0" t="0" r="5080" b="6350"/>
            <wp:docPr id="2" name="图片 2" descr="096a45aa3a322340b4b4ba47c0b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96a45aa3a322340b4b4ba47c0b3882"/>
                    <pic:cNvPicPr>
                      <a:picLocks noChangeAspect="1" noChangeArrowheads="1"/>
                    </pic:cNvPicPr>
                  </pic:nvPicPr>
                  <pic:blipFill>
                    <a:blip r:embed="rId37" cstate="print"/>
                    <a:srcRect/>
                    <a:stretch>
                      <a:fillRect/>
                    </a:stretch>
                  </pic:blipFill>
                  <pic:spPr>
                    <a:xfrm>
                      <a:off x="0" y="0"/>
                      <a:ext cx="5881370" cy="4641850"/>
                    </a:xfrm>
                    <a:prstGeom prst="rect">
                      <a:avLst/>
                    </a:prstGeom>
                    <a:noFill/>
                    <a:ln w="9525" cmpd="sng">
                      <a:noFill/>
                      <a:miter lim="800000"/>
                      <a:headEnd/>
                      <a:tailEnd/>
                    </a:ln>
                  </pic:spPr>
                </pic:pic>
              </a:graphicData>
            </a:graphic>
          </wp:inline>
        </w:drawing>
      </w:r>
    </w:p>
    <w:p>
      <w:pPr>
        <w:spacing w:line="360" w:lineRule="auto"/>
        <w:jc w:val="left"/>
        <w:rPr>
          <w:rFonts w:ascii="宋体" w:hAnsi="宋体"/>
          <w:color w:val="000000" w:themeColor="text1"/>
          <w:szCs w:val="21"/>
          <w14:textFill>
            <w14:solidFill>
              <w14:schemeClr w14:val="tx1"/>
            </w14:solidFill>
          </w14:textFill>
        </w:rPr>
      </w:pPr>
      <w:r>
        <w:rPr>
          <w:rFonts w:hint="eastAsia" w:ascii="黑体" w:hAnsi="黑体" w:eastAsia="黑体" w:cs="黑体"/>
          <w:color w:val="000000" w:themeColor="text1"/>
          <w:szCs w:val="21"/>
          <w14:textFill>
            <w14:solidFill>
              <w14:schemeClr w14:val="tx1"/>
            </w14:solidFill>
          </w14:textFill>
        </w:rPr>
        <w:t xml:space="preserve">4.5.4 </w:t>
      </w:r>
      <w:r>
        <w:rPr>
          <w:rFonts w:hint="eastAsia" w:ascii="宋体" w:hAnsi="宋体"/>
          <w:color w:val="000000" w:themeColor="text1"/>
          <w:szCs w:val="21"/>
          <w14:textFill>
            <w14:solidFill>
              <w14:schemeClr w14:val="tx1"/>
            </w14:solidFill>
          </w14:textFill>
        </w:rPr>
        <w:t>接线孔作为挂载设备就近与电缆连接的通道，在线缆布放前后均应做好防水处理，避免杆体内部进水。</w:t>
      </w:r>
    </w:p>
    <w:p>
      <w:pPr>
        <w:pStyle w:val="53"/>
        <w:numPr>
          <w:ilvl w:val="1"/>
          <w:numId w:val="0"/>
        </w:numPr>
        <w:spacing w:before="156" w:after="156"/>
        <w:outlineLvl w:val="1"/>
      </w:pPr>
      <w:bookmarkStart w:id="871" w:name="_Toc24019"/>
      <w:r>
        <w:rPr>
          <w:rFonts w:hint="eastAsia"/>
        </w:rPr>
        <w:t>4.6 安全设计要求</w:t>
      </w:r>
      <w:bookmarkEnd w:id="871"/>
    </w:p>
    <w:p>
      <w:pPr>
        <w:pStyle w:val="52"/>
        <w:numPr>
          <w:ilvl w:val="2"/>
          <w:numId w:val="0"/>
        </w:numPr>
        <w:tabs>
          <w:tab w:val="left" w:pos="420"/>
          <w:tab w:val="clear" w:pos="0"/>
        </w:tabs>
        <w:spacing w:before="156" w:after="156"/>
        <w:outlineLvl w:val="2"/>
        <w:rPr>
          <w:rFonts w:ascii="宋体" w:hAnsi="宋体" w:eastAsia="宋体"/>
          <w:color w:val="000000" w:themeColor="text1"/>
          <w:kern w:val="2"/>
          <w14:textFill>
            <w14:solidFill>
              <w14:schemeClr w14:val="tx1"/>
            </w14:solidFill>
          </w14:textFill>
        </w:rPr>
      </w:pPr>
      <w:bookmarkStart w:id="872" w:name="_Toc10891"/>
      <w:r>
        <w:rPr>
          <w:rFonts w:hint="eastAsia"/>
        </w:rPr>
        <w:t>4.6.2 荷载要求</w:t>
      </w:r>
      <w:bookmarkEnd w:id="872"/>
    </w:p>
    <w:p>
      <w:pPr>
        <w:spacing w:line="360" w:lineRule="auto"/>
        <w:jc w:val="left"/>
        <w:rPr>
          <w:rFonts w:ascii="宋体" w:hAnsi="宋体"/>
          <w:color w:val="000000" w:themeColor="text1"/>
          <w:szCs w:val="21"/>
          <w14:textFill>
            <w14:solidFill>
              <w14:schemeClr w14:val="tx1"/>
            </w14:solidFill>
          </w14:textFill>
        </w:rPr>
      </w:pPr>
      <w:r>
        <w:rPr>
          <w:rFonts w:hint="eastAsia" w:ascii="黑体" w:hAnsi="黑体" w:eastAsia="黑体" w:cs="黑体"/>
          <w:color w:val="000000" w:themeColor="text1"/>
          <w:szCs w:val="21"/>
          <w14:textFill>
            <w14:solidFill>
              <w14:schemeClr w14:val="tx1"/>
            </w14:solidFill>
          </w14:textFill>
        </w:rPr>
        <w:t xml:space="preserve">4.6.2.4 </w:t>
      </w:r>
      <w:r>
        <w:rPr>
          <w:rFonts w:hint="eastAsia" w:ascii="宋体" w:hAnsi="宋体"/>
          <w:color w:val="000000" w:themeColor="text1"/>
          <w:szCs w:val="21"/>
          <w14:textFill>
            <w14:solidFill>
              <w14:schemeClr w14:val="tx1"/>
            </w14:solidFill>
          </w14:textFill>
        </w:rPr>
        <w:t>根据《建筑结构荷载规范》GB50009，基本风压应按本规范规定的方法确定的50年重现期的风压，但不得小于0.3KN/m2。对于高层建筑、高耸结构以及对风荷载比较敏感的其他结构，基本风压的取值应适提高，并应符合有关结构设计规范的规定。根据《移动通信工程钢结构设计规范》YD/T 5131，钢塔桅结构所承受的风荷载计算应按现行国家标准《建筑结构荷载规范》GB50009的规定执行，基本风压按50年一遇采用，但基本风压不得小于0.35KN/m2。</w:t>
      </w:r>
    </w:p>
    <w:p>
      <w:pPr>
        <w:pStyle w:val="52"/>
        <w:numPr>
          <w:ilvl w:val="2"/>
          <w:numId w:val="0"/>
        </w:numPr>
        <w:tabs>
          <w:tab w:val="left" w:pos="420"/>
          <w:tab w:val="clear" w:pos="0"/>
        </w:tabs>
        <w:spacing w:before="156" w:after="156"/>
        <w:outlineLvl w:val="2"/>
        <w:rPr>
          <w:rFonts w:ascii="宋体" w:hAnsi="宋体" w:eastAsia="宋体"/>
          <w:color w:val="000000" w:themeColor="text1"/>
          <w:kern w:val="2"/>
          <w14:textFill>
            <w14:solidFill>
              <w14:schemeClr w14:val="tx1"/>
            </w14:solidFill>
          </w14:textFill>
        </w:rPr>
      </w:pPr>
      <w:bookmarkStart w:id="873" w:name="_Toc17321"/>
      <w:r>
        <w:rPr>
          <w:rFonts w:hint="eastAsia"/>
        </w:rPr>
        <w:t>4.6.3 防雷接地</w:t>
      </w:r>
      <w:bookmarkEnd w:id="873"/>
    </w:p>
    <w:p>
      <w:pPr>
        <w:spacing w:line="360" w:lineRule="auto"/>
        <w:jc w:val="left"/>
        <w:rPr>
          <w:rFonts w:ascii="宋体" w:hAnsi="宋体"/>
          <w:color w:val="000000" w:themeColor="text1"/>
          <w:szCs w:val="21"/>
          <w14:textFill>
            <w14:solidFill>
              <w14:schemeClr w14:val="tx1"/>
            </w14:solidFill>
          </w14:textFill>
        </w:rPr>
      </w:pPr>
      <w:r>
        <w:rPr>
          <w:rFonts w:hint="eastAsia" w:ascii="黑体" w:hAnsi="黑体" w:eastAsia="黑体" w:cs="黑体"/>
          <w:color w:val="000000" w:themeColor="text1"/>
          <w:szCs w:val="21"/>
          <w14:textFill>
            <w14:solidFill>
              <w14:schemeClr w14:val="tx1"/>
            </w14:solidFill>
          </w14:textFill>
        </w:rPr>
        <w:t xml:space="preserve">4.6.3.1 </w:t>
      </w:r>
      <w:r>
        <w:rPr>
          <w:rFonts w:hint="eastAsia" w:ascii="宋体" w:hAnsi="宋体"/>
          <w:color w:val="000000" w:themeColor="text1"/>
          <w:szCs w:val="21"/>
          <w14:textFill>
            <w14:solidFill>
              <w14:schemeClr w14:val="tx1"/>
            </w14:solidFill>
          </w14:textFill>
        </w:rPr>
        <w:t>根据《通信局（站）防雷与接地工程设计规范》GB 50689中第6章、《建筑物电子信息系统防雷技术规范》GB 50343-2012 5.2.5防雷接地与交流工作接地、直流工作接地、安全保护接地共用一组接地装置时，接地装置的接地电阻值必须按接入设备中要求的最小值确定。</w:t>
      </w:r>
    </w:p>
    <w:p>
      <w:pPr>
        <w:spacing w:line="360" w:lineRule="auto"/>
        <w:jc w:val="left"/>
        <w:rPr>
          <w:rFonts w:ascii="宋体" w:hAnsi="宋体"/>
          <w:color w:val="000000" w:themeColor="text1"/>
          <w:szCs w:val="21"/>
          <w14:textFill>
            <w14:solidFill>
              <w14:schemeClr w14:val="tx1"/>
            </w14:solidFill>
          </w14:textFill>
        </w:rPr>
      </w:pPr>
      <w:r>
        <w:rPr>
          <w:rFonts w:hint="eastAsia" w:ascii="黑体" w:hAnsi="黑体" w:eastAsia="黑体" w:cs="黑体"/>
          <w:color w:val="000000" w:themeColor="text1"/>
          <w:szCs w:val="21"/>
          <w14:textFill>
            <w14:solidFill>
              <w14:schemeClr w14:val="tx1"/>
            </w14:solidFill>
          </w14:textFill>
        </w:rPr>
        <w:t>4.6.3.5</w:t>
      </w:r>
      <w:r>
        <w:rPr>
          <w:rFonts w:hint="eastAsia"/>
          <w:b/>
          <w:bCs/>
          <w:i/>
          <w:iCs/>
          <w:color w:val="FF0000"/>
          <w:szCs w:val="21"/>
        </w:rPr>
        <w:t xml:space="preserve"> </w:t>
      </w:r>
      <w:r>
        <w:rPr>
          <w:rFonts w:hint="eastAsia" w:ascii="宋体" w:hAnsi="宋体"/>
          <w:color w:val="000000" w:themeColor="text1"/>
          <w:szCs w:val="21"/>
          <w14:textFill>
            <w14:solidFill>
              <w14:schemeClr w14:val="tx1"/>
            </w14:solidFill>
          </w14:textFill>
        </w:rPr>
        <w:t>根据《通信局（站）接地与防雷标准》GB50689规定，基站地网的接地电阻值不宜大于 10Ω.接地电阻值可按本规范附录E的规定确定。土壤电阻率大于1000Ω*m的地区，可不对基站的工频接地电阻子以限制，应以地网面积的大小为依据。地网等效半径应大于10m,地网四角还应敷设10m~20m的热镀锌扁钢作辐射型接地体，且应增加各个端口的保护和提高SPD通流容量、加强等电位连接等措施予以补偿。根据《城市道路照明工程施工及验收规程》CJJ89规定，接地装置的接地电阻值要求在10Ω以下，系统接地电阻应小于4Ω是为了在开关动作前尽量降低设备对地电压。视频采集设备的接地电阻应根据《安全防范工程技术规范》GB50348的3.9规定，其接地电阻不得大于10欧姆。智慧灯杆为包含照明工程、通信工程等多种设备在内综合体，接地电阻应能同时满足各挂载设备要求，故选用《城市道路照明工程施工及验收规程》CJJ89规定，接地电阻不应大于4Ω。</w:t>
      </w:r>
    </w:p>
    <w:p>
      <w:pPr>
        <w:spacing w:line="360" w:lineRule="auto"/>
        <w:jc w:val="left"/>
        <w:rPr>
          <w:rFonts w:ascii="宋体" w:hAnsi="宋体"/>
          <w:color w:val="000000" w:themeColor="text1"/>
          <w:szCs w:val="21"/>
          <w14:textFill>
            <w14:solidFill>
              <w14:schemeClr w14:val="tx1"/>
            </w14:solidFill>
          </w14:textFill>
        </w:rPr>
      </w:pPr>
      <w:r>
        <w:rPr>
          <w:rFonts w:hint="eastAsia" w:ascii="黑体" w:hAnsi="黑体" w:eastAsia="黑体" w:cs="黑体"/>
          <w:color w:val="000000" w:themeColor="text1"/>
          <w:szCs w:val="21"/>
          <w14:textFill>
            <w14:solidFill>
              <w14:schemeClr w14:val="tx1"/>
            </w14:solidFill>
          </w14:textFill>
        </w:rPr>
        <w:t>4.6.3.7</w:t>
      </w:r>
      <w:r>
        <w:rPr>
          <w:rFonts w:hint="eastAsia" w:ascii="宋体" w:hAnsi="宋体"/>
          <w:color w:val="000000" w:themeColor="text1"/>
          <w:szCs w:val="21"/>
          <w14:textFill>
            <w14:solidFill>
              <w14:schemeClr w14:val="tx1"/>
            </w14:solidFill>
          </w14:textFill>
        </w:rPr>
        <w:t xml:space="preserve"> 根据《建筑物防雷规范》GB50057第4.4.6条规定：在符合本规范第 4.4.5条规定的条件下，对 6 m柱距或大多数柱距为 6 m的单层工业建筑物，当利用柱子基础的钢筋作为外部防雷装置的接地体并同时符合下列规定时，可不另加接地体： </w:t>
      </w:r>
    </w:p>
    <w:p>
      <w:pPr>
        <w:spacing w:line="360" w:lineRule="auto"/>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1)利用全部或绝大多数柱子基础的钢筋作为接地体； </w:t>
      </w:r>
    </w:p>
    <w:p>
      <w:pPr>
        <w:spacing w:line="360" w:lineRule="auto"/>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2)柱子基础的钢筋网通过钢柱，钢屋架，钢筋混凝土柱子、屋架、屋面板、吊车梁等构件的钢筋或防雷装置互相连成整体； </w:t>
      </w:r>
    </w:p>
    <w:p>
      <w:pPr>
        <w:spacing w:line="360" w:lineRule="auto"/>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3)在周围地面以下距地面不小于 0.5 m深，每一柱子基础内所连接的钢筋表面积总和大于或等于 0.37 m2。</w:t>
      </w:r>
    </w:p>
    <w:p>
      <w:pPr>
        <w:spacing w:line="360" w:lineRule="auto"/>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根据《通信局（站）接地与防雷标准》GB50689第7.2.2条规定：室外站、边际站使用通信杆塔时，宜围绕杆塔半径 3m 范围设置封闭环形接地体，并宜与杆塔地基钢板可靠焊接连通，在环形接地体的四角还应向外做 10m～20m 的辐射型水平接地体。</w:t>
      </w:r>
    </w:p>
    <w:p>
      <w:pPr>
        <w:pStyle w:val="26"/>
        <w:ind w:firstLine="0" w:firstLineChars="0"/>
        <w:rPr>
          <w:color w:val="000000" w:themeColor="text1"/>
          <w:szCs w:val="21"/>
          <w14:textFill>
            <w14:solidFill>
              <w14:schemeClr w14:val="tx1"/>
            </w14:solidFill>
          </w14:textFill>
        </w:rPr>
      </w:pPr>
      <w:r>
        <w:rPr>
          <w:rFonts w:hint="eastAsia" w:ascii="黑体" w:hAnsi="黑体" w:eastAsia="黑体" w:cs="黑体"/>
          <w:color w:val="000000" w:themeColor="text1"/>
          <w:szCs w:val="21"/>
          <w14:textFill>
            <w14:solidFill>
              <w14:schemeClr w14:val="tx1"/>
            </w14:solidFill>
          </w14:textFill>
        </w:rPr>
        <w:t xml:space="preserve">4.6.3.8 </w:t>
      </w:r>
      <w:r>
        <w:rPr>
          <w:rFonts w:hint="eastAsia"/>
          <w:color w:val="000000" w:themeColor="text1"/>
          <w:szCs w:val="21"/>
          <w14:textFill>
            <w14:solidFill>
              <w14:schemeClr w14:val="tx1"/>
            </w14:solidFill>
          </w14:textFill>
        </w:rPr>
        <w:t>根据《建筑物防雷规范》GB50057规定：在平均雷暴日大于15d/a的地区，高度在 15  m及以上的烟囱、水塔等孤立的高耸建筑物；在平均雷暴日小于或等于 15 d/a的地区，高度在 20 m及以上的烟</w:t>
      </w:r>
    </w:p>
    <w:p>
      <w:pPr>
        <w:pStyle w:val="26"/>
        <w:ind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囱、水塔等孤立的高耸建筑物须设置避雷针；根据《建筑物电子信息系统防雷技术规范》GB50343江西属于雷暴日大于15d/a的地区，故高度在15m及以上的智慧灯杆须设置避雷针。</w:t>
      </w:r>
    </w:p>
    <w:p>
      <w:pPr>
        <w:pStyle w:val="26"/>
        <w:jc w:val="center"/>
        <w:rPr>
          <w:color w:val="000000" w:themeColor="text1"/>
          <w:szCs w:val="21"/>
          <w14:textFill>
            <w14:solidFill>
              <w14:schemeClr w14:val="tx1"/>
            </w14:solidFill>
          </w14:textFill>
        </w:rPr>
      </w:pPr>
    </w:p>
    <w:p>
      <w:pPr>
        <w:pStyle w:val="26"/>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表 全国主要城市年平均雷暴日数</w:t>
      </w:r>
    </w:p>
    <w:tbl>
      <w:tblPr>
        <w:tblStyle w:val="37"/>
        <w:tblW w:w="8400" w:type="dxa"/>
        <w:jc w:val="center"/>
        <w:tblLayout w:type="autofit"/>
        <w:tblCellMar>
          <w:top w:w="0" w:type="dxa"/>
          <w:left w:w="0" w:type="dxa"/>
          <w:bottom w:w="0" w:type="dxa"/>
          <w:right w:w="0" w:type="dxa"/>
        </w:tblCellMar>
      </w:tblPr>
      <w:tblGrid>
        <w:gridCol w:w="1476"/>
        <w:gridCol w:w="2724"/>
        <w:gridCol w:w="1476"/>
        <w:gridCol w:w="2724"/>
      </w:tblGrid>
      <w:tr>
        <w:tblPrEx>
          <w:tblCellMar>
            <w:top w:w="0" w:type="dxa"/>
            <w:left w:w="0" w:type="dxa"/>
            <w:bottom w:w="0" w:type="dxa"/>
            <w:right w:w="0" w:type="dxa"/>
          </w:tblCellMar>
        </w:tblPrEx>
        <w:trPr>
          <w:trHeight w:val="30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雷暴日数（d/a）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雷暴日数（d/a）</w:t>
            </w:r>
          </w:p>
        </w:tc>
      </w:tr>
      <w:tr>
        <w:tblPrEx>
          <w:tblCellMar>
            <w:top w:w="0" w:type="dxa"/>
            <w:left w:w="0" w:type="dxa"/>
            <w:bottom w:w="0" w:type="dxa"/>
            <w:right w:w="0" w:type="dxa"/>
          </w:tblCellMar>
        </w:tblPrEx>
        <w:trPr>
          <w:trHeight w:val="30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长沙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47.6</w:t>
            </w:r>
          </w:p>
        </w:tc>
      </w:tr>
      <w:tr>
        <w:tblPrEx>
          <w:tblCellMar>
            <w:top w:w="0" w:type="dxa"/>
            <w:left w:w="0" w:type="dxa"/>
            <w:bottom w:w="0" w:type="dxa"/>
            <w:right w:w="0" w:type="dxa"/>
          </w:tblCellMar>
        </w:tblPrEx>
        <w:trPr>
          <w:trHeight w:val="30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天津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广州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73.1</w:t>
            </w:r>
          </w:p>
        </w:tc>
      </w:tr>
      <w:tr>
        <w:tblPrEx>
          <w:tblCellMar>
            <w:top w:w="0" w:type="dxa"/>
            <w:left w:w="0" w:type="dxa"/>
            <w:bottom w:w="0" w:type="dxa"/>
            <w:right w:w="0" w:type="dxa"/>
          </w:tblCellMar>
        </w:tblPrEx>
        <w:trPr>
          <w:trHeight w:val="30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上海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78.1</w:t>
            </w:r>
          </w:p>
        </w:tc>
      </w:tr>
      <w:tr>
        <w:tblPrEx>
          <w:tblCellMar>
            <w:top w:w="0" w:type="dxa"/>
            <w:left w:w="0" w:type="dxa"/>
            <w:bottom w:w="0" w:type="dxa"/>
            <w:right w:w="0" w:type="dxa"/>
          </w:tblCellMar>
        </w:tblPrEx>
        <w:trPr>
          <w:trHeight w:val="30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重庆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海口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93.8</w:t>
            </w:r>
          </w:p>
        </w:tc>
      </w:tr>
      <w:tr>
        <w:tblPrEx>
          <w:tblCellMar>
            <w:top w:w="0" w:type="dxa"/>
            <w:left w:w="0" w:type="dxa"/>
            <w:bottom w:w="0" w:type="dxa"/>
            <w:right w:w="0" w:type="dxa"/>
          </w:tblCellMar>
        </w:tblPrEx>
        <w:trPr>
          <w:trHeight w:val="30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石家庄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成都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32.5</w:t>
            </w:r>
          </w:p>
        </w:tc>
      </w:tr>
      <w:tr>
        <w:tblPrEx>
          <w:tblCellMar>
            <w:top w:w="0" w:type="dxa"/>
            <w:left w:w="0" w:type="dxa"/>
            <w:bottom w:w="0" w:type="dxa"/>
            <w:right w:w="0" w:type="dxa"/>
          </w:tblCellMar>
        </w:tblPrEx>
        <w:trPr>
          <w:trHeight w:val="30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太原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贵阳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49.0</w:t>
            </w:r>
          </w:p>
        </w:tc>
      </w:tr>
      <w:tr>
        <w:tblPrEx>
          <w:tblCellMar>
            <w:top w:w="0" w:type="dxa"/>
            <w:left w:w="0" w:type="dxa"/>
            <w:bottom w:w="0" w:type="dxa"/>
            <w:right w:w="0" w:type="dxa"/>
          </w:tblCellMar>
        </w:tblPrEx>
        <w:trPr>
          <w:trHeight w:val="30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呼和浩特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昆明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61.8</w:t>
            </w:r>
          </w:p>
        </w:tc>
      </w:tr>
      <w:tr>
        <w:tblPrEx>
          <w:tblCellMar>
            <w:top w:w="0" w:type="dxa"/>
            <w:left w:w="0" w:type="dxa"/>
            <w:bottom w:w="0" w:type="dxa"/>
            <w:right w:w="0" w:type="dxa"/>
          </w:tblCellMar>
        </w:tblPrEx>
        <w:trPr>
          <w:trHeight w:val="30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沈阳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拉萨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70.4</w:t>
            </w:r>
          </w:p>
        </w:tc>
      </w:tr>
      <w:tr>
        <w:tblPrEx>
          <w:tblCellMar>
            <w:top w:w="0" w:type="dxa"/>
            <w:left w:w="0" w:type="dxa"/>
            <w:bottom w:w="0" w:type="dxa"/>
            <w:right w:w="0" w:type="dxa"/>
          </w:tblCellMar>
        </w:tblPrEx>
        <w:trPr>
          <w:trHeight w:val="30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长春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兰州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21.1</w:t>
            </w:r>
          </w:p>
        </w:tc>
      </w:tr>
      <w:tr>
        <w:tblPrEx>
          <w:tblCellMar>
            <w:top w:w="0" w:type="dxa"/>
            <w:left w:w="0" w:type="dxa"/>
            <w:bottom w:w="0" w:type="dxa"/>
            <w:right w:w="0" w:type="dxa"/>
          </w:tblCellMar>
        </w:tblPrEx>
        <w:trPr>
          <w:trHeight w:val="30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哈尔滨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13.7</w:t>
            </w:r>
          </w:p>
        </w:tc>
      </w:tr>
      <w:tr>
        <w:tblPrEx>
          <w:tblCellMar>
            <w:top w:w="0" w:type="dxa"/>
            <w:left w:w="0" w:type="dxa"/>
            <w:bottom w:w="0" w:type="dxa"/>
            <w:right w:w="0" w:type="dxa"/>
          </w:tblCellMar>
        </w:tblPrEx>
        <w:trPr>
          <w:trHeight w:val="30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29.6</w:t>
            </w:r>
          </w:p>
        </w:tc>
      </w:tr>
      <w:tr>
        <w:tblPrEx>
          <w:tblCellMar>
            <w:top w:w="0" w:type="dxa"/>
            <w:left w:w="0" w:type="dxa"/>
            <w:bottom w:w="0" w:type="dxa"/>
            <w:right w:w="0" w:type="dxa"/>
          </w:tblCellMar>
        </w:tblPrEx>
        <w:trPr>
          <w:trHeight w:val="30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杭州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银川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16.5</w:t>
            </w:r>
          </w:p>
        </w:tc>
      </w:tr>
      <w:tr>
        <w:tblPrEx>
          <w:tblCellMar>
            <w:top w:w="0" w:type="dxa"/>
            <w:left w:w="0" w:type="dxa"/>
            <w:bottom w:w="0" w:type="dxa"/>
            <w:right w:w="0" w:type="dxa"/>
          </w:tblCellMar>
        </w:tblPrEx>
        <w:trPr>
          <w:trHeight w:val="30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乌鲁木齐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5.9</w:t>
            </w:r>
          </w:p>
        </w:tc>
      </w:tr>
      <w:tr>
        <w:tblPrEx>
          <w:tblCellMar>
            <w:top w:w="0" w:type="dxa"/>
            <w:left w:w="0" w:type="dxa"/>
            <w:bottom w:w="0" w:type="dxa"/>
            <w:right w:w="0" w:type="dxa"/>
          </w:tblCellMar>
        </w:tblPrEx>
        <w:trPr>
          <w:trHeight w:val="30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福州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20.3</w:t>
            </w:r>
          </w:p>
        </w:tc>
      </w:tr>
      <w:tr>
        <w:tblPrEx>
          <w:tblCellMar>
            <w:top w:w="0" w:type="dxa"/>
            <w:left w:w="0" w:type="dxa"/>
            <w:bottom w:w="0" w:type="dxa"/>
            <w:right w:w="0" w:type="dxa"/>
          </w:tblCellMar>
        </w:tblPrEx>
        <w:trPr>
          <w:trHeight w:val="30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青岛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19.6</w:t>
            </w:r>
          </w:p>
        </w:tc>
      </w:tr>
      <w:tr>
        <w:tblPrEx>
          <w:tblCellMar>
            <w:top w:w="0" w:type="dxa"/>
            <w:left w:w="0" w:type="dxa"/>
            <w:bottom w:w="0" w:type="dxa"/>
            <w:right w:w="0" w:type="dxa"/>
          </w:tblCellMar>
        </w:tblPrEx>
        <w:trPr>
          <w:trHeight w:val="30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济南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宁波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33.1</w:t>
            </w:r>
          </w:p>
        </w:tc>
      </w:tr>
      <w:tr>
        <w:tblPrEx>
          <w:tblCellMar>
            <w:top w:w="0" w:type="dxa"/>
            <w:left w:w="0" w:type="dxa"/>
            <w:bottom w:w="0" w:type="dxa"/>
            <w:right w:w="0" w:type="dxa"/>
          </w:tblCellMar>
        </w:tblPrEx>
        <w:trPr>
          <w:trHeight w:val="30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郑州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厦门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36.5</w:t>
            </w:r>
          </w:p>
        </w:tc>
      </w:tr>
      <w:tr>
        <w:tblPrEx>
          <w:tblCellMar>
            <w:top w:w="0" w:type="dxa"/>
            <w:left w:w="0" w:type="dxa"/>
            <w:bottom w:w="0" w:type="dxa"/>
            <w:right w:w="0" w:type="dxa"/>
          </w:tblCellMar>
        </w:tblPrEx>
        <w:trPr>
          <w:trHeight w:val="30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武汉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6"/>
              <w:spacing w:line="240" w:lineRule="auto"/>
              <w:ind w:firstLine="0" w:firstLineChars="0"/>
              <w:jc w:val="center"/>
              <w:rPr>
                <w:color w:val="000000" w:themeColor="text1"/>
                <w:szCs w:val="21"/>
                <w14:textFill>
                  <w14:solidFill>
                    <w14:schemeClr w14:val="tx1"/>
                  </w14:solidFill>
                </w14:textFill>
              </w:rPr>
            </w:pPr>
          </w:p>
        </w:tc>
      </w:tr>
      <w:tr>
        <w:tblPrEx>
          <w:tblCellMar>
            <w:top w:w="0" w:type="dxa"/>
            <w:left w:w="0" w:type="dxa"/>
            <w:bottom w:w="0" w:type="dxa"/>
            <w:right w:w="0" w:type="dxa"/>
          </w:tblCellMar>
        </w:tblPrEx>
        <w:trPr>
          <w:trHeight w:val="592" w:hRule="atLeast"/>
          <w:jc w:val="center"/>
        </w:trPr>
        <w:tc>
          <w:tcPr>
            <w:tcW w:w="840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6"/>
              <w:spacing w:line="240" w:lineRule="auto"/>
              <w:ind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注:本表数据引自中国气象局雷电防护管理办公室2005年发布的资料,不包含港澳台地区城市数据。</w:t>
            </w:r>
          </w:p>
        </w:tc>
      </w:tr>
    </w:tbl>
    <w:p>
      <w:pPr>
        <w:pStyle w:val="52"/>
        <w:numPr>
          <w:ilvl w:val="2"/>
          <w:numId w:val="0"/>
        </w:numPr>
        <w:tabs>
          <w:tab w:val="left" w:pos="420"/>
          <w:tab w:val="clear" w:pos="0"/>
        </w:tabs>
        <w:spacing w:before="156" w:after="156"/>
        <w:outlineLvl w:val="2"/>
        <w:rPr>
          <w:rFonts w:ascii="宋体" w:hAnsi="宋体" w:eastAsia="宋体"/>
          <w:color w:val="000000" w:themeColor="text1"/>
          <w:kern w:val="2"/>
          <w14:textFill>
            <w14:solidFill>
              <w14:schemeClr w14:val="tx1"/>
            </w14:solidFill>
          </w14:textFill>
        </w:rPr>
      </w:pPr>
      <w:bookmarkStart w:id="874" w:name="_Toc25454"/>
      <w:r>
        <w:rPr>
          <w:rFonts w:hint="eastAsia"/>
        </w:rPr>
        <w:t>4.6.4 接地保护</w:t>
      </w:r>
      <w:bookmarkEnd w:id="874"/>
    </w:p>
    <w:p>
      <w:pPr>
        <w:pStyle w:val="26"/>
        <w:ind w:firstLine="0" w:firstLineChars="0"/>
        <w:rPr>
          <w:rFonts w:cs="宋体"/>
          <w:i/>
          <w:iCs/>
          <w:color w:val="FF0000"/>
          <w:szCs w:val="21"/>
        </w:rPr>
      </w:pPr>
      <w:r>
        <w:rPr>
          <w:rFonts w:hint="eastAsia" w:ascii="黑体" w:hAnsi="黑体" w:eastAsia="黑体" w:cs="黑体"/>
          <w:color w:val="000000" w:themeColor="text1"/>
          <w:szCs w:val="21"/>
          <w14:textFill>
            <w14:solidFill>
              <w14:schemeClr w14:val="tx1"/>
            </w14:solidFill>
          </w14:textFill>
        </w:rPr>
        <w:t xml:space="preserve">4.6.4.1 </w:t>
      </w:r>
      <w:r>
        <w:rPr>
          <w:rFonts w:hint="eastAsia"/>
          <w:color w:val="000000" w:themeColor="text1"/>
          <w:szCs w:val="21"/>
          <w14:textFill>
            <w14:solidFill>
              <w14:schemeClr w14:val="tx1"/>
            </w14:solidFill>
          </w14:textFill>
        </w:rPr>
        <w:t>供电系统不需要240V直流供电，应符合《低压配电设计规范》GB50054中第6章的相关规定。</w:t>
      </w:r>
    </w:p>
    <w:p>
      <w:bookmarkStart w:id="875" w:name="_Toc18417"/>
      <w:r>
        <w:rPr>
          <w:rFonts w:hint="eastAsia"/>
        </w:rPr>
        <w:br w:type="page"/>
      </w:r>
    </w:p>
    <w:p>
      <w:pPr>
        <w:pStyle w:val="85"/>
        <w:numPr>
          <w:ilvl w:val="0"/>
          <w:numId w:val="0"/>
        </w:numPr>
        <w:spacing w:before="312" w:after="312"/>
        <w:outlineLvl w:val="0"/>
      </w:pPr>
      <w:r>
        <w:rPr>
          <w:rFonts w:hint="eastAsia"/>
        </w:rPr>
        <w:t>6 附属配套</w:t>
      </w:r>
      <w:bookmarkEnd w:id="875"/>
    </w:p>
    <w:p>
      <w:pPr>
        <w:pStyle w:val="53"/>
        <w:numPr>
          <w:ilvl w:val="1"/>
          <w:numId w:val="0"/>
        </w:numPr>
        <w:spacing w:before="156" w:after="156"/>
        <w:outlineLvl w:val="1"/>
      </w:pPr>
      <w:bookmarkStart w:id="876" w:name="_Toc22730"/>
      <w:r>
        <w:rPr>
          <w:rFonts w:hint="eastAsia"/>
        </w:rPr>
        <w:t>6.2 配套管道</w:t>
      </w:r>
      <w:bookmarkEnd w:id="876"/>
    </w:p>
    <w:p>
      <w:pPr>
        <w:spacing w:line="360" w:lineRule="auto"/>
        <w:jc w:val="left"/>
        <w:rPr>
          <w:rFonts w:ascii="宋体" w:hAnsi="宋体"/>
          <w:color w:val="000000" w:themeColor="text1"/>
          <w:szCs w:val="21"/>
          <w14:textFill>
            <w14:solidFill>
              <w14:schemeClr w14:val="tx1"/>
            </w14:solidFill>
          </w14:textFill>
        </w:rPr>
      </w:pPr>
      <w:r>
        <w:rPr>
          <w:rFonts w:hint="eastAsia" w:ascii="黑体" w:hAnsi="黑体" w:eastAsia="黑体" w:cs="黑体"/>
          <w:color w:val="000000" w:themeColor="text1"/>
          <w:szCs w:val="21"/>
          <w14:textFill>
            <w14:solidFill>
              <w14:schemeClr w14:val="tx1"/>
            </w14:solidFill>
          </w14:textFill>
        </w:rPr>
        <w:t xml:space="preserve">6.2.6 </w:t>
      </w:r>
      <w:r>
        <w:rPr>
          <w:rFonts w:hint="eastAsia" w:ascii="宋体" w:hAnsi="宋体"/>
          <w:color w:val="000000" w:themeColor="text1"/>
          <w:szCs w:val="21"/>
          <w14:textFill>
            <w14:solidFill>
              <w14:schemeClr w14:val="tx1"/>
            </w14:solidFill>
          </w14:textFill>
        </w:rPr>
        <w:t>弱电管道的埋设深度应符合下表要求，当达不到要求时,应采用混凝土包封或钢管保护。</w:t>
      </w:r>
    </w:p>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表 路面至管顶的最小深度(m)</w:t>
      </w:r>
    </w:p>
    <w:tbl>
      <w:tblPr>
        <w:tblStyle w:val="37"/>
        <w:tblW w:w="9017" w:type="dxa"/>
        <w:tblInd w:w="0" w:type="dxa"/>
        <w:tblLayout w:type="fixed"/>
        <w:tblCellMar>
          <w:top w:w="0" w:type="dxa"/>
          <w:left w:w="0" w:type="dxa"/>
          <w:bottom w:w="0" w:type="dxa"/>
          <w:right w:w="0" w:type="dxa"/>
        </w:tblCellMar>
      </w:tblPr>
      <w:tblGrid>
        <w:gridCol w:w="1593"/>
        <w:gridCol w:w="1856"/>
        <w:gridCol w:w="1856"/>
        <w:gridCol w:w="1856"/>
        <w:gridCol w:w="1856"/>
      </w:tblGrid>
      <w:tr>
        <w:tblPrEx>
          <w:tblCellMar>
            <w:top w:w="0" w:type="dxa"/>
            <w:left w:w="0" w:type="dxa"/>
            <w:bottom w:w="0" w:type="dxa"/>
            <w:right w:w="0" w:type="dxa"/>
          </w:tblCellMar>
        </w:tblPrEx>
        <w:trPr>
          <w:trHeight w:val="879" w:hRule="atLeast"/>
        </w:trPr>
        <w:tc>
          <w:tcPr>
            <w:tcW w:w="15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类别</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人行道/绿化带</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机动车道</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与电车轨道交越(从轨道底部算起)</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与铁道交越(从轨道底部算起)</w:t>
            </w:r>
          </w:p>
        </w:tc>
      </w:tr>
      <w:tr>
        <w:tblPrEx>
          <w:tblCellMar>
            <w:top w:w="0" w:type="dxa"/>
            <w:left w:w="0" w:type="dxa"/>
            <w:bottom w:w="0" w:type="dxa"/>
            <w:right w:w="0" w:type="dxa"/>
          </w:tblCellMar>
        </w:tblPrEx>
        <w:trPr>
          <w:trHeight w:val="308" w:hRule="atLeast"/>
        </w:trPr>
        <w:tc>
          <w:tcPr>
            <w:tcW w:w="15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塑料管、水泥管</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0.7</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0.8</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r>
      <w:tr>
        <w:tblPrEx>
          <w:tblCellMar>
            <w:top w:w="0" w:type="dxa"/>
            <w:left w:w="0" w:type="dxa"/>
            <w:bottom w:w="0" w:type="dxa"/>
            <w:right w:w="0" w:type="dxa"/>
          </w:tblCellMar>
        </w:tblPrEx>
        <w:trPr>
          <w:trHeight w:val="318" w:hRule="atLeast"/>
        </w:trPr>
        <w:tc>
          <w:tcPr>
            <w:tcW w:w="15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钢管</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0.8</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w:t>
            </w:r>
          </w:p>
        </w:tc>
      </w:tr>
    </w:tbl>
    <w:p>
      <w:pPr>
        <w:jc w:val="left"/>
        <w:rPr>
          <w:b/>
          <w:bCs/>
          <w:i/>
          <w:iCs/>
          <w:color w:val="FF0000"/>
          <w:szCs w:val="21"/>
        </w:rPr>
      </w:pPr>
    </w:p>
    <w:p>
      <w:pPr>
        <w:pStyle w:val="53"/>
        <w:numPr>
          <w:ilvl w:val="1"/>
          <w:numId w:val="0"/>
        </w:numPr>
        <w:spacing w:before="156" w:after="156"/>
        <w:outlineLvl w:val="1"/>
      </w:pPr>
      <w:bookmarkStart w:id="877" w:name="_Toc337"/>
      <w:r>
        <w:rPr>
          <w:rFonts w:hint="eastAsia"/>
        </w:rPr>
        <w:t>6.3 综合机箱</w:t>
      </w:r>
      <w:bookmarkEnd w:id="877"/>
    </w:p>
    <w:p>
      <w:pPr>
        <w:spacing w:line="360" w:lineRule="auto"/>
        <w:jc w:val="left"/>
        <w:rPr>
          <w:b/>
          <w:bCs/>
          <w:i/>
          <w:iCs/>
          <w:color w:val="FF0000"/>
          <w:szCs w:val="21"/>
        </w:rPr>
      </w:pPr>
      <w:r>
        <w:rPr>
          <w:rFonts w:hint="eastAsia" w:ascii="黑体" w:hAnsi="黑体" w:eastAsia="黑体" w:cs="黑体"/>
          <w:color w:val="000000" w:themeColor="text1"/>
          <w:szCs w:val="21"/>
          <w14:textFill>
            <w14:solidFill>
              <w14:schemeClr w14:val="tx1"/>
            </w14:solidFill>
          </w14:textFill>
        </w:rPr>
        <w:t xml:space="preserve">6.3.5 </w:t>
      </w:r>
      <w:r>
        <w:rPr>
          <w:rFonts w:hint="eastAsia" w:ascii="宋体" w:hAnsi="宋体"/>
          <w:color w:val="000000" w:themeColor="text1"/>
          <w:szCs w:val="21"/>
          <w14:textFill>
            <w14:solidFill>
              <w14:schemeClr w14:val="tx1"/>
            </w14:solidFill>
          </w14:textFill>
        </w:rPr>
        <w:t>根据《城市道路照明工程施工及验收规范》CJJ89规定：箱式变电站应设置在不易积水处。当设置在地势低洼处，应抬高基础并应采取防水、排水措施。</w:t>
      </w:r>
    </w:p>
    <w:p>
      <w:pPr>
        <w:spacing w:line="360" w:lineRule="auto"/>
        <w:jc w:val="left"/>
        <w:rPr>
          <w:rFonts w:ascii="宋体" w:hAnsi="宋体"/>
          <w:color w:val="000000" w:themeColor="text1"/>
          <w:szCs w:val="21"/>
          <w14:textFill>
            <w14:solidFill>
              <w14:schemeClr w14:val="tx1"/>
            </w14:solidFill>
          </w14:textFill>
        </w:rPr>
      </w:pPr>
      <w:r>
        <w:rPr>
          <w:rFonts w:hint="eastAsia" w:ascii="黑体" w:hAnsi="黑体" w:eastAsia="黑体" w:cs="黑体"/>
          <w:color w:val="000000" w:themeColor="text1"/>
          <w:szCs w:val="21"/>
          <w14:textFill>
            <w14:solidFill>
              <w14:schemeClr w14:val="tx1"/>
            </w14:solidFill>
          </w14:textFill>
        </w:rPr>
        <w:t xml:space="preserve">6.3.8 </w:t>
      </w:r>
      <w:r>
        <w:rPr>
          <w:rFonts w:hint="eastAsia" w:ascii="宋体" w:hAnsi="宋体"/>
          <w:color w:val="000000" w:themeColor="text1"/>
          <w:szCs w:val="21"/>
          <w14:textFill>
            <w14:solidFill>
              <w14:schemeClr w14:val="tx1"/>
            </w14:solidFill>
          </w14:textFill>
        </w:rPr>
        <w:t>综合机箱引电容量应统筹考虑技术可行、经济合理等因素，综合机箱基本功率包括智慧照明、移动通信、视频采集、交通信号灯、交通执法等功能模块所需设备的功率，挂载设备功率可参考下表</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实际应用</w:t>
      </w:r>
      <w:r>
        <w:rPr>
          <w:rFonts w:ascii="宋体" w:hAnsi="宋体"/>
          <w:color w:val="000000" w:themeColor="text1"/>
          <w:szCs w:val="21"/>
          <w14:textFill>
            <w14:solidFill>
              <w14:schemeClr w14:val="tx1"/>
            </w14:solidFill>
          </w14:textFill>
        </w:rPr>
        <w:t>中</w:t>
      </w:r>
      <w:r>
        <w:rPr>
          <w:rFonts w:hint="eastAsia" w:ascii="宋体" w:hAnsi="宋体"/>
          <w:color w:val="000000" w:themeColor="text1"/>
          <w:szCs w:val="21"/>
          <w14:textFill>
            <w14:solidFill>
              <w14:schemeClr w14:val="tx1"/>
            </w14:solidFill>
          </w14:textFill>
        </w:rPr>
        <w:t>应根据具体情况进行适当调整。</w:t>
      </w:r>
    </w:p>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表 智慧灯杆挂载设备的功率、线缆规格及材质要求(参考)</w:t>
      </w:r>
    </w:p>
    <w:tbl>
      <w:tblPr>
        <w:tblStyle w:val="37"/>
        <w:tblW w:w="9418" w:type="dxa"/>
        <w:tblInd w:w="0" w:type="dxa"/>
        <w:tblLayout w:type="fixed"/>
        <w:tblCellMar>
          <w:top w:w="0" w:type="dxa"/>
          <w:left w:w="0" w:type="dxa"/>
          <w:bottom w:w="0" w:type="dxa"/>
          <w:right w:w="0" w:type="dxa"/>
        </w:tblCellMar>
      </w:tblPr>
      <w:tblGrid>
        <w:gridCol w:w="1229"/>
        <w:gridCol w:w="797"/>
        <w:gridCol w:w="1159"/>
        <w:gridCol w:w="1628"/>
        <w:gridCol w:w="4605"/>
      </w:tblGrid>
      <w:tr>
        <w:tblPrEx>
          <w:tblCellMar>
            <w:top w:w="0" w:type="dxa"/>
            <w:left w:w="0" w:type="dxa"/>
            <w:bottom w:w="0" w:type="dxa"/>
            <w:right w:w="0" w:type="dxa"/>
          </w:tblCellMar>
        </w:tblPrEx>
        <w:trPr>
          <w:trHeight w:val="536" w:hRule="atLeast"/>
        </w:trPr>
        <w:tc>
          <w:tcPr>
            <w:tcW w:w="12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设备名称</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产品类别</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参考功率</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电缆规格及材质</w:t>
            </w:r>
          </w:p>
        </w:tc>
        <w:tc>
          <w:tcPr>
            <w:tcW w:w="4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杆体主线总动率及电缆规格(AC输入)</w:t>
            </w:r>
          </w:p>
        </w:tc>
      </w:tr>
      <w:tr>
        <w:tblPrEx>
          <w:tblCellMar>
            <w:top w:w="0" w:type="dxa"/>
            <w:left w:w="0" w:type="dxa"/>
            <w:bottom w:w="0" w:type="dxa"/>
            <w:right w:w="0" w:type="dxa"/>
          </w:tblCellMar>
        </w:tblPrEx>
        <w:trPr>
          <w:trHeight w:val="319" w:hRule="atLeast"/>
        </w:trPr>
        <w:tc>
          <w:tcPr>
            <w:tcW w:w="12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照明设备</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照明</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100-350W</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4mm²铜芯电缆</w:t>
            </w:r>
          </w:p>
        </w:tc>
        <w:tc>
          <w:tcPr>
            <w:tcW w:w="4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功率&lt;5KW,主线电缆规格宜选用6mm钢芯电缆</w:t>
            </w:r>
          </w:p>
        </w:tc>
      </w:tr>
      <w:tr>
        <w:tblPrEx>
          <w:tblCellMar>
            <w:top w:w="0" w:type="dxa"/>
            <w:left w:w="0" w:type="dxa"/>
            <w:bottom w:w="0" w:type="dxa"/>
            <w:right w:w="0" w:type="dxa"/>
          </w:tblCellMar>
        </w:tblPrEx>
        <w:trPr>
          <w:trHeight w:val="319" w:hRule="atLeast"/>
        </w:trPr>
        <w:tc>
          <w:tcPr>
            <w:tcW w:w="12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视频采集</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监测</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25W</w:t>
            </w:r>
          </w:p>
        </w:tc>
        <w:tc>
          <w:tcPr>
            <w:tcW w:w="1628"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4mm²铜芯电缆</w:t>
            </w:r>
          </w:p>
        </w:tc>
        <w:tc>
          <w:tcPr>
            <w:tcW w:w="46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6"/>
              <w:spacing w:line="240" w:lineRule="auto"/>
              <w:ind w:firstLine="0"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1.功率&lt;5KW,主线电缆规格宜选用6mm²铜芯电缆；</w:t>
            </w:r>
            <w:r>
              <w:rPr>
                <w:rFonts w:hint="eastAsia"/>
                <w:color w:val="000000" w:themeColor="text1"/>
                <w:szCs w:val="21"/>
                <w14:textFill>
                  <w14:solidFill>
                    <w14:schemeClr w14:val="tx1"/>
                  </w14:solidFill>
                </w14:textFill>
              </w:rPr>
              <w:br w:type="textWrapping"/>
            </w:r>
            <w:r>
              <w:rPr>
                <w:rFonts w:hint="eastAsia"/>
                <w:color w:val="000000" w:themeColor="text1"/>
                <w:szCs w:val="21"/>
                <w14:textFill>
                  <w14:solidFill>
                    <w14:schemeClr w14:val="tx1"/>
                  </w14:solidFill>
                </w14:textFill>
              </w:rPr>
              <w:t>2.功率&lt;10KW,主线电缆规格宜选用10mm²铜芯电缆；</w:t>
            </w:r>
            <w:r>
              <w:rPr>
                <w:rFonts w:hint="eastAsia"/>
                <w:color w:val="000000" w:themeColor="text1"/>
                <w:szCs w:val="21"/>
                <w14:textFill>
                  <w14:solidFill>
                    <w14:schemeClr w14:val="tx1"/>
                  </w14:solidFill>
                </w14:textFill>
              </w:rPr>
              <w:br w:type="textWrapping"/>
            </w:r>
            <w:r>
              <w:rPr>
                <w:rFonts w:hint="eastAsia"/>
                <w:color w:val="000000" w:themeColor="text1"/>
                <w:szCs w:val="21"/>
                <w14:textFill>
                  <w14:solidFill>
                    <w14:schemeClr w14:val="tx1"/>
                  </w14:solidFill>
                </w14:textFill>
              </w:rPr>
              <w:t>3.功率&lt;20KW,主线电缆规格宜选用16mm²铜芯电缆；</w:t>
            </w:r>
            <w:r>
              <w:rPr>
                <w:rFonts w:hint="eastAsia"/>
                <w:color w:val="000000" w:themeColor="text1"/>
                <w:szCs w:val="21"/>
                <w14:textFill>
                  <w14:solidFill>
                    <w14:schemeClr w14:val="tx1"/>
                  </w14:solidFill>
                </w14:textFill>
              </w:rPr>
              <w:br w:type="textWrapping"/>
            </w:r>
            <w:r>
              <w:rPr>
                <w:rFonts w:hint="eastAsia"/>
                <w:color w:val="000000" w:themeColor="text1"/>
                <w:szCs w:val="21"/>
                <w14:textFill>
                  <w14:solidFill>
                    <w14:schemeClr w14:val="tx1"/>
                  </w14:solidFill>
                </w14:textFill>
              </w:rPr>
              <w:t>4.功率&lt;30KW,主线电缆规格宜选用25mm²铜芯电缆；</w:t>
            </w:r>
            <w:r>
              <w:rPr>
                <w:rFonts w:hint="eastAsia"/>
                <w:color w:val="000000" w:themeColor="text1"/>
                <w:szCs w:val="21"/>
                <w14:textFill>
                  <w14:solidFill>
                    <w14:schemeClr w14:val="tx1"/>
                  </w14:solidFill>
                </w14:textFill>
              </w:rPr>
              <w:br w:type="textWrapping"/>
            </w:r>
            <w:r>
              <w:rPr>
                <w:rFonts w:hint="eastAsia"/>
                <w:color w:val="000000" w:themeColor="text1"/>
                <w:szCs w:val="21"/>
                <w14:textFill>
                  <w14:solidFill>
                    <w14:schemeClr w14:val="tx1"/>
                  </w14:solidFill>
                </w14:textFill>
              </w:rPr>
              <w:t>5.功率&lt;40KW,主线电缆规格宜选用35mm²铜芯电缆。</w:t>
            </w:r>
          </w:p>
        </w:tc>
      </w:tr>
      <w:tr>
        <w:tblPrEx>
          <w:tblCellMar>
            <w:top w:w="0" w:type="dxa"/>
            <w:left w:w="0" w:type="dxa"/>
            <w:bottom w:w="0" w:type="dxa"/>
            <w:right w:w="0" w:type="dxa"/>
          </w:tblCellMar>
        </w:tblPrEx>
        <w:trPr>
          <w:trHeight w:val="319" w:hRule="atLeast"/>
        </w:trPr>
        <w:tc>
          <w:tcPr>
            <w:tcW w:w="12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公共WLAN</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通信</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30W</w:t>
            </w:r>
          </w:p>
        </w:tc>
        <w:tc>
          <w:tcPr>
            <w:tcW w:w="162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p>
        </w:tc>
        <w:tc>
          <w:tcPr>
            <w:tcW w:w="46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p>
        </w:tc>
      </w:tr>
      <w:tr>
        <w:tblPrEx>
          <w:tblCellMar>
            <w:top w:w="0" w:type="dxa"/>
            <w:left w:w="0" w:type="dxa"/>
            <w:bottom w:w="0" w:type="dxa"/>
            <w:right w:w="0" w:type="dxa"/>
          </w:tblCellMar>
        </w:tblPrEx>
        <w:trPr>
          <w:trHeight w:val="319" w:hRule="atLeast"/>
        </w:trPr>
        <w:tc>
          <w:tcPr>
            <w:tcW w:w="12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公共广播</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输出</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40W</w:t>
            </w:r>
          </w:p>
        </w:tc>
        <w:tc>
          <w:tcPr>
            <w:tcW w:w="162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p>
        </w:tc>
        <w:tc>
          <w:tcPr>
            <w:tcW w:w="46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p>
        </w:tc>
      </w:tr>
      <w:tr>
        <w:tblPrEx>
          <w:tblCellMar>
            <w:top w:w="0" w:type="dxa"/>
            <w:left w:w="0" w:type="dxa"/>
            <w:bottom w:w="0" w:type="dxa"/>
            <w:right w:w="0" w:type="dxa"/>
          </w:tblCellMar>
        </w:tblPrEx>
        <w:trPr>
          <w:trHeight w:val="319" w:hRule="atLeast"/>
        </w:trPr>
        <w:tc>
          <w:tcPr>
            <w:tcW w:w="12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环境监测</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监测</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w:t>
            </w:r>
          </w:p>
        </w:tc>
        <w:tc>
          <w:tcPr>
            <w:tcW w:w="162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p>
        </w:tc>
        <w:tc>
          <w:tcPr>
            <w:tcW w:w="46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p>
        </w:tc>
      </w:tr>
      <w:tr>
        <w:tblPrEx>
          <w:tblCellMar>
            <w:top w:w="0" w:type="dxa"/>
            <w:left w:w="0" w:type="dxa"/>
            <w:bottom w:w="0" w:type="dxa"/>
            <w:right w:w="0" w:type="dxa"/>
          </w:tblCellMar>
        </w:tblPrEx>
        <w:trPr>
          <w:trHeight w:val="319" w:hRule="atLeast"/>
        </w:trPr>
        <w:tc>
          <w:tcPr>
            <w:tcW w:w="12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气象监测</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监测</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30W</w:t>
            </w:r>
          </w:p>
        </w:tc>
        <w:tc>
          <w:tcPr>
            <w:tcW w:w="162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p>
        </w:tc>
        <w:tc>
          <w:tcPr>
            <w:tcW w:w="46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p>
        </w:tc>
      </w:tr>
      <w:tr>
        <w:tblPrEx>
          <w:tblCellMar>
            <w:top w:w="0" w:type="dxa"/>
            <w:left w:w="0" w:type="dxa"/>
            <w:bottom w:w="0" w:type="dxa"/>
            <w:right w:w="0" w:type="dxa"/>
          </w:tblCellMar>
        </w:tblPrEx>
        <w:trPr>
          <w:trHeight w:val="319" w:hRule="atLeast"/>
        </w:trPr>
        <w:tc>
          <w:tcPr>
            <w:tcW w:w="12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一键呼叫</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w:t>
            </w:r>
          </w:p>
        </w:tc>
        <w:tc>
          <w:tcPr>
            <w:tcW w:w="162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p>
        </w:tc>
        <w:tc>
          <w:tcPr>
            <w:tcW w:w="46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p>
        </w:tc>
      </w:tr>
      <w:tr>
        <w:tblPrEx>
          <w:tblCellMar>
            <w:top w:w="0" w:type="dxa"/>
            <w:left w:w="0" w:type="dxa"/>
            <w:bottom w:w="0" w:type="dxa"/>
            <w:right w:w="0" w:type="dxa"/>
          </w:tblCellMar>
        </w:tblPrEx>
        <w:trPr>
          <w:trHeight w:val="319" w:hRule="atLeast"/>
        </w:trPr>
        <w:tc>
          <w:tcPr>
            <w:tcW w:w="12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多媒体交互</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显示</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36W</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4mm²铜芯电缆</w:t>
            </w:r>
          </w:p>
        </w:tc>
        <w:tc>
          <w:tcPr>
            <w:tcW w:w="46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p>
        </w:tc>
      </w:tr>
      <w:tr>
        <w:tblPrEx>
          <w:tblCellMar>
            <w:top w:w="0" w:type="dxa"/>
            <w:left w:w="0" w:type="dxa"/>
            <w:bottom w:w="0" w:type="dxa"/>
            <w:right w:w="0" w:type="dxa"/>
          </w:tblCellMar>
        </w:tblPrEx>
        <w:trPr>
          <w:trHeight w:val="687" w:hRule="atLeast"/>
        </w:trPr>
        <w:tc>
          <w:tcPr>
            <w:tcW w:w="12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信息发布屏</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显示</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900-1200W/M²</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按实际计算校核</w:t>
            </w:r>
          </w:p>
        </w:tc>
        <w:tc>
          <w:tcPr>
            <w:tcW w:w="46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p>
        </w:tc>
      </w:tr>
      <w:tr>
        <w:tblPrEx>
          <w:tblCellMar>
            <w:top w:w="0" w:type="dxa"/>
            <w:left w:w="0" w:type="dxa"/>
            <w:bottom w:w="0" w:type="dxa"/>
            <w:right w:w="0" w:type="dxa"/>
          </w:tblCellMar>
        </w:tblPrEx>
        <w:trPr>
          <w:trHeight w:val="555" w:hRule="atLeast"/>
        </w:trPr>
        <w:tc>
          <w:tcPr>
            <w:tcW w:w="12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交流充电桩</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充电</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7KW</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10mm²铜芯电缆</w:t>
            </w:r>
          </w:p>
        </w:tc>
        <w:tc>
          <w:tcPr>
            <w:tcW w:w="4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功率&lt;10KW主线电缆规格宜选用10mm²铜芯电缆:</w:t>
            </w:r>
          </w:p>
        </w:tc>
      </w:tr>
      <w:tr>
        <w:tblPrEx>
          <w:tblCellMar>
            <w:top w:w="0" w:type="dxa"/>
            <w:left w:w="0" w:type="dxa"/>
            <w:bottom w:w="0" w:type="dxa"/>
            <w:right w:w="0" w:type="dxa"/>
          </w:tblCellMar>
        </w:tblPrEx>
        <w:trPr>
          <w:trHeight w:val="574" w:hRule="atLeast"/>
        </w:trPr>
        <w:tc>
          <w:tcPr>
            <w:tcW w:w="1229"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直流充电框</w:t>
            </w:r>
          </w:p>
        </w:tc>
        <w:tc>
          <w:tcPr>
            <w:tcW w:w="797"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充电</w:t>
            </w:r>
          </w:p>
        </w:tc>
        <w:tc>
          <w:tcPr>
            <w:tcW w:w="1159"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30kW-120kW</w:t>
            </w:r>
          </w:p>
        </w:tc>
        <w:tc>
          <w:tcPr>
            <w:tcW w:w="1628"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50mm²铜芯电缆</w:t>
            </w:r>
          </w:p>
        </w:tc>
        <w:tc>
          <w:tcPr>
            <w:tcW w:w="4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功率&lt;130KW,主线电缆规格宜选用50mm²铜芯电缆</w:t>
            </w:r>
          </w:p>
        </w:tc>
      </w:tr>
      <w:tr>
        <w:tblPrEx>
          <w:tblCellMar>
            <w:top w:w="0" w:type="dxa"/>
            <w:left w:w="0" w:type="dxa"/>
            <w:bottom w:w="0" w:type="dxa"/>
            <w:right w:w="0" w:type="dxa"/>
          </w:tblCellMar>
        </w:tblPrEx>
        <w:trPr>
          <w:trHeight w:val="344" w:hRule="atLeast"/>
        </w:trPr>
        <w:tc>
          <w:tcPr>
            <w:tcW w:w="12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移动通信</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通信</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1000~1500W</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6mm²铜芯电缆</w:t>
            </w:r>
          </w:p>
        </w:tc>
        <w:tc>
          <w:tcPr>
            <w:tcW w:w="4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6"/>
              <w:spacing w:line="240" w:lineRule="auto"/>
              <w:ind w:firstLine="0" w:firstLineChars="0"/>
              <w:jc w:val="center"/>
              <w:rPr>
                <w:color w:val="000000" w:themeColor="text1"/>
                <w:szCs w:val="21"/>
                <w14:textFill>
                  <w14:solidFill>
                    <w14:schemeClr w14:val="tx1"/>
                  </w14:solidFill>
                </w14:textFill>
              </w:rPr>
            </w:pPr>
          </w:p>
        </w:tc>
      </w:tr>
    </w:tbl>
    <w:p>
      <w:pPr>
        <w:jc w:val="left"/>
        <w:rPr>
          <w:rFonts w:ascii="宋体" w:hAnsi="宋体"/>
          <w:color w:val="000000" w:themeColor="text1"/>
          <w:szCs w:val="21"/>
          <w14:textFill>
            <w14:solidFill>
              <w14:schemeClr w14:val="tx1"/>
            </w14:solidFill>
          </w14:textFill>
        </w:rPr>
      </w:pPr>
    </w:p>
    <w:p>
      <w:pPr>
        <w:spacing w:line="360" w:lineRule="auto"/>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考虑综合机箱按照500米间距布设，按智慧灯杆50米布设间距，每个综合机箱为约20根（两侧）智慧灯杆供电，具体功率计算见下表：</w:t>
      </w:r>
    </w:p>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表 综合机箱功率计算表（参考）</w:t>
      </w:r>
    </w:p>
    <w:tbl>
      <w:tblPr>
        <w:tblStyle w:val="37"/>
        <w:tblW w:w="8378" w:type="dxa"/>
        <w:jc w:val="center"/>
        <w:tblLayout w:type="fixed"/>
        <w:tblCellMar>
          <w:top w:w="0" w:type="dxa"/>
          <w:left w:w="108" w:type="dxa"/>
          <w:bottom w:w="0" w:type="dxa"/>
          <w:right w:w="108" w:type="dxa"/>
        </w:tblCellMar>
      </w:tblPr>
      <w:tblGrid>
        <w:gridCol w:w="803"/>
        <w:gridCol w:w="1556"/>
        <w:gridCol w:w="802"/>
        <w:gridCol w:w="802"/>
        <w:gridCol w:w="1930"/>
        <w:gridCol w:w="2485"/>
      </w:tblGrid>
      <w:tr>
        <w:tblPrEx>
          <w:tblCellMar>
            <w:top w:w="0" w:type="dxa"/>
            <w:left w:w="108" w:type="dxa"/>
            <w:bottom w:w="0" w:type="dxa"/>
            <w:right w:w="108" w:type="dxa"/>
          </w:tblCellMar>
        </w:tblPrEx>
        <w:trPr>
          <w:trHeight w:val="291" w:hRule="atLeast"/>
          <w:jc w:val="center"/>
        </w:trPr>
        <w:tc>
          <w:tcPr>
            <w:tcW w:w="803"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序号</w:t>
            </w:r>
          </w:p>
        </w:tc>
        <w:tc>
          <w:tcPr>
            <w:tcW w:w="1556"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设备名称</w:t>
            </w:r>
          </w:p>
        </w:tc>
        <w:tc>
          <w:tcPr>
            <w:tcW w:w="802"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单位</w:t>
            </w:r>
          </w:p>
        </w:tc>
        <w:tc>
          <w:tcPr>
            <w:tcW w:w="802"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数量</w:t>
            </w:r>
          </w:p>
        </w:tc>
        <w:tc>
          <w:tcPr>
            <w:tcW w:w="1930"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设备功率（KW）</w:t>
            </w:r>
          </w:p>
        </w:tc>
        <w:tc>
          <w:tcPr>
            <w:tcW w:w="2485"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合计功率（KW）</w:t>
            </w:r>
          </w:p>
        </w:tc>
      </w:tr>
      <w:tr>
        <w:tblPrEx>
          <w:tblCellMar>
            <w:top w:w="0" w:type="dxa"/>
            <w:left w:w="108" w:type="dxa"/>
            <w:bottom w:w="0" w:type="dxa"/>
            <w:right w:w="108" w:type="dxa"/>
          </w:tblCellMar>
        </w:tblPrEx>
        <w:trPr>
          <w:trHeight w:val="291" w:hRule="atLeast"/>
          <w:jc w:val="center"/>
        </w:trPr>
        <w:tc>
          <w:tcPr>
            <w:tcW w:w="803"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556"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移动通信</w:t>
            </w:r>
          </w:p>
        </w:tc>
        <w:tc>
          <w:tcPr>
            <w:tcW w:w="802"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套</w:t>
            </w:r>
          </w:p>
        </w:tc>
        <w:tc>
          <w:tcPr>
            <w:tcW w:w="802"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1930"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w:t>
            </w:r>
          </w:p>
        </w:tc>
        <w:tc>
          <w:tcPr>
            <w:tcW w:w="2485"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w:t>
            </w:r>
          </w:p>
        </w:tc>
      </w:tr>
      <w:tr>
        <w:tblPrEx>
          <w:tblCellMar>
            <w:top w:w="0" w:type="dxa"/>
            <w:left w:w="108" w:type="dxa"/>
            <w:bottom w:w="0" w:type="dxa"/>
            <w:right w:w="108" w:type="dxa"/>
          </w:tblCellMar>
        </w:tblPrEx>
        <w:trPr>
          <w:trHeight w:val="291" w:hRule="atLeast"/>
          <w:jc w:val="center"/>
        </w:trPr>
        <w:tc>
          <w:tcPr>
            <w:tcW w:w="803"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556"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智慧照明</w:t>
            </w:r>
          </w:p>
        </w:tc>
        <w:tc>
          <w:tcPr>
            <w:tcW w:w="802"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套</w:t>
            </w:r>
          </w:p>
        </w:tc>
        <w:tc>
          <w:tcPr>
            <w:tcW w:w="802"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1930"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w:t>
            </w:r>
          </w:p>
        </w:tc>
        <w:tc>
          <w:tcPr>
            <w:tcW w:w="2485"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r>
      <w:tr>
        <w:tblPrEx>
          <w:tblCellMar>
            <w:top w:w="0" w:type="dxa"/>
            <w:left w:w="108" w:type="dxa"/>
            <w:bottom w:w="0" w:type="dxa"/>
            <w:right w:w="108" w:type="dxa"/>
          </w:tblCellMar>
        </w:tblPrEx>
        <w:trPr>
          <w:trHeight w:val="291" w:hRule="atLeast"/>
          <w:jc w:val="center"/>
        </w:trPr>
        <w:tc>
          <w:tcPr>
            <w:tcW w:w="803"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556"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交通信号灯</w:t>
            </w:r>
          </w:p>
        </w:tc>
        <w:tc>
          <w:tcPr>
            <w:tcW w:w="802"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套</w:t>
            </w:r>
          </w:p>
        </w:tc>
        <w:tc>
          <w:tcPr>
            <w:tcW w:w="802"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930"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w:t>
            </w:r>
          </w:p>
        </w:tc>
        <w:tc>
          <w:tcPr>
            <w:tcW w:w="2485"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w:t>
            </w:r>
          </w:p>
        </w:tc>
      </w:tr>
      <w:tr>
        <w:tblPrEx>
          <w:tblCellMar>
            <w:top w:w="0" w:type="dxa"/>
            <w:left w:w="108" w:type="dxa"/>
            <w:bottom w:w="0" w:type="dxa"/>
            <w:right w:w="108" w:type="dxa"/>
          </w:tblCellMar>
        </w:tblPrEx>
        <w:trPr>
          <w:trHeight w:val="291" w:hRule="atLeast"/>
          <w:jc w:val="center"/>
        </w:trPr>
        <w:tc>
          <w:tcPr>
            <w:tcW w:w="803"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556"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视频采集</w:t>
            </w:r>
          </w:p>
        </w:tc>
        <w:tc>
          <w:tcPr>
            <w:tcW w:w="802"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套</w:t>
            </w:r>
          </w:p>
        </w:tc>
        <w:tc>
          <w:tcPr>
            <w:tcW w:w="802"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930"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0.025</w:t>
            </w:r>
          </w:p>
        </w:tc>
        <w:tc>
          <w:tcPr>
            <w:tcW w:w="2485"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0.075</w:t>
            </w:r>
          </w:p>
        </w:tc>
      </w:tr>
      <w:tr>
        <w:tblPrEx>
          <w:tblCellMar>
            <w:top w:w="0" w:type="dxa"/>
            <w:left w:w="108" w:type="dxa"/>
            <w:bottom w:w="0" w:type="dxa"/>
            <w:right w:w="108" w:type="dxa"/>
          </w:tblCellMar>
        </w:tblPrEx>
        <w:trPr>
          <w:trHeight w:val="291" w:hRule="atLeast"/>
          <w:jc w:val="center"/>
        </w:trPr>
        <w:tc>
          <w:tcPr>
            <w:tcW w:w="803"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556"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交通执法</w:t>
            </w:r>
          </w:p>
        </w:tc>
        <w:tc>
          <w:tcPr>
            <w:tcW w:w="802"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套</w:t>
            </w:r>
          </w:p>
        </w:tc>
        <w:tc>
          <w:tcPr>
            <w:tcW w:w="802"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930"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0.075</w:t>
            </w:r>
          </w:p>
        </w:tc>
        <w:tc>
          <w:tcPr>
            <w:tcW w:w="2485" w:type="dxa"/>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w:t>
            </w:r>
          </w:p>
        </w:tc>
      </w:tr>
      <w:tr>
        <w:tblPrEx>
          <w:tblCellMar>
            <w:top w:w="0" w:type="dxa"/>
            <w:left w:w="108" w:type="dxa"/>
            <w:bottom w:w="0" w:type="dxa"/>
            <w:right w:w="108" w:type="dxa"/>
          </w:tblCellMar>
        </w:tblPrEx>
        <w:trPr>
          <w:trHeight w:val="301" w:hRule="atLeast"/>
          <w:jc w:val="center"/>
        </w:trPr>
        <w:tc>
          <w:tcPr>
            <w:tcW w:w="3963" w:type="dxa"/>
            <w:gridSpan w:val="4"/>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合计</w:t>
            </w:r>
          </w:p>
        </w:tc>
        <w:tc>
          <w:tcPr>
            <w:tcW w:w="4415" w:type="dxa"/>
            <w:gridSpan w:val="2"/>
            <w:tcBorders>
              <w:top w:val="single" w:color="auto" w:sz="4" w:space="0"/>
              <w:left w:val="single" w:color="auto" w:sz="4" w:space="0"/>
              <w:bottom w:val="single" w:color="auto" w:sz="4" w:space="0"/>
              <w:right w:val="single" w:color="auto" w:sz="4" w:space="0"/>
            </w:tcBorders>
            <w:noWrap/>
            <w:vAlign w:val="center"/>
          </w:tcPr>
          <w:p>
            <w:pPr>
              <w:pStyle w:val="26"/>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28.775</w:t>
            </w:r>
          </w:p>
        </w:tc>
      </w:tr>
    </w:tbl>
    <w:p>
      <w:bookmarkStart w:id="878" w:name="_Toc3512"/>
      <w:r>
        <w:rPr>
          <w:rFonts w:hint="eastAsia"/>
        </w:rPr>
        <w:br w:type="page"/>
      </w:r>
    </w:p>
    <w:p>
      <w:pPr>
        <w:pStyle w:val="85"/>
        <w:numPr>
          <w:ilvl w:val="0"/>
          <w:numId w:val="0"/>
        </w:numPr>
        <w:spacing w:before="312" w:after="312"/>
        <w:outlineLvl w:val="0"/>
      </w:pPr>
      <w:r>
        <w:rPr>
          <w:rFonts w:hint="eastAsia"/>
        </w:rPr>
        <w:t>10 运行和维护</w:t>
      </w:r>
      <w:bookmarkEnd w:id="878"/>
    </w:p>
    <w:p>
      <w:pPr>
        <w:pStyle w:val="53"/>
        <w:numPr>
          <w:ilvl w:val="1"/>
          <w:numId w:val="0"/>
        </w:numPr>
        <w:spacing w:before="156" w:after="156"/>
        <w:outlineLvl w:val="1"/>
      </w:pPr>
      <w:bookmarkStart w:id="879" w:name="_Toc10746"/>
      <w:r>
        <w:rPr>
          <w:rFonts w:hint="eastAsia"/>
        </w:rPr>
        <w:t>10.5 系统平台</w:t>
      </w:r>
      <w:bookmarkEnd w:id="879"/>
    </w:p>
    <w:p>
      <w:pPr>
        <w:spacing w:line="360" w:lineRule="auto"/>
        <w:jc w:val="left"/>
        <w:rPr>
          <w:rFonts w:ascii="宋体" w:hAnsi="宋体"/>
          <w:color w:val="000000" w:themeColor="text1"/>
          <w:szCs w:val="21"/>
          <w14:textFill>
            <w14:solidFill>
              <w14:schemeClr w14:val="tx1"/>
            </w14:solidFill>
          </w14:textFill>
        </w:rPr>
      </w:pPr>
      <w:r>
        <w:rPr>
          <w:rFonts w:hint="eastAsia" w:ascii="黑体" w:hAnsi="黑体" w:eastAsia="黑体" w:cs="黑体"/>
          <w:color w:val="000000" w:themeColor="text1"/>
          <w:szCs w:val="21"/>
          <w14:textFill>
            <w14:solidFill>
              <w14:schemeClr w14:val="tx1"/>
            </w14:solidFill>
          </w14:textFill>
        </w:rPr>
        <w:t xml:space="preserve">10.5.2 </w:t>
      </w:r>
      <w:r>
        <w:rPr>
          <w:rFonts w:hint="eastAsia" w:ascii="宋体" w:hAnsi="宋体"/>
          <w:color w:val="000000" w:themeColor="text1"/>
          <w:szCs w:val="21"/>
          <w14:textFill>
            <w14:solidFill>
              <w14:schemeClr w14:val="tx1"/>
            </w14:solidFill>
          </w14:textFill>
        </w:rPr>
        <w:t>根据中国网络安全法第二十一条 （三）采取监测、记录网络运行状态、网络安全事件的技术措施，并按照规定留存相关的网络日志不少于六个月。</w:t>
      </w:r>
    </w:p>
    <w:p>
      <w:pPr>
        <w:jc w:val="left"/>
        <w:rPr>
          <w:b/>
          <w:bCs/>
          <w:i/>
          <w:iCs/>
          <w:color w:val="FF0000"/>
          <w:szCs w:val="21"/>
        </w:rPr>
      </w:pPr>
    </w:p>
    <w:sectPr>
      <w:pgSz w:w="11906" w:h="16838"/>
      <w:pgMar w:top="567" w:right="1134" w:bottom="1134" w:left="1418" w:header="1134" w:footer="1134" w:gutter="0"/>
      <w:cols w:space="720" w:num="1"/>
      <w:formProt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ᒋ⨀ሀ宋体">
    <w:altName w:val="宋体"/>
    <w:panose1 w:val="00000000000000000000"/>
    <w:charset w:val="86"/>
    <w:family w:val="auto"/>
    <w:pitch w:val="default"/>
    <w:sig w:usb0="00000000" w:usb1="00000000" w:usb2="00000010" w:usb3="00000000" w:csb0="00040001" w:csb1="00000000"/>
  </w:font>
  <w:font w:name="Segoe UI">
    <w:panose1 w:val="020B0502040204020203"/>
    <w:charset w:val="00"/>
    <w:family w:val="swiss"/>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2"/>
      <w:snapToGrid w:val="0"/>
      <w:jc w:val="left"/>
      <w:rPr>
        <w:rFonts w:cs="黑体"/>
        <w:kern w:val="0"/>
        <w:sz w:val="18"/>
        <w:szCs w:val="18"/>
      </w:rPr>
    </w:pPr>
    <w:r>
      <w:rPr>
        <w:rFonts w:cs="黑体"/>
        <w:kern w:val="0"/>
        <w:sz w:val="18"/>
        <w:szCs w:val="18"/>
      </w:rPr>
      <w:fldChar w:fldCharType="begin"/>
    </w:r>
    <w:r>
      <w:rPr>
        <w:rFonts w:cs="黑体"/>
        <w:kern w:val="0"/>
        <w:sz w:val="18"/>
        <w:szCs w:val="18"/>
      </w:rPr>
      <w:instrText xml:space="preserve">PAGE  </w:instrText>
    </w:r>
    <w:r>
      <w:rPr>
        <w:rFonts w:cs="黑体"/>
        <w:kern w:val="0"/>
        <w:sz w:val="18"/>
        <w:szCs w:val="18"/>
      </w:rPr>
      <w:fldChar w:fldCharType="separate"/>
    </w:r>
    <w:r>
      <w:rPr>
        <w:rFonts w:cs="黑体"/>
        <w:kern w:val="0"/>
        <w:sz w:val="18"/>
        <w:szCs w:val="18"/>
      </w:rPr>
      <w:t>2</w:t>
    </w:r>
    <w:r>
      <w:rPr>
        <w:rFonts w:cs="黑体"/>
        <w:kern w:val="0"/>
        <w:sz w:val="18"/>
        <w:szCs w:val="18"/>
      </w:rPr>
      <w:fldChar w:fldCharType="end"/>
    </w:r>
  </w:p>
  <w:p>
    <w:pPr>
      <w:snapToGrid w:val="0"/>
      <w:jc w:val="left"/>
      <w:rPr>
        <w:kern w:val="0"/>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2"/>
      <w:jc w:val="center"/>
    </w:pPr>
    <w:r>
      <w:fldChar w:fldCharType="begin"/>
    </w:r>
    <w:r>
      <w:instrText xml:space="preserve"> PAGE  \* MERGEFORMAT </w:instrText>
    </w:r>
    <w:r>
      <w:fldChar w:fldCharType="separate"/>
    </w:r>
    <w:r>
      <w:t>12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2"/>
      <w:jc w:val="center"/>
    </w:pPr>
    <w:r>
      <w:fldChar w:fldCharType="begin"/>
    </w:r>
    <w:r>
      <w:instrText xml:space="preserve"> PAGE  \* MERGEFORMAT </w:instrText>
    </w:r>
    <w:r>
      <w:fldChar w:fldCharType="separate"/>
    </w:r>
    <w:r>
      <w:t>88</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2"/>
      <w:snapToGrid w:val="0"/>
      <w:jc w:val="left"/>
      <w:rPr>
        <w:rFonts w:cs="黑体"/>
        <w:kern w:val="0"/>
        <w:sz w:val="18"/>
        <w:szCs w:val="18"/>
      </w:rPr>
    </w:pPr>
    <w:r>
      <w:rPr>
        <w:rFonts w:cs="黑体"/>
        <w:kern w:val="0"/>
        <w:sz w:val="18"/>
        <w:szCs w:val="18"/>
      </w:rPr>
      <w:fldChar w:fldCharType="begin"/>
    </w:r>
    <w:r>
      <w:rPr>
        <w:rFonts w:cs="黑体"/>
        <w:kern w:val="0"/>
        <w:sz w:val="18"/>
        <w:szCs w:val="18"/>
      </w:rPr>
      <w:instrText xml:space="preserve">PAGE  </w:instrText>
    </w:r>
    <w:r>
      <w:rPr>
        <w:rFonts w:cs="黑体"/>
        <w:kern w:val="0"/>
        <w:sz w:val="18"/>
        <w:szCs w:val="18"/>
      </w:rPr>
      <w:fldChar w:fldCharType="separate"/>
    </w:r>
    <w:r>
      <w:rPr>
        <w:rFonts w:cs="黑体"/>
        <w:kern w:val="0"/>
        <w:sz w:val="18"/>
        <w:szCs w:val="18"/>
      </w:rPr>
      <w:t>2</w:t>
    </w:r>
    <w:r>
      <w:rPr>
        <w:rFonts w:cs="黑体"/>
        <w:kern w:val="0"/>
        <w:sz w:val="18"/>
        <w:szCs w:val="18"/>
      </w:rPr>
      <w:fldChar w:fldCharType="end"/>
    </w:r>
  </w:p>
  <w:p>
    <w:pPr>
      <w:snapToGrid w:val="0"/>
      <w:jc w:val="left"/>
      <w:rPr>
        <w:kern w:val="0"/>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kern w:val="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kern w:val="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E5E72B"/>
    <w:multiLevelType w:val="singleLevel"/>
    <w:tmpl w:val="82E5E72B"/>
    <w:lvl w:ilvl="0" w:tentative="0">
      <w:start w:val="1"/>
      <w:numFmt w:val="decimal"/>
      <w:suff w:val="space"/>
      <w:lvlText w:val="%1)"/>
      <w:lvlJc w:val="left"/>
      <w:pPr>
        <w:tabs>
          <w:tab w:val="left" w:pos="0"/>
        </w:tabs>
        <w:ind w:left="0" w:firstLine="0"/>
      </w:pPr>
      <w:rPr>
        <w:rFonts w:hint="default"/>
      </w:rPr>
    </w:lvl>
  </w:abstractNum>
  <w:abstractNum w:abstractNumId="1">
    <w:nsid w:val="86F52C57"/>
    <w:multiLevelType w:val="singleLevel"/>
    <w:tmpl w:val="86F52C57"/>
    <w:lvl w:ilvl="0" w:tentative="0">
      <w:start w:val="1"/>
      <w:numFmt w:val="decimal"/>
      <w:suff w:val="nothing"/>
      <w:lvlText w:val="%1）"/>
      <w:lvlJc w:val="left"/>
    </w:lvl>
  </w:abstractNum>
  <w:abstractNum w:abstractNumId="2">
    <w:nsid w:val="922934EC"/>
    <w:multiLevelType w:val="singleLevel"/>
    <w:tmpl w:val="922934EC"/>
    <w:lvl w:ilvl="0" w:tentative="0">
      <w:start w:val="1"/>
      <w:numFmt w:val="decimal"/>
      <w:suff w:val="nothing"/>
      <w:lvlText w:val="%1）"/>
      <w:lvlJc w:val="left"/>
      <w:pPr>
        <w:tabs>
          <w:tab w:val="left" w:pos="0"/>
        </w:tabs>
      </w:pPr>
      <w:rPr>
        <w:rFonts w:hint="default"/>
      </w:rPr>
    </w:lvl>
  </w:abstractNum>
  <w:abstractNum w:abstractNumId="3">
    <w:nsid w:val="A9E57388"/>
    <w:multiLevelType w:val="singleLevel"/>
    <w:tmpl w:val="A9E57388"/>
    <w:lvl w:ilvl="0" w:tentative="0">
      <w:start w:val="1"/>
      <w:numFmt w:val="decimal"/>
      <w:lvlText w:val="%1)"/>
      <w:lvlJc w:val="left"/>
      <w:pPr>
        <w:ind w:left="425" w:hanging="425"/>
      </w:pPr>
      <w:rPr>
        <w:rFonts w:hint="default"/>
      </w:rPr>
    </w:lvl>
  </w:abstractNum>
  <w:abstractNum w:abstractNumId="4">
    <w:nsid w:val="AF1C3F73"/>
    <w:multiLevelType w:val="singleLevel"/>
    <w:tmpl w:val="AF1C3F73"/>
    <w:lvl w:ilvl="0" w:tentative="0">
      <w:start w:val="4"/>
      <w:numFmt w:val="decimal"/>
      <w:suff w:val="nothing"/>
      <w:lvlText w:val="%1）"/>
      <w:lvlJc w:val="left"/>
    </w:lvl>
  </w:abstractNum>
  <w:abstractNum w:abstractNumId="5">
    <w:nsid w:val="B2F02A96"/>
    <w:multiLevelType w:val="singleLevel"/>
    <w:tmpl w:val="B2F02A96"/>
    <w:lvl w:ilvl="0" w:tentative="0">
      <w:start w:val="2"/>
      <w:numFmt w:val="decimal"/>
      <w:suff w:val="nothing"/>
      <w:lvlText w:val="（%1）"/>
      <w:lvlJc w:val="left"/>
    </w:lvl>
  </w:abstractNum>
  <w:abstractNum w:abstractNumId="6">
    <w:nsid w:val="C1587F41"/>
    <w:multiLevelType w:val="multilevel"/>
    <w:tmpl w:val="C1587F41"/>
    <w:lvl w:ilvl="0" w:tentative="0">
      <w:start w:val="1"/>
      <w:numFmt w:val="decimal"/>
      <w:suff w:val="nothing"/>
      <w:lvlText w:val="%1　"/>
      <w:lvlJc w:val="left"/>
      <w:pPr>
        <w:tabs>
          <w:tab w:val="left" w:pos="0"/>
        </w:tabs>
        <w:ind w:left="0" w:firstLine="0"/>
      </w:pPr>
      <w:rPr>
        <w:rFonts w:hint="default" w:ascii="宋体" w:hAnsi="宋体" w:eastAsia="宋体" w:cs="宋体"/>
        <w:b/>
        <w:i w:val="0"/>
        <w:sz w:val="28"/>
        <w:szCs w:val="21"/>
      </w:rPr>
    </w:lvl>
    <w:lvl w:ilvl="1" w:tentative="0">
      <w:start w:val="1"/>
      <w:numFmt w:val="decimal"/>
      <w:pStyle w:val="53"/>
      <w:suff w:val="nothing"/>
      <w:lvlText w:val="%1.%2　"/>
      <w:lvlJc w:val="left"/>
      <w:pPr>
        <w:tabs>
          <w:tab w:val="left" w:pos="0"/>
        </w:tabs>
        <w:ind w:left="0" w:firstLine="0"/>
      </w:pPr>
      <w:rPr>
        <w:rFonts w:hint="default" w:ascii="黑体" w:hAnsi="黑体" w:eastAsia="黑体" w:cs="宋体"/>
        <w:b w:val="0"/>
        <w:bCs w:val="0"/>
        <w:i w:val="0"/>
        <w:iCs w:val="0"/>
        <w:caps w:val="0"/>
        <w:strike w:val="0"/>
        <w:dstrike w:val="0"/>
        <w:outline/>
        <w:vanish/>
        <w:color w:val="000000"/>
        <w:spacing w:val="0"/>
        <w:kern w:val="0"/>
        <w:position w:val="0"/>
        <w:sz w:val="21"/>
        <w:szCs w:val="21"/>
        <w:u w:val="none"/>
        <w:vertAlign w:val="baselin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tentative="0">
      <w:start w:val="1"/>
      <w:numFmt w:val="decimal"/>
      <w:pStyle w:val="52"/>
      <w:suff w:val="nothing"/>
      <w:lvlText w:val="%1.%2.%3　"/>
      <w:lvlJc w:val="left"/>
      <w:pPr>
        <w:tabs>
          <w:tab w:val="left" w:pos="0"/>
        </w:tabs>
        <w:ind w:left="0" w:firstLine="0"/>
      </w:pPr>
      <w:rPr>
        <w:rFonts w:hint="default" w:ascii="黑体" w:hAnsi="Times New Roman" w:eastAsia="黑体"/>
        <w:b w:val="0"/>
        <w:i w:val="0"/>
        <w:sz w:val="21"/>
        <w:szCs w:val="24"/>
      </w:rPr>
    </w:lvl>
    <w:lvl w:ilvl="3" w:tentative="0">
      <w:start w:val="1"/>
      <w:numFmt w:val="decimal"/>
      <w:suff w:val="nothing"/>
      <w:lvlText w:val="%1.%2.%3.%4　"/>
      <w:lvlJc w:val="left"/>
      <w:pPr>
        <w:ind w:left="1134" w:firstLine="0"/>
      </w:pPr>
      <w:rPr>
        <w:rFonts w:hint="eastAsia" w:ascii="黑体" w:hAnsi="Times New Roman" w:eastAsia="黑体"/>
        <w:b w:val="0"/>
        <w:i w:val="0"/>
        <w:sz w:val="21"/>
      </w:rPr>
    </w:lvl>
    <w:lvl w:ilvl="4" w:tentative="0">
      <w:start w:val="1"/>
      <w:numFmt w:val="decimal"/>
      <w:suff w:val="nothing"/>
      <w:lvlText w:val="%1.%2.%3.%4.%5　"/>
      <w:lvlJc w:val="left"/>
      <w:pPr>
        <w:ind w:left="2269"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7">
    <w:nsid w:val="C53F1C43"/>
    <w:multiLevelType w:val="singleLevel"/>
    <w:tmpl w:val="C53F1C43"/>
    <w:lvl w:ilvl="0" w:tentative="0">
      <w:start w:val="1"/>
      <w:numFmt w:val="decimal"/>
      <w:lvlText w:val="%1)"/>
      <w:lvlJc w:val="left"/>
      <w:pPr>
        <w:ind w:left="425" w:hanging="425"/>
      </w:pPr>
      <w:rPr>
        <w:rFonts w:hint="default"/>
      </w:rPr>
    </w:lvl>
  </w:abstractNum>
  <w:abstractNum w:abstractNumId="8">
    <w:nsid w:val="CB768C58"/>
    <w:multiLevelType w:val="singleLevel"/>
    <w:tmpl w:val="CB768C58"/>
    <w:lvl w:ilvl="0" w:tentative="0">
      <w:start w:val="1"/>
      <w:numFmt w:val="decimal"/>
      <w:lvlText w:val="%1)"/>
      <w:lvlJc w:val="left"/>
      <w:pPr>
        <w:ind w:left="425" w:hanging="425"/>
      </w:pPr>
      <w:rPr>
        <w:rFonts w:hint="default"/>
      </w:rPr>
    </w:lvl>
  </w:abstractNum>
  <w:abstractNum w:abstractNumId="9">
    <w:nsid w:val="CBA0ED14"/>
    <w:multiLevelType w:val="multilevel"/>
    <w:tmpl w:val="CBA0ED14"/>
    <w:lvl w:ilvl="0" w:tentative="0">
      <w:start w:val="1"/>
      <w:numFmt w:val="decimal"/>
      <w:lvlText w:val="%1)"/>
      <w:lvlJc w:val="left"/>
      <w:pPr>
        <w:ind w:left="425" w:hanging="425"/>
      </w:pPr>
      <w:rPr>
        <w:rFonts w:hint="default"/>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0">
    <w:nsid w:val="D4142F24"/>
    <w:multiLevelType w:val="singleLevel"/>
    <w:tmpl w:val="D4142F24"/>
    <w:lvl w:ilvl="0" w:tentative="0">
      <w:start w:val="1"/>
      <w:numFmt w:val="decimal"/>
      <w:lvlText w:val="%1)"/>
      <w:lvlJc w:val="left"/>
      <w:pPr>
        <w:ind w:left="425" w:hanging="425"/>
      </w:pPr>
      <w:rPr>
        <w:rFonts w:hint="default"/>
      </w:rPr>
    </w:lvl>
  </w:abstractNum>
  <w:abstractNum w:abstractNumId="11">
    <w:nsid w:val="D76251C7"/>
    <w:multiLevelType w:val="multilevel"/>
    <w:tmpl w:val="D76251C7"/>
    <w:lvl w:ilvl="0" w:tentative="0">
      <w:start w:val="1"/>
      <w:numFmt w:val="decimal"/>
      <w:suff w:val="nothing"/>
      <w:lvlText w:val="%1　"/>
      <w:lvlJc w:val="left"/>
      <w:pPr>
        <w:tabs>
          <w:tab w:val="left" w:pos="0"/>
        </w:tabs>
        <w:ind w:left="0" w:firstLine="0"/>
      </w:pPr>
      <w:rPr>
        <w:rFonts w:hint="default" w:ascii="黑体" w:hAnsi="黑体" w:eastAsia="黑体" w:cs="宋体"/>
        <w:b/>
        <w:i w:val="0"/>
        <w:sz w:val="28"/>
        <w:szCs w:val="21"/>
      </w:rPr>
    </w:lvl>
    <w:lvl w:ilvl="1" w:tentative="0">
      <w:start w:val="0"/>
      <w:numFmt w:val="decimal"/>
      <w:suff w:val="nothing"/>
      <w:lvlText w:val="%1.%2　"/>
      <w:lvlJc w:val="left"/>
      <w:pPr>
        <w:ind w:left="0" w:firstLine="0"/>
      </w:pPr>
      <w:rPr>
        <w:rFonts w:hint="default" w:ascii="宋体" w:hAnsi="宋体" w:eastAsia="宋体" w:cs="宋体"/>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suff w:val="nothing"/>
      <w:lvlText w:val="%1.%2.%3　"/>
      <w:lvlJc w:val="left"/>
      <w:pPr>
        <w:tabs>
          <w:tab w:val="left" w:pos="0"/>
        </w:tabs>
        <w:ind w:left="0" w:firstLine="0"/>
      </w:pPr>
      <w:rPr>
        <w:rFonts w:hint="default" w:ascii="黑体" w:hAnsi="Times New Roman" w:eastAsia="黑体"/>
        <w:b w:val="0"/>
        <w:i w:val="0"/>
        <w:sz w:val="21"/>
        <w:szCs w:val="24"/>
      </w:rPr>
    </w:lvl>
    <w:lvl w:ilvl="3" w:tentative="0">
      <w:start w:val="1"/>
      <w:numFmt w:val="decimal"/>
      <w:pStyle w:val="51"/>
      <w:suff w:val="nothing"/>
      <w:lvlText w:val="%1.%2.%3.%4　"/>
      <w:lvlJc w:val="left"/>
      <w:pPr>
        <w:ind w:left="1134" w:firstLine="0"/>
      </w:pPr>
      <w:rPr>
        <w:rFonts w:hint="eastAsia" w:ascii="黑体" w:hAnsi="Times New Roman" w:eastAsia="黑体"/>
        <w:b w:val="0"/>
        <w:i w:val="0"/>
        <w:sz w:val="21"/>
      </w:rPr>
    </w:lvl>
    <w:lvl w:ilvl="4" w:tentative="0">
      <w:start w:val="1"/>
      <w:numFmt w:val="decimal"/>
      <w:suff w:val="nothing"/>
      <w:lvlText w:val="%1.%2.%3.%4.%5　"/>
      <w:lvlJc w:val="left"/>
      <w:pPr>
        <w:ind w:left="2269"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2">
    <w:nsid w:val="F2F8CA31"/>
    <w:multiLevelType w:val="multilevel"/>
    <w:tmpl w:val="F2F8CA31"/>
    <w:lvl w:ilvl="0" w:tentative="0">
      <w:start w:val="1"/>
      <w:numFmt w:val="decimal"/>
      <w:lvlText w:val="%1)"/>
      <w:lvlJc w:val="left"/>
      <w:pPr>
        <w:ind w:left="425" w:hanging="425"/>
      </w:pPr>
      <w:rPr>
        <w:rFonts w:hint="default"/>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3">
    <w:nsid w:val="F61D5BA0"/>
    <w:multiLevelType w:val="multilevel"/>
    <w:tmpl w:val="F61D5BA0"/>
    <w:lvl w:ilvl="0" w:tentative="0">
      <w:start w:val="1"/>
      <w:numFmt w:val="decimal"/>
      <w:suff w:val="space"/>
      <w:lvlText w:val="%1)"/>
      <w:lvlJc w:val="left"/>
      <w:pPr>
        <w:tabs>
          <w:tab w:val="left" w:pos="0"/>
        </w:tabs>
        <w:ind w:left="840" w:hanging="420"/>
      </w:pPr>
      <w:rPr>
        <w:rFonts w:hint="default" w:ascii="Times New Roman" w:hAnsi="Times New Roman" w:cs="Times New Roman"/>
      </w:rPr>
    </w:lvl>
    <w:lvl w:ilvl="1" w:tentative="0">
      <w:start w:val="1"/>
      <w:numFmt w:val="lowerLetter"/>
      <w:lvlText w:val="%2)"/>
      <w:lvlJc w:val="left"/>
      <w:pPr>
        <w:tabs>
          <w:tab w:val="left" w:pos="0"/>
        </w:tabs>
        <w:ind w:left="1260" w:hanging="420"/>
      </w:pPr>
      <w:rPr>
        <w:rFonts w:hint="default" w:ascii="Times New Roman" w:hAnsi="Times New Roman" w:cs="Times New Roman"/>
      </w:rPr>
    </w:lvl>
    <w:lvl w:ilvl="2" w:tentative="0">
      <w:start w:val="1"/>
      <w:numFmt w:val="lowerRoman"/>
      <w:lvlText w:val="%3."/>
      <w:lvlJc w:val="right"/>
      <w:pPr>
        <w:tabs>
          <w:tab w:val="left" w:pos="0"/>
        </w:tabs>
        <w:ind w:left="1680" w:hanging="420"/>
      </w:pPr>
      <w:rPr>
        <w:rFonts w:hint="default" w:ascii="Times New Roman" w:hAnsi="Times New Roman" w:cs="Times New Roman"/>
      </w:rPr>
    </w:lvl>
    <w:lvl w:ilvl="3" w:tentative="0">
      <w:start w:val="1"/>
      <w:numFmt w:val="decimal"/>
      <w:lvlText w:val="%4."/>
      <w:lvlJc w:val="left"/>
      <w:pPr>
        <w:tabs>
          <w:tab w:val="left" w:pos="0"/>
        </w:tabs>
        <w:ind w:left="2100" w:hanging="420"/>
      </w:pPr>
      <w:rPr>
        <w:rFonts w:hint="default" w:ascii="Times New Roman" w:hAnsi="Times New Roman" w:cs="Times New Roman"/>
      </w:rPr>
    </w:lvl>
    <w:lvl w:ilvl="4" w:tentative="0">
      <w:start w:val="1"/>
      <w:numFmt w:val="lowerLetter"/>
      <w:lvlText w:val="%5)"/>
      <w:lvlJc w:val="left"/>
      <w:pPr>
        <w:tabs>
          <w:tab w:val="left" w:pos="0"/>
        </w:tabs>
        <w:ind w:left="2520" w:hanging="420"/>
      </w:pPr>
      <w:rPr>
        <w:rFonts w:hint="default" w:ascii="Times New Roman" w:hAnsi="Times New Roman" w:cs="Times New Roman"/>
      </w:rPr>
    </w:lvl>
    <w:lvl w:ilvl="5" w:tentative="0">
      <w:start w:val="1"/>
      <w:numFmt w:val="lowerRoman"/>
      <w:lvlText w:val="%6."/>
      <w:lvlJc w:val="right"/>
      <w:pPr>
        <w:tabs>
          <w:tab w:val="left" w:pos="0"/>
        </w:tabs>
        <w:ind w:left="2940" w:hanging="420"/>
      </w:pPr>
      <w:rPr>
        <w:rFonts w:hint="default" w:ascii="Times New Roman" w:hAnsi="Times New Roman" w:cs="Times New Roman"/>
      </w:rPr>
    </w:lvl>
    <w:lvl w:ilvl="6" w:tentative="0">
      <w:start w:val="1"/>
      <w:numFmt w:val="decimal"/>
      <w:lvlText w:val="%7."/>
      <w:lvlJc w:val="left"/>
      <w:pPr>
        <w:tabs>
          <w:tab w:val="left" w:pos="0"/>
        </w:tabs>
        <w:ind w:left="3360" w:hanging="420"/>
      </w:pPr>
      <w:rPr>
        <w:rFonts w:hint="default" w:ascii="Times New Roman" w:hAnsi="Times New Roman" w:cs="Times New Roman"/>
      </w:rPr>
    </w:lvl>
    <w:lvl w:ilvl="7" w:tentative="0">
      <w:start w:val="1"/>
      <w:numFmt w:val="lowerLetter"/>
      <w:lvlText w:val="%8)"/>
      <w:lvlJc w:val="left"/>
      <w:pPr>
        <w:tabs>
          <w:tab w:val="left" w:pos="0"/>
        </w:tabs>
        <w:ind w:left="3780" w:hanging="420"/>
      </w:pPr>
      <w:rPr>
        <w:rFonts w:hint="default" w:ascii="Times New Roman" w:hAnsi="Times New Roman" w:cs="Times New Roman"/>
      </w:rPr>
    </w:lvl>
    <w:lvl w:ilvl="8" w:tentative="0">
      <w:start w:val="1"/>
      <w:numFmt w:val="lowerRoman"/>
      <w:lvlText w:val="%9."/>
      <w:lvlJc w:val="right"/>
      <w:pPr>
        <w:tabs>
          <w:tab w:val="left" w:pos="0"/>
        </w:tabs>
        <w:ind w:left="4200" w:hanging="420"/>
      </w:pPr>
      <w:rPr>
        <w:rFonts w:hint="default" w:ascii="Times New Roman" w:hAnsi="Times New Roman" w:cs="Times New Roman"/>
      </w:rPr>
    </w:lvl>
  </w:abstractNum>
  <w:abstractNum w:abstractNumId="14">
    <w:nsid w:val="F827F07A"/>
    <w:multiLevelType w:val="singleLevel"/>
    <w:tmpl w:val="F827F07A"/>
    <w:lvl w:ilvl="0" w:tentative="0">
      <w:start w:val="1"/>
      <w:numFmt w:val="decimal"/>
      <w:lvlText w:val="%1)"/>
      <w:lvlJc w:val="left"/>
      <w:pPr>
        <w:ind w:left="425" w:hanging="425"/>
      </w:pPr>
      <w:rPr>
        <w:rFonts w:hint="default"/>
      </w:rPr>
    </w:lvl>
  </w:abstractNum>
  <w:abstractNum w:abstractNumId="15">
    <w:nsid w:val="079102AD"/>
    <w:multiLevelType w:val="multilevel"/>
    <w:tmpl w:val="079102AD"/>
    <w:lvl w:ilvl="0" w:tentative="0">
      <w:start w:val="1"/>
      <w:numFmt w:val="decimal"/>
      <w:pStyle w:val="114"/>
      <w:suff w:val="nothing"/>
      <w:lvlText w:val="注%1："/>
      <w:lvlJc w:val="left"/>
      <w:pPr>
        <w:ind w:left="811" w:hanging="448"/>
      </w:pPr>
      <w:rPr>
        <w:rFonts w:hint="eastAsia" w:asci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6">
    <w:nsid w:val="093C6778"/>
    <w:multiLevelType w:val="multilevel"/>
    <w:tmpl w:val="093C6778"/>
    <w:lvl w:ilvl="0" w:tentative="0">
      <w:start w:val="1"/>
      <w:numFmt w:val="decimal"/>
      <w:pStyle w:val="66"/>
      <w:suff w:val="nothing"/>
      <w:lvlText w:val="示例%1："/>
      <w:lvlJc w:val="left"/>
      <w:pPr>
        <w:ind w:left="0" w:firstLine="397"/>
      </w:pPr>
      <w:rPr>
        <w:rFonts w:hint="eastAsia" w:ascii="黑体" w:eastAsia="黑体"/>
        <w:sz w:val="18"/>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7">
    <w:nsid w:val="0AE367E9"/>
    <w:multiLevelType w:val="multilevel"/>
    <w:tmpl w:val="0AE367E9"/>
    <w:lvl w:ilvl="0" w:tentative="0">
      <w:start w:val="1"/>
      <w:numFmt w:val="none"/>
      <w:pStyle w:val="121"/>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18">
    <w:nsid w:val="0DDE2B46"/>
    <w:multiLevelType w:val="multilevel"/>
    <w:tmpl w:val="0DDE2B46"/>
    <w:lvl w:ilvl="0" w:tentative="0">
      <w:start w:val="1"/>
      <w:numFmt w:val="lowerLetter"/>
      <w:pStyle w:val="117"/>
      <w:suff w:val="nothing"/>
      <w:lvlText w:val="%1   "/>
      <w:lvlJc w:val="left"/>
      <w:pPr>
        <w:ind w:left="544" w:hanging="181"/>
      </w:pPr>
      <w:rPr>
        <w:rFonts w:hint="eastAsia" w:asci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19">
    <w:nsid w:val="156B58C3"/>
    <w:multiLevelType w:val="singleLevel"/>
    <w:tmpl w:val="156B58C3"/>
    <w:lvl w:ilvl="0" w:tentative="0">
      <w:start w:val="1"/>
      <w:numFmt w:val="decimal"/>
      <w:lvlText w:val="%1)"/>
      <w:lvlJc w:val="left"/>
      <w:pPr>
        <w:tabs>
          <w:tab w:val="left" w:pos="397"/>
        </w:tabs>
        <w:ind w:left="454" w:hanging="454"/>
      </w:pPr>
      <w:rPr>
        <w:rFonts w:hint="default"/>
      </w:rPr>
    </w:lvl>
  </w:abstractNum>
  <w:abstractNum w:abstractNumId="20">
    <w:nsid w:val="1DBF583A"/>
    <w:multiLevelType w:val="multilevel"/>
    <w:tmpl w:val="1DBF583A"/>
    <w:lvl w:ilvl="0" w:tentative="0">
      <w:start w:val="1"/>
      <w:numFmt w:val="decimal"/>
      <w:pStyle w:val="158"/>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21">
    <w:nsid w:val="27D91A99"/>
    <w:multiLevelType w:val="singleLevel"/>
    <w:tmpl w:val="27D91A99"/>
    <w:lvl w:ilvl="0" w:tentative="0">
      <w:start w:val="1"/>
      <w:numFmt w:val="decimal"/>
      <w:lvlText w:val="%1)"/>
      <w:lvlJc w:val="left"/>
      <w:pPr>
        <w:ind w:left="425" w:hanging="425"/>
      </w:pPr>
      <w:rPr>
        <w:rFonts w:hint="default"/>
      </w:rPr>
    </w:lvl>
  </w:abstractNum>
  <w:abstractNum w:abstractNumId="22">
    <w:nsid w:val="2C5917C3"/>
    <w:multiLevelType w:val="multilevel"/>
    <w:tmpl w:val="2C5917C3"/>
    <w:lvl w:ilvl="0" w:tentative="0">
      <w:start w:val="1"/>
      <w:numFmt w:val="none"/>
      <w:pStyle w:val="98"/>
      <w:suff w:val="nothing"/>
      <w:lvlText w:val="%1——"/>
      <w:lvlJc w:val="left"/>
      <w:pPr>
        <w:ind w:left="833" w:hanging="408"/>
      </w:pPr>
      <w:rPr>
        <w:rFonts w:hint="eastAsia"/>
      </w:rPr>
    </w:lvl>
    <w:lvl w:ilvl="1" w:tentative="0">
      <w:start w:val="1"/>
      <w:numFmt w:val="bullet"/>
      <w:pStyle w:val="157"/>
      <w:lvlText w:val=""/>
      <w:lvlJc w:val="left"/>
      <w:pPr>
        <w:tabs>
          <w:tab w:val="left" w:pos="760"/>
        </w:tabs>
        <w:ind w:left="1264" w:hanging="413"/>
      </w:pPr>
      <w:rPr>
        <w:rFonts w:hint="default" w:ascii="Symbol" w:hAnsi="Symbol"/>
        <w:color w:val="auto"/>
      </w:rPr>
    </w:lvl>
    <w:lvl w:ilvl="2" w:tentative="0">
      <w:start w:val="1"/>
      <w:numFmt w:val="bullet"/>
      <w:pStyle w:val="119"/>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23">
    <w:nsid w:val="2CB80A8B"/>
    <w:multiLevelType w:val="singleLevel"/>
    <w:tmpl w:val="2CB80A8B"/>
    <w:lvl w:ilvl="0" w:tentative="0">
      <w:start w:val="1"/>
      <w:numFmt w:val="decimal"/>
      <w:lvlText w:val="%1)"/>
      <w:lvlJc w:val="left"/>
      <w:pPr>
        <w:ind w:left="425" w:hanging="425"/>
      </w:pPr>
      <w:rPr>
        <w:rFonts w:hint="default"/>
      </w:rPr>
    </w:lvl>
  </w:abstractNum>
  <w:abstractNum w:abstractNumId="24">
    <w:nsid w:val="362EDA26"/>
    <w:multiLevelType w:val="singleLevel"/>
    <w:tmpl w:val="362EDA26"/>
    <w:lvl w:ilvl="0" w:tentative="0">
      <w:start w:val="1"/>
      <w:numFmt w:val="decimal"/>
      <w:lvlText w:val="%1)"/>
      <w:lvlJc w:val="left"/>
      <w:pPr>
        <w:ind w:left="425" w:hanging="425"/>
      </w:pPr>
      <w:rPr>
        <w:rFonts w:hint="default"/>
      </w:rPr>
    </w:lvl>
  </w:abstractNum>
  <w:abstractNum w:abstractNumId="25">
    <w:nsid w:val="395DC619"/>
    <w:multiLevelType w:val="multilevel"/>
    <w:tmpl w:val="395DC619"/>
    <w:lvl w:ilvl="0" w:tentative="0">
      <w:start w:val="1"/>
      <w:numFmt w:val="decimal"/>
      <w:suff w:val="nothing"/>
      <w:lvlText w:val="%1　"/>
      <w:lvlJc w:val="left"/>
      <w:pPr>
        <w:tabs>
          <w:tab w:val="left" w:pos="0"/>
        </w:tabs>
        <w:ind w:left="0" w:firstLine="0"/>
      </w:pPr>
      <w:rPr>
        <w:rFonts w:hint="eastAsia" w:ascii="黑体" w:hAnsi="宋体" w:eastAsia="黑体" w:cs="宋体"/>
        <w:b/>
        <w:i w:val="0"/>
        <w:sz w:val="28"/>
        <w:szCs w:val="28"/>
      </w:rPr>
    </w:lvl>
    <w:lvl w:ilvl="1" w:tentative="0">
      <w:start w:val="1"/>
      <w:numFmt w:val="decimal"/>
      <w:suff w:val="nothing"/>
      <w:lvlText w:val="%1.%2　"/>
      <w:lvlJc w:val="left"/>
      <w:pPr>
        <w:tabs>
          <w:tab w:val="left" w:pos="0"/>
        </w:tabs>
        <w:ind w:left="0" w:firstLine="0"/>
      </w:pPr>
      <w:rPr>
        <w:rFonts w:hint="default" w:ascii="黑体" w:hAnsi="黑体" w:eastAsia="黑体" w:cs="宋体"/>
        <w:b/>
        <w:bCs/>
        <w:i w:val="0"/>
        <w:caps w:val="0"/>
        <w:color w:val="000000"/>
        <w:spacing w:val="0"/>
        <w:sz w:val="21"/>
        <w:szCs w:val="21"/>
      </w:rPr>
    </w:lvl>
    <w:lvl w:ilvl="2" w:tentative="0">
      <w:start w:val="1"/>
      <w:numFmt w:val="decimal"/>
      <w:suff w:val="nothing"/>
      <w:lvlText w:val="%1.%2.%3　"/>
      <w:lvlJc w:val="left"/>
      <w:pPr>
        <w:tabs>
          <w:tab w:val="left" w:pos="0"/>
        </w:tabs>
        <w:ind w:left="0" w:firstLine="0"/>
      </w:pPr>
      <w:rPr>
        <w:rFonts w:hint="default" w:ascii="黑体" w:hAnsi="黑体" w:eastAsia="黑体" w:cs="宋体"/>
        <w:b w:val="0"/>
        <w:i w:val="0"/>
        <w:sz w:val="21"/>
        <w:szCs w:val="21"/>
      </w:rPr>
    </w:lvl>
    <w:lvl w:ilvl="3" w:tentative="0">
      <w:start w:val="1"/>
      <w:numFmt w:val="decimal"/>
      <w:suff w:val="nothing"/>
      <w:lvlText w:val="%1.%2.%3.%4　"/>
      <w:lvlJc w:val="left"/>
      <w:pPr>
        <w:tabs>
          <w:tab w:val="left" w:pos="-1134"/>
        </w:tabs>
        <w:ind w:left="0" w:firstLine="0"/>
      </w:pPr>
      <w:rPr>
        <w:rFonts w:hint="eastAsia" w:ascii="黑体" w:hAnsi="Times New Roman" w:eastAsia="黑体" w:cs="黑体"/>
        <w:b w:val="0"/>
        <w:i w:val="0"/>
        <w:color w:val="000000"/>
        <w:sz w:val="21"/>
        <w:szCs w:val="21"/>
      </w:rPr>
    </w:lvl>
    <w:lvl w:ilvl="4" w:tentative="0">
      <w:start w:val="1"/>
      <w:numFmt w:val="decimal"/>
      <w:suff w:val="nothing"/>
      <w:lvlText w:val="%1.%2.%3.%4.%5　"/>
      <w:lvlJc w:val="left"/>
      <w:pPr>
        <w:tabs>
          <w:tab w:val="left" w:pos="0"/>
        </w:tabs>
        <w:ind w:left="2269" w:firstLine="0"/>
      </w:pPr>
      <w:rPr>
        <w:rFonts w:hint="eastAsia" w:ascii="黑体" w:hAnsi="Times New Roman" w:eastAsia="黑体" w:cs="黑体"/>
        <w:b w:val="0"/>
        <w:i w:val="0"/>
        <w:sz w:val="21"/>
        <w:szCs w:val="21"/>
      </w:rPr>
    </w:lvl>
    <w:lvl w:ilvl="5" w:tentative="0">
      <w:start w:val="1"/>
      <w:numFmt w:val="decimal"/>
      <w:suff w:val="nothing"/>
      <w:lvlText w:val="%1.%2.%3.%4.%5.%6　"/>
      <w:lvlJc w:val="left"/>
      <w:pPr>
        <w:tabs>
          <w:tab w:val="left" w:pos="0"/>
        </w:tabs>
        <w:ind w:left="0" w:firstLine="0"/>
      </w:pPr>
      <w:rPr>
        <w:rFonts w:hint="eastAsia" w:ascii="黑体" w:hAnsi="Times New Roman" w:eastAsia="黑体" w:cs="黑体"/>
        <w:b w:val="0"/>
        <w:i w:val="0"/>
        <w:sz w:val="21"/>
        <w:szCs w:val="21"/>
      </w:rPr>
    </w:lvl>
    <w:lvl w:ilvl="6" w:tentative="0">
      <w:start w:val="1"/>
      <w:numFmt w:val="decimal"/>
      <w:suff w:val="nothing"/>
      <w:lvlText w:val="%1%2.%3.%4.%5.%6.%7　"/>
      <w:lvlJc w:val="left"/>
      <w:pPr>
        <w:tabs>
          <w:tab w:val="left" w:pos="0"/>
        </w:tabs>
        <w:ind w:left="0" w:firstLine="0"/>
      </w:pPr>
      <w:rPr>
        <w:rFonts w:hint="eastAsia" w:ascii="黑体" w:hAnsi="Times New Roman" w:eastAsia="黑体" w:cs="黑体"/>
        <w:b w:val="0"/>
        <w:i w:val="0"/>
        <w:sz w:val="21"/>
        <w:szCs w:val="21"/>
      </w:rPr>
    </w:lvl>
    <w:lvl w:ilvl="7" w:tentative="0">
      <w:start w:val="0"/>
      <w:numFmt w:val="decimal"/>
      <w:lvlText w:val="%1.%2.%3.%4.%5.%6.%7.%8"/>
      <w:lvlJc w:val="left"/>
      <w:pPr>
        <w:tabs>
          <w:tab w:val="left" w:pos="4351"/>
        </w:tabs>
        <w:ind w:left="3969" w:hanging="1418"/>
      </w:pPr>
      <w:rPr>
        <w:rFonts w:hint="eastAsia" w:ascii="宋体" w:hAnsi="宋体" w:eastAsia="宋体" w:cs="宋体"/>
      </w:rPr>
    </w:lvl>
    <w:lvl w:ilvl="8" w:tentative="0">
      <w:start w:val="1"/>
      <w:numFmt w:val="decimal"/>
      <w:suff w:val="space"/>
      <w:lvlText w:val="%1.%8.%9"/>
      <w:lvlJc w:val="left"/>
      <w:pPr>
        <w:tabs>
          <w:tab w:val="left" w:pos="420"/>
        </w:tabs>
        <w:ind w:left="0" w:firstLine="0"/>
      </w:pPr>
      <w:rPr>
        <w:rFonts w:hint="eastAsia" w:ascii="黑体" w:hAnsi="宋体" w:eastAsia="黑体" w:cs="宋体"/>
        <w:sz w:val="21"/>
        <w:szCs w:val="21"/>
      </w:rPr>
    </w:lvl>
  </w:abstractNum>
  <w:abstractNum w:abstractNumId="26">
    <w:nsid w:val="3D733618"/>
    <w:multiLevelType w:val="multilevel"/>
    <w:tmpl w:val="3D733618"/>
    <w:lvl w:ilvl="0" w:tentative="0">
      <w:start w:val="1"/>
      <w:numFmt w:val="decimal"/>
      <w:pStyle w:val="27"/>
      <w:lvlText w:val="%1)"/>
      <w:lvlJc w:val="left"/>
      <w:pPr>
        <w:tabs>
          <w:tab w:val="left" w:pos="0"/>
        </w:tabs>
        <w:ind w:left="720" w:hanging="357"/>
      </w:pPr>
      <w:rPr>
        <w:rFonts w:hint="eastAsia"/>
      </w:rPr>
    </w:lvl>
    <w:lvl w:ilvl="1" w:tentative="0">
      <w:start w:val="1"/>
      <w:numFmt w:val="lowerLetter"/>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27">
    <w:nsid w:val="44C50F90"/>
    <w:multiLevelType w:val="multilevel"/>
    <w:tmpl w:val="44C50F90"/>
    <w:lvl w:ilvl="0" w:tentative="0">
      <w:start w:val="1"/>
      <w:numFmt w:val="lowerLetter"/>
      <w:pStyle w:val="87"/>
      <w:lvlText w:val="%1)"/>
      <w:lvlJc w:val="left"/>
      <w:pPr>
        <w:tabs>
          <w:tab w:val="left" w:pos="840"/>
        </w:tabs>
        <w:ind w:left="839" w:hanging="419"/>
      </w:pPr>
      <w:rPr>
        <w:rFonts w:hint="eastAsia" w:ascii="宋体" w:eastAsia="宋体"/>
        <w:b w:val="0"/>
        <w:i w:val="0"/>
        <w:sz w:val="21"/>
        <w:szCs w:val="21"/>
      </w:rPr>
    </w:lvl>
    <w:lvl w:ilvl="1" w:tentative="0">
      <w:start w:val="1"/>
      <w:numFmt w:val="decimal"/>
      <w:pStyle w:val="175"/>
      <w:lvlText w:val="%2)"/>
      <w:lvlJc w:val="left"/>
      <w:pPr>
        <w:tabs>
          <w:tab w:val="left" w:pos="1260"/>
        </w:tabs>
        <w:ind w:left="1259" w:hanging="419"/>
      </w:pPr>
      <w:rPr>
        <w:rFonts w:hint="eastAsia"/>
      </w:rPr>
    </w:lvl>
    <w:lvl w:ilvl="2" w:tentative="0">
      <w:start w:val="1"/>
      <w:numFmt w:val="decimal"/>
      <w:pStyle w:val="86"/>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28">
    <w:nsid w:val="4B733A5F"/>
    <w:multiLevelType w:val="multilevel"/>
    <w:tmpl w:val="4B733A5F"/>
    <w:lvl w:ilvl="0" w:tentative="0">
      <w:start w:val="1"/>
      <w:numFmt w:val="decimal"/>
      <w:pStyle w:val="160"/>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29">
    <w:nsid w:val="5BD8D364"/>
    <w:multiLevelType w:val="singleLevel"/>
    <w:tmpl w:val="5BD8D364"/>
    <w:lvl w:ilvl="0" w:tentative="0">
      <w:start w:val="2"/>
      <w:numFmt w:val="decimal"/>
      <w:suff w:val="nothing"/>
      <w:lvlText w:val="%1）"/>
      <w:lvlJc w:val="left"/>
    </w:lvl>
  </w:abstractNum>
  <w:abstractNum w:abstractNumId="30">
    <w:nsid w:val="60B55DC2"/>
    <w:multiLevelType w:val="multilevel"/>
    <w:tmpl w:val="60B55DC2"/>
    <w:lvl w:ilvl="0" w:tentative="0">
      <w:start w:val="1"/>
      <w:numFmt w:val="upperLetter"/>
      <w:pStyle w:val="153"/>
      <w:lvlText w:val="%1"/>
      <w:lvlJc w:val="left"/>
      <w:pPr>
        <w:tabs>
          <w:tab w:val="left" w:pos="0"/>
        </w:tabs>
        <w:ind w:left="0" w:hanging="425"/>
      </w:pPr>
      <w:rPr>
        <w:rFonts w:hint="eastAsia"/>
      </w:rPr>
    </w:lvl>
    <w:lvl w:ilvl="1" w:tentative="0">
      <w:start w:val="1"/>
      <w:numFmt w:val="decimal"/>
      <w:pStyle w:val="108"/>
      <w:suff w:val="nothing"/>
      <w:lvlText w:val="表%1.%2　"/>
      <w:lvlJc w:val="left"/>
      <w:pPr>
        <w:ind w:left="4395"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31">
    <w:nsid w:val="646260FA"/>
    <w:multiLevelType w:val="multilevel"/>
    <w:tmpl w:val="646260FA"/>
    <w:lvl w:ilvl="0" w:tentative="0">
      <w:start w:val="1"/>
      <w:numFmt w:val="decimal"/>
      <w:pStyle w:val="167"/>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2">
    <w:nsid w:val="657D3FBC"/>
    <w:multiLevelType w:val="multilevel"/>
    <w:tmpl w:val="657D3FBC"/>
    <w:lvl w:ilvl="0" w:tentative="0">
      <w:start w:val="1"/>
      <w:numFmt w:val="upperLetter"/>
      <w:pStyle w:val="139"/>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pStyle w:val="136"/>
      <w:suff w:val="nothing"/>
      <w:lvlText w:val="%1.%2　"/>
      <w:lvlJc w:val="left"/>
      <w:pPr>
        <w:ind w:left="426" w:firstLine="0"/>
      </w:pPr>
      <w:rPr>
        <w:rFonts w:hint="eastAsia" w:ascii="黑体" w:hAnsi="Times New Roman" w:eastAsia="黑体"/>
        <w:b w:val="0"/>
        <w:i w:val="0"/>
        <w:snapToGrid/>
        <w:spacing w:val="0"/>
        <w:w w:val="100"/>
        <w:kern w:val="21"/>
        <w:sz w:val="21"/>
      </w:rPr>
    </w:lvl>
    <w:lvl w:ilvl="2" w:tentative="0">
      <w:start w:val="1"/>
      <w:numFmt w:val="decimal"/>
      <w:pStyle w:val="135"/>
      <w:suff w:val="nothing"/>
      <w:lvlText w:val="%1.%2.%3　"/>
      <w:lvlJc w:val="left"/>
      <w:pPr>
        <w:ind w:left="0" w:firstLine="0"/>
      </w:pPr>
      <w:rPr>
        <w:rFonts w:hint="eastAsia" w:ascii="黑体" w:hAnsi="Times New Roman" w:eastAsia="黑体"/>
        <w:b w:val="0"/>
        <w:i w:val="0"/>
        <w:sz w:val="21"/>
      </w:rPr>
    </w:lvl>
    <w:lvl w:ilvl="3" w:tentative="0">
      <w:start w:val="1"/>
      <w:numFmt w:val="decimal"/>
      <w:pStyle w:val="93"/>
      <w:suff w:val="nothing"/>
      <w:lvlText w:val="%1.%2.%3.%4　"/>
      <w:lvlJc w:val="left"/>
      <w:pPr>
        <w:ind w:left="0" w:firstLine="0"/>
      </w:pPr>
      <w:rPr>
        <w:rFonts w:hint="eastAsia" w:ascii="黑体" w:hAnsi="Times New Roman" w:eastAsia="黑体"/>
        <w:b w:val="0"/>
        <w:i w:val="0"/>
        <w:sz w:val="21"/>
      </w:rPr>
    </w:lvl>
    <w:lvl w:ilvl="4" w:tentative="0">
      <w:start w:val="1"/>
      <w:numFmt w:val="decimal"/>
      <w:pStyle w:val="92"/>
      <w:suff w:val="nothing"/>
      <w:lvlText w:val="%1.%2.%3.%4.%5　"/>
      <w:lvlJc w:val="left"/>
      <w:pPr>
        <w:ind w:left="0" w:firstLine="0"/>
      </w:pPr>
      <w:rPr>
        <w:rFonts w:hint="eastAsia" w:ascii="黑体" w:hAnsi="Times New Roman" w:eastAsia="黑体"/>
        <w:b w:val="0"/>
        <w:i w:val="0"/>
        <w:sz w:val="21"/>
      </w:rPr>
    </w:lvl>
    <w:lvl w:ilvl="5" w:tentative="0">
      <w:start w:val="1"/>
      <w:numFmt w:val="decimal"/>
      <w:pStyle w:val="91"/>
      <w:suff w:val="nothing"/>
      <w:lvlText w:val="%1.%2.%3.%4.%5.%6　"/>
      <w:lvlJc w:val="left"/>
      <w:pPr>
        <w:ind w:left="0" w:firstLine="0"/>
      </w:pPr>
      <w:rPr>
        <w:rFonts w:hint="eastAsia" w:ascii="黑体" w:hAnsi="Times New Roman" w:eastAsia="黑体"/>
        <w:b w:val="0"/>
        <w:i w:val="0"/>
        <w:sz w:val="21"/>
      </w:rPr>
    </w:lvl>
    <w:lvl w:ilvl="6" w:tentative="0">
      <w:start w:val="1"/>
      <w:numFmt w:val="decimal"/>
      <w:pStyle w:val="90"/>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3">
    <w:nsid w:val="69E6CC8D"/>
    <w:multiLevelType w:val="singleLevel"/>
    <w:tmpl w:val="69E6CC8D"/>
    <w:lvl w:ilvl="0" w:tentative="0">
      <w:start w:val="1"/>
      <w:numFmt w:val="decimal"/>
      <w:lvlText w:val="%1)"/>
      <w:lvlJc w:val="left"/>
      <w:pPr>
        <w:ind w:left="425" w:hanging="425"/>
      </w:pPr>
      <w:rPr>
        <w:rFonts w:hint="default"/>
      </w:rPr>
    </w:lvl>
  </w:abstractNum>
  <w:abstractNum w:abstractNumId="34">
    <w:nsid w:val="6D6C07CD"/>
    <w:multiLevelType w:val="multilevel"/>
    <w:tmpl w:val="6D6C07CD"/>
    <w:lvl w:ilvl="0" w:tentative="0">
      <w:start w:val="1"/>
      <w:numFmt w:val="lowerLetter"/>
      <w:pStyle w:val="145"/>
      <w:lvlText w:val="%1)"/>
      <w:lvlJc w:val="left"/>
      <w:pPr>
        <w:tabs>
          <w:tab w:val="left" w:pos="839"/>
        </w:tabs>
        <w:ind w:left="839" w:hanging="419"/>
      </w:pPr>
      <w:rPr>
        <w:rFonts w:hint="eastAsia" w:ascii="宋体" w:eastAsia="宋体"/>
        <w:b w:val="0"/>
        <w:i w:val="0"/>
        <w:sz w:val="21"/>
      </w:rPr>
    </w:lvl>
    <w:lvl w:ilvl="1" w:tentative="0">
      <w:start w:val="1"/>
      <w:numFmt w:val="decimal"/>
      <w:pStyle w:val="95"/>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abstractNum w:abstractNumId="35">
    <w:nsid w:val="6DBF04F4"/>
    <w:multiLevelType w:val="multilevel"/>
    <w:tmpl w:val="6DBF04F4"/>
    <w:lvl w:ilvl="0" w:tentative="0">
      <w:start w:val="1"/>
      <w:numFmt w:val="none"/>
      <w:pStyle w:val="147"/>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6">
    <w:nsid w:val="6F6FD096"/>
    <w:multiLevelType w:val="singleLevel"/>
    <w:tmpl w:val="6F6FD096"/>
    <w:lvl w:ilvl="0" w:tentative="0">
      <w:start w:val="1"/>
      <w:numFmt w:val="decimal"/>
      <w:lvlText w:val="%1)"/>
      <w:lvlJc w:val="left"/>
      <w:pPr>
        <w:ind w:left="425" w:hanging="425"/>
      </w:pPr>
      <w:rPr>
        <w:rFonts w:hint="default"/>
      </w:rPr>
    </w:lvl>
  </w:abstractNum>
  <w:abstractNum w:abstractNumId="37">
    <w:nsid w:val="72FBDFC0"/>
    <w:multiLevelType w:val="multilevel"/>
    <w:tmpl w:val="72FBDFC0"/>
    <w:lvl w:ilvl="0" w:tentative="0">
      <w:start w:val="1"/>
      <w:numFmt w:val="decimal"/>
      <w:suff w:val="nothing"/>
      <w:lvlText w:val="%1　"/>
      <w:lvlJc w:val="left"/>
      <w:pPr>
        <w:tabs>
          <w:tab w:val="left" w:pos="0"/>
        </w:tabs>
        <w:ind w:left="0" w:firstLine="0"/>
      </w:pPr>
      <w:rPr>
        <w:rFonts w:hint="eastAsia" w:ascii="黑体" w:hAnsi="宋体" w:eastAsia="黑体" w:cs="宋体"/>
        <w:b/>
        <w:i w:val="0"/>
        <w:sz w:val="28"/>
        <w:szCs w:val="28"/>
      </w:rPr>
    </w:lvl>
    <w:lvl w:ilvl="1" w:tentative="0">
      <w:start w:val="1"/>
      <w:numFmt w:val="decimal"/>
      <w:suff w:val="nothing"/>
      <w:lvlText w:val="%1.%2　"/>
      <w:lvlJc w:val="left"/>
      <w:pPr>
        <w:tabs>
          <w:tab w:val="left" w:pos="0"/>
        </w:tabs>
        <w:ind w:left="0" w:firstLine="0"/>
      </w:pPr>
      <w:rPr>
        <w:rFonts w:hint="default" w:ascii="黑体" w:hAnsi="黑体" w:eastAsia="黑体" w:cs="宋体"/>
        <w:b/>
        <w:bCs/>
        <w:i w:val="0"/>
        <w:caps w:val="0"/>
        <w:color w:val="000000"/>
        <w:spacing w:val="0"/>
        <w:sz w:val="21"/>
        <w:szCs w:val="21"/>
      </w:rPr>
    </w:lvl>
    <w:lvl w:ilvl="2" w:tentative="0">
      <w:start w:val="1"/>
      <w:numFmt w:val="decimal"/>
      <w:pStyle w:val="49"/>
      <w:suff w:val="nothing"/>
      <w:lvlText w:val="%1.%2.%3　"/>
      <w:lvlJc w:val="left"/>
      <w:pPr>
        <w:tabs>
          <w:tab w:val="left" w:pos="0"/>
        </w:tabs>
        <w:ind w:left="0" w:firstLine="0"/>
      </w:pPr>
      <w:rPr>
        <w:rFonts w:hint="default" w:ascii="黑体" w:hAnsi="黑体" w:eastAsia="黑体" w:cs="宋体"/>
        <w:b w:val="0"/>
        <w:i w:val="0"/>
        <w:sz w:val="21"/>
        <w:szCs w:val="21"/>
      </w:rPr>
    </w:lvl>
    <w:lvl w:ilvl="3" w:tentative="0">
      <w:start w:val="1"/>
      <w:numFmt w:val="decimal"/>
      <w:suff w:val="nothing"/>
      <w:lvlText w:val="%1.%2.%3.%4　"/>
      <w:lvlJc w:val="left"/>
      <w:pPr>
        <w:tabs>
          <w:tab w:val="left" w:pos="0"/>
        </w:tabs>
        <w:ind w:left="1134" w:firstLine="0"/>
      </w:pPr>
      <w:rPr>
        <w:rFonts w:hint="eastAsia" w:ascii="黑体" w:hAnsi="Times New Roman" w:eastAsia="黑体" w:cs="黑体"/>
        <w:b w:val="0"/>
        <w:i w:val="0"/>
        <w:sz w:val="21"/>
        <w:szCs w:val="21"/>
      </w:rPr>
    </w:lvl>
    <w:lvl w:ilvl="4" w:tentative="0">
      <w:start w:val="1"/>
      <w:numFmt w:val="decimal"/>
      <w:suff w:val="nothing"/>
      <w:lvlText w:val="%1.%2.%3.%4.%5　"/>
      <w:lvlJc w:val="left"/>
      <w:pPr>
        <w:tabs>
          <w:tab w:val="left" w:pos="0"/>
        </w:tabs>
        <w:ind w:left="2269" w:firstLine="0"/>
      </w:pPr>
      <w:rPr>
        <w:rFonts w:hint="eastAsia" w:ascii="黑体" w:hAnsi="Times New Roman" w:eastAsia="黑体" w:cs="黑体"/>
        <w:b w:val="0"/>
        <w:i w:val="0"/>
        <w:sz w:val="21"/>
        <w:szCs w:val="21"/>
      </w:rPr>
    </w:lvl>
    <w:lvl w:ilvl="5" w:tentative="0">
      <w:start w:val="1"/>
      <w:numFmt w:val="decimal"/>
      <w:suff w:val="nothing"/>
      <w:lvlText w:val="%1.%2.%3.%4.%5.%6　"/>
      <w:lvlJc w:val="left"/>
      <w:pPr>
        <w:tabs>
          <w:tab w:val="left" w:pos="0"/>
        </w:tabs>
        <w:ind w:left="0" w:firstLine="0"/>
      </w:pPr>
      <w:rPr>
        <w:rFonts w:hint="eastAsia" w:ascii="黑体" w:hAnsi="Times New Roman" w:eastAsia="黑体" w:cs="黑体"/>
        <w:b w:val="0"/>
        <w:i w:val="0"/>
        <w:sz w:val="21"/>
        <w:szCs w:val="21"/>
      </w:rPr>
    </w:lvl>
    <w:lvl w:ilvl="6" w:tentative="0">
      <w:start w:val="1"/>
      <w:numFmt w:val="decimal"/>
      <w:suff w:val="nothing"/>
      <w:lvlText w:val="%1%2.%3.%4.%5.%6.%7　"/>
      <w:lvlJc w:val="left"/>
      <w:pPr>
        <w:tabs>
          <w:tab w:val="left" w:pos="0"/>
        </w:tabs>
        <w:ind w:left="0" w:firstLine="0"/>
      </w:pPr>
      <w:rPr>
        <w:rFonts w:hint="eastAsia" w:ascii="黑体" w:hAnsi="Times New Roman" w:eastAsia="黑体" w:cs="黑体"/>
        <w:b w:val="0"/>
        <w:i w:val="0"/>
        <w:sz w:val="21"/>
        <w:szCs w:val="21"/>
      </w:rPr>
    </w:lvl>
    <w:lvl w:ilvl="7" w:tentative="0">
      <w:start w:val="0"/>
      <w:numFmt w:val="decimal"/>
      <w:lvlText w:val="%1.%2.%3.%4.%5.%6.%7.%8"/>
      <w:lvlJc w:val="left"/>
      <w:pPr>
        <w:tabs>
          <w:tab w:val="left" w:pos="4351"/>
        </w:tabs>
        <w:ind w:left="3969" w:hanging="1418"/>
      </w:pPr>
      <w:rPr>
        <w:rFonts w:hint="eastAsia" w:ascii="宋体" w:hAnsi="宋体" w:eastAsia="宋体" w:cs="宋体"/>
      </w:rPr>
    </w:lvl>
    <w:lvl w:ilvl="8" w:tentative="0">
      <w:start w:val="1"/>
      <w:numFmt w:val="decimal"/>
      <w:suff w:val="space"/>
      <w:lvlText w:val="%1.%8.%9"/>
      <w:lvlJc w:val="left"/>
      <w:pPr>
        <w:tabs>
          <w:tab w:val="left" w:pos="420"/>
        </w:tabs>
        <w:ind w:left="0" w:firstLine="0"/>
      </w:pPr>
      <w:rPr>
        <w:rFonts w:hint="eastAsia" w:ascii="黑体" w:hAnsi="宋体" w:eastAsia="黑体" w:cs="宋体"/>
        <w:sz w:val="21"/>
        <w:szCs w:val="21"/>
      </w:rPr>
    </w:lvl>
  </w:abstractNum>
  <w:abstractNum w:abstractNumId="38">
    <w:nsid w:val="7B7B740A"/>
    <w:multiLevelType w:val="singleLevel"/>
    <w:tmpl w:val="7B7B740A"/>
    <w:lvl w:ilvl="0" w:tentative="0">
      <w:start w:val="3"/>
      <w:numFmt w:val="decimal"/>
      <w:suff w:val="nothing"/>
      <w:lvlText w:val="%1）"/>
      <w:lvlJc w:val="left"/>
    </w:lvl>
  </w:abstractNum>
  <w:abstractNum w:abstractNumId="39">
    <w:nsid w:val="7D648D79"/>
    <w:multiLevelType w:val="multilevel"/>
    <w:tmpl w:val="7D648D79"/>
    <w:lvl w:ilvl="0" w:tentative="0">
      <w:start w:val="4"/>
      <w:numFmt w:val="decimal"/>
      <w:suff w:val="nothing"/>
      <w:lvlText w:val="%1　"/>
      <w:lvlJc w:val="left"/>
      <w:pPr>
        <w:tabs>
          <w:tab w:val="left" w:pos="0"/>
        </w:tabs>
        <w:ind w:left="0" w:firstLine="0"/>
      </w:pPr>
      <w:rPr>
        <w:rFonts w:hint="default" w:ascii="宋体" w:hAnsi="宋体" w:eastAsia="宋体" w:cs="宋体"/>
        <w:b w:val="0"/>
        <w:i w:val="0"/>
        <w:sz w:val="21"/>
        <w:szCs w:val="21"/>
      </w:rPr>
    </w:lvl>
    <w:lvl w:ilvl="1" w:tentative="0">
      <w:start w:val="1"/>
      <w:numFmt w:val="decimal"/>
      <w:suff w:val="nothing"/>
      <w:lvlText w:val="%1.%2　"/>
      <w:lvlJc w:val="left"/>
      <w:pPr>
        <w:tabs>
          <w:tab w:val="left" w:pos="0"/>
        </w:tabs>
        <w:ind w:left="0" w:firstLine="0"/>
      </w:pPr>
      <w:rPr>
        <w:rFonts w:hint="default" w:ascii="宋体" w:hAnsi="宋体" w:eastAsia="宋体" w:cs="宋体"/>
        <w:b/>
        <w:bCs w:val="0"/>
        <w:i w:val="0"/>
        <w:iCs w:val="0"/>
        <w:caps w:val="0"/>
        <w:strike w:val="0"/>
        <w:dstrike w:val="0"/>
        <w:vanish w:val="0"/>
        <w:color w:val="000000"/>
        <w:spacing w:val="0"/>
        <w:kern w:val="0"/>
        <w:position w:val="0"/>
        <w:sz w:val="21"/>
        <w:szCs w:val="21"/>
        <w:u w:val="none"/>
        <w:vertAlign w:val="baseline"/>
      </w:rPr>
    </w:lvl>
    <w:lvl w:ilvl="2" w:tentative="0">
      <w:start w:val="1"/>
      <w:numFmt w:val="decimal"/>
      <w:suff w:val="space"/>
      <w:lvlText w:val="%1.%2.%3　"/>
      <w:lvlJc w:val="left"/>
      <w:pPr>
        <w:tabs>
          <w:tab w:val="left" w:pos="420"/>
        </w:tabs>
        <w:ind w:left="0" w:firstLine="0"/>
      </w:pPr>
      <w:rPr>
        <w:rFonts w:hint="default" w:ascii="宋体" w:hAnsi="宋体" w:eastAsia="黑体" w:cs="黑体"/>
        <w:b w:val="0"/>
        <w:i w:val="0"/>
        <w:sz w:val="21"/>
        <w:szCs w:val="21"/>
      </w:rPr>
    </w:lvl>
    <w:lvl w:ilvl="3" w:tentative="0">
      <w:start w:val="1"/>
      <w:numFmt w:val="decimal"/>
      <w:suff w:val="nothing"/>
      <w:lvlText w:val="%1.%2.%3.%4　"/>
      <w:lvlJc w:val="left"/>
      <w:pPr>
        <w:ind w:left="1134" w:firstLine="0"/>
      </w:pPr>
      <w:rPr>
        <w:rFonts w:hint="eastAsia" w:ascii="黑体" w:hAnsi="Times New Roman" w:eastAsia="黑体"/>
        <w:b w:val="0"/>
        <w:i w:val="0"/>
        <w:sz w:val="21"/>
      </w:rPr>
    </w:lvl>
    <w:lvl w:ilvl="4" w:tentative="0">
      <w:start w:val="1"/>
      <w:numFmt w:val="decimal"/>
      <w:suff w:val="nothing"/>
      <w:lvlText w:val="%1.%2.%3.%4.%5　"/>
      <w:lvlJc w:val="left"/>
      <w:pPr>
        <w:ind w:left="2269" w:firstLine="0"/>
      </w:pPr>
      <w:rPr>
        <w:rFonts w:hint="eastAsia" w:ascii="黑体" w:hAnsi="Times New Roman" w:eastAsia="黑体"/>
        <w:b w:val="0"/>
        <w:i w:val="0"/>
        <w:sz w:val="21"/>
      </w:rPr>
    </w:lvl>
    <w:lvl w:ilvl="5" w:tentative="0">
      <w:start w:val="1"/>
      <w:numFmt w:val="decimal"/>
      <w:pStyle w:val="81"/>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0">
    <w:nsid w:val="7E501B03"/>
    <w:multiLevelType w:val="singleLevel"/>
    <w:tmpl w:val="7E501B03"/>
    <w:lvl w:ilvl="0" w:tentative="0">
      <w:start w:val="1"/>
      <w:numFmt w:val="decimal"/>
      <w:lvlText w:val="%1)"/>
      <w:lvlJc w:val="left"/>
      <w:pPr>
        <w:ind w:left="425" w:hanging="425"/>
      </w:pPr>
      <w:rPr>
        <w:rFonts w:hint="default"/>
      </w:rPr>
    </w:lvl>
  </w:abstractNum>
  <w:abstractNum w:abstractNumId="41">
    <w:nsid w:val="7EF45382"/>
    <w:multiLevelType w:val="multilevel"/>
    <w:tmpl w:val="7EF45382"/>
    <w:lvl w:ilvl="0" w:tentative="0">
      <w:start w:val="1"/>
      <w:numFmt w:val="decimal"/>
      <w:pStyle w:val="85"/>
      <w:suff w:val="nothing"/>
      <w:lvlText w:val="%1　"/>
      <w:lvlJc w:val="left"/>
      <w:pPr>
        <w:tabs>
          <w:tab w:val="left" w:pos="0"/>
        </w:tabs>
        <w:ind w:left="0" w:firstLine="0"/>
      </w:pPr>
      <w:rPr>
        <w:rFonts w:hint="default" w:ascii="黑体" w:hAnsi="Times New Roman" w:eastAsia="黑体"/>
        <w:b/>
        <w:i w:val="0"/>
        <w:sz w:val="28"/>
        <w:szCs w:val="28"/>
      </w:rPr>
    </w:lvl>
    <w:lvl w:ilvl="1" w:tentative="0">
      <w:start w:val="1"/>
      <w:numFmt w:val="decimal"/>
      <w:pStyle w:val="163"/>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pStyle w:val="155"/>
      <w:suff w:val="nothing"/>
      <w:lvlText w:val="%1.%2.%3　"/>
      <w:lvlJc w:val="left"/>
      <w:pPr>
        <w:tabs>
          <w:tab w:val="left" w:pos="0"/>
        </w:tabs>
        <w:ind w:left="0" w:firstLine="0"/>
      </w:pPr>
      <w:rPr>
        <w:rFonts w:hint="default" w:ascii="黑体" w:hAnsi="Times New Roman" w:eastAsia="黑体"/>
        <w:b w:val="0"/>
        <w:i w:val="0"/>
        <w:sz w:val="21"/>
        <w:szCs w:val="24"/>
      </w:rPr>
    </w:lvl>
    <w:lvl w:ilvl="3" w:tentative="0">
      <w:start w:val="1"/>
      <w:numFmt w:val="decimal"/>
      <w:pStyle w:val="152"/>
      <w:suff w:val="nothing"/>
      <w:lvlText w:val="%1.%2.%3.%4　"/>
      <w:lvlJc w:val="left"/>
      <w:pPr>
        <w:ind w:left="1134" w:firstLine="0"/>
      </w:pPr>
      <w:rPr>
        <w:rFonts w:hint="eastAsia" w:ascii="黑体" w:hAnsi="Times New Roman" w:eastAsia="黑体"/>
        <w:b w:val="0"/>
        <w:i w:val="0"/>
        <w:sz w:val="21"/>
      </w:rPr>
    </w:lvl>
    <w:lvl w:ilvl="4" w:tentative="0">
      <w:start w:val="1"/>
      <w:numFmt w:val="decimal"/>
      <w:pStyle w:val="57"/>
      <w:suff w:val="nothing"/>
      <w:lvlText w:val="%1.%2.%3.%4.%5　"/>
      <w:lvlJc w:val="left"/>
      <w:pPr>
        <w:ind w:left="2269"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26"/>
  </w:num>
  <w:num w:numId="2">
    <w:abstractNumId w:val="37"/>
  </w:num>
  <w:num w:numId="3">
    <w:abstractNumId w:val="11"/>
  </w:num>
  <w:num w:numId="4">
    <w:abstractNumId w:val="6"/>
  </w:num>
  <w:num w:numId="5">
    <w:abstractNumId w:val="41"/>
  </w:num>
  <w:num w:numId="6">
    <w:abstractNumId w:val="16"/>
  </w:num>
  <w:num w:numId="7">
    <w:abstractNumId w:val="39"/>
  </w:num>
  <w:num w:numId="8">
    <w:abstractNumId w:val="27"/>
  </w:num>
  <w:num w:numId="9">
    <w:abstractNumId w:val="32"/>
  </w:num>
  <w:num w:numId="10">
    <w:abstractNumId w:val="34"/>
  </w:num>
  <w:num w:numId="11">
    <w:abstractNumId w:val="22"/>
  </w:num>
  <w:num w:numId="12">
    <w:abstractNumId w:val="30"/>
  </w:num>
  <w:num w:numId="13">
    <w:abstractNumId w:val="15"/>
  </w:num>
  <w:num w:numId="14">
    <w:abstractNumId w:val="18"/>
  </w:num>
  <w:num w:numId="15">
    <w:abstractNumId w:val="17"/>
  </w:num>
  <w:num w:numId="16">
    <w:abstractNumId w:val="35"/>
  </w:num>
  <w:num w:numId="17">
    <w:abstractNumId w:val="20"/>
  </w:num>
  <w:num w:numId="18">
    <w:abstractNumId w:val="28"/>
  </w:num>
  <w:num w:numId="19">
    <w:abstractNumId w:val="31"/>
  </w:num>
  <w:num w:numId="20">
    <w:abstractNumId w:val="25"/>
  </w:num>
  <w:num w:numId="21">
    <w:abstractNumId w:val="13"/>
  </w:num>
  <w:num w:numId="22">
    <w:abstractNumId w:val="0"/>
  </w:num>
  <w:num w:numId="23">
    <w:abstractNumId w:val="3"/>
  </w:num>
  <w:num w:numId="24">
    <w:abstractNumId w:val="12"/>
  </w:num>
  <w:num w:numId="25">
    <w:abstractNumId w:val="2"/>
  </w:num>
  <w:num w:numId="26">
    <w:abstractNumId w:val="19"/>
  </w:num>
  <w:num w:numId="27">
    <w:abstractNumId w:val="1"/>
  </w:num>
  <w:num w:numId="28">
    <w:abstractNumId w:val="29"/>
  </w:num>
  <w:num w:numId="29">
    <w:abstractNumId w:val="38"/>
  </w:num>
  <w:num w:numId="30">
    <w:abstractNumId w:val="4"/>
  </w:num>
  <w:num w:numId="31">
    <w:abstractNumId w:val="7"/>
  </w:num>
  <w:num w:numId="32">
    <w:abstractNumId w:val="24"/>
  </w:num>
  <w:num w:numId="33">
    <w:abstractNumId w:val="21"/>
  </w:num>
  <w:num w:numId="34">
    <w:abstractNumId w:val="23"/>
  </w:num>
  <w:num w:numId="35">
    <w:abstractNumId w:val="14"/>
  </w:num>
  <w:num w:numId="36">
    <w:abstractNumId w:val="8"/>
  </w:num>
  <w:num w:numId="37">
    <w:abstractNumId w:val="33"/>
  </w:num>
  <w:num w:numId="38">
    <w:abstractNumId w:val="9"/>
  </w:num>
  <w:num w:numId="39">
    <w:abstractNumId w:val="40"/>
  </w:num>
  <w:num w:numId="40">
    <w:abstractNumId w:val="10"/>
  </w:num>
  <w:num w:numId="41">
    <w:abstractNumId w:val="36"/>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FB8"/>
    <w:rsid w:val="000011F1"/>
    <w:rsid w:val="0000204A"/>
    <w:rsid w:val="00003513"/>
    <w:rsid w:val="00003ED2"/>
    <w:rsid w:val="0000587E"/>
    <w:rsid w:val="00006075"/>
    <w:rsid w:val="00006669"/>
    <w:rsid w:val="00006684"/>
    <w:rsid w:val="0000688B"/>
    <w:rsid w:val="0000689F"/>
    <w:rsid w:val="00007354"/>
    <w:rsid w:val="00007C5F"/>
    <w:rsid w:val="00010554"/>
    <w:rsid w:val="000113D3"/>
    <w:rsid w:val="0001159F"/>
    <w:rsid w:val="0001209A"/>
    <w:rsid w:val="000145A3"/>
    <w:rsid w:val="00015C97"/>
    <w:rsid w:val="00016127"/>
    <w:rsid w:val="00016442"/>
    <w:rsid w:val="00016D32"/>
    <w:rsid w:val="00017160"/>
    <w:rsid w:val="000226C2"/>
    <w:rsid w:val="000245DE"/>
    <w:rsid w:val="00024E5E"/>
    <w:rsid w:val="00024E65"/>
    <w:rsid w:val="00025A3A"/>
    <w:rsid w:val="00026FB0"/>
    <w:rsid w:val="00027415"/>
    <w:rsid w:val="00027482"/>
    <w:rsid w:val="000274D7"/>
    <w:rsid w:val="000306B8"/>
    <w:rsid w:val="00030CF1"/>
    <w:rsid w:val="00031A6B"/>
    <w:rsid w:val="00032578"/>
    <w:rsid w:val="00033056"/>
    <w:rsid w:val="00034475"/>
    <w:rsid w:val="00034EC1"/>
    <w:rsid w:val="00036397"/>
    <w:rsid w:val="000376EA"/>
    <w:rsid w:val="00037BBC"/>
    <w:rsid w:val="00040119"/>
    <w:rsid w:val="0004178C"/>
    <w:rsid w:val="00041970"/>
    <w:rsid w:val="00042A6D"/>
    <w:rsid w:val="0004372B"/>
    <w:rsid w:val="00043815"/>
    <w:rsid w:val="00043C5C"/>
    <w:rsid w:val="00043E6D"/>
    <w:rsid w:val="000458F5"/>
    <w:rsid w:val="0004646E"/>
    <w:rsid w:val="00046AEE"/>
    <w:rsid w:val="00046D52"/>
    <w:rsid w:val="00046DD8"/>
    <w:rsid w:val="00046F61"/>
    <w:rsid w:val="000502D3"/>
    <w:rsid w:val="000503E4"/>
    <w:rsid w:val="00050D0D"/>
    <w:rsid w:val="00052585"/>
    <w:rsid w:val="00052F34"/>
    <w:rsid w:val="0005351C"/>
    <w:rsid w:val="00053A10"/>
    <w:rsid w:val="000547DF"/>
    <w:rsid w:val="0005514D"/>
    <w:rsid w:val="0005552F"/>
    <w:rsid w:val="00055E4D"/>
    <w:rsid w:val="00055F00"/>
    <w:rsid w:val="00056B42"/>
    <w:rsid w:val="00057589"/>
    <w:rsid w:val="0005769F"/>
    <w:rsid w:val="00057FF6"/>
    <w:rsid w:val="000605C9"/>
    <w:rsid w:val="000623E3"/>
    <w:rsid w:val="000631A7"/>
    <w:rsid w:val="00063D8F"/>
    <w:rsid w:val="0006400F"/>
    <w:rsid w:val="000644CC"/>
    <w:rsid w:val="000649EF"/>
    <w:rsid w:val="00065440"/>
    <w:rsid w:val="000654DF"/>
    <w:rsid w:val="00065969"/>
    <w:rsid w:val="00066E5B"/>
    <w:rsid w:val="0006701D"/>
    <w:rsid w:val="0006703A"/>
    <w:rsid w:val="000671FA"/>
    <w:rsid w:val="00067294"/>
    <w:rsid w:val="00070649"/>
    <w:rsid w:val="00071933"/>
    <w:rsid w:val="00071BD7"/>
    <w:rsid w:val="00072183"/>
    <w:rsid w:val="00073407"/>
    <w:rsid w:val="000734B0"/>
    <w:rsid w:val="0007370F"/>
    <w:rsid w:val="00074CAE"/>
    <w:rsid w:val="0007567E"/>
    <w:rsid w:val="00076A31"/>
    <w:rsid w:val="0008022C"/>
    <w:rsid w:val="00080643"/>
    <w:rsid w:val="00080C26"/>
    <w:rsid w:val="00082BF9"/>
    <w:rsid w:val="00083EC0"/>
    <w:rsid w:val="00084FE8"/>
    <w:rsid w:val="00085955"/>
    <w:rsid w:val="00085F20"/>
    <w:rsid w:val="000860CD"/>
    <w:rsid w:val="000861AB"/>
    <w:rsid w:val="0008717F"/>
    <w:rsid w:val="000871CA"/>
    <w:rsid w:val="00087419"/>
    <w:rsid w:val="00087EE6"/>
    <w:rsid w:val="00090246"/>
    <w:rsid w:val="000902D9"/>
    <w:rsid w:val="000908D3"/>
    <w:rsid w:val="0009097C"/>
    <w:rsid w:val="00091824"/>
    <w:rsid w:val="000927AF"/>
    <w:rsid w:val="00092EA5"/>
    <w:rsid w:val="00093F28"/>
    <w:rsid w:val="00093F2E"/>
    <w:rsid w:val="000942A6"/>
    <w:rsid w:val="000947B7"/>
    <w:rsid w:val="00094A5A"/>
    <w:rsid w:val="00094CAF"/>
    <w:rsid w:val="00095782"/>
    <w:rsid w:val="000A147D"/>
    <w:rsid w:val="000A283C"/>
    <w:rsid w:val="000A35E5"/>
    <w:rsid w:val="000A4784"/>
    <w:rsid w:val="000A56DE"/>
    <w:rsid w:val="000A5C92"/>
    <w:rsid w:val="000A5DED"/>
    <w:rsid w:val="000A66B4"/>
    <w:rsid w:val="000A7444"/>
    <w:rsid w:val="000A7E91"/>
    <w:rsid w:val="000B087C"/>
    <w:rsid w:val="000B08C6"/>
    <w:rsid w:val="000B15B6"/>
    <w:rsid w:val="000B2206"/>
    <w:rsid w:val="000B28AC"/>
    <w:rsid w:val="000B434B"/>
    <w:rsid w:val="000B45D8"/>
    <w:rsid w:val="000B482A"/>
    <w:rsid w:val="000B4E3F"/>
    <w:rsid w:val="000B590C"/>
    <w:rsid w:val="000B5B2A"/>
    <w:rsid w:val="000B6794"/>
    <w:rsid w:val="000B6900"/>
    <w:rsid w:val="000B7370"/>
    <w:rsid w:val="000B7B0E"/>
    <w:rsid w:val="000C1F6E"/>
    <w:rsid w:val="000C2133"/>
    <w:rsid w:val="000C3619"/>
    <w:rsid w:val="000C5DF4"/>
    <w:rsid w:val="000C65E4"/>
    <w:rsid w:val="000C6DB0"/>
    <w:rsid w:val="000C77AA"/>
    <w:rsid w:val="000C78E9"/>
    <w:rsid w:val="000D00C6"/>
    <w:rsid w:val="000D0364"/>
    <w:rsid w:val="000D1D10"/>
    <w:rsid w:val="000D1F1F"/>
    <w:rsid w:val="000D2830"/>
    <w:rsid w:val="000D2F0C"/>
    <w:rsid w:val="000D48E4"/>
    <w:rsid w:val="000D54E6"/>
    <w:rsid w:val="000D5768"/>
    <w:rsid w:val="000D5D7F"/>
    <w:rsid w:val="000D5DFB"/>
    <w:rsid w:val="000D763A"/>
    <w:rsid w:val="000E08A4"/>
    <w:rsid w:val="000E13DF"/>
    <w:rsid w:val="000E1FE6"/>
    <w:rsid w:val="000E35EB"/>
    <w:rsid w:val="000E44E8"/>
    <w:rsid w:val="000E689D"/>
    <w:rsid w:val="000E7474"/>
    <w:rsid w:val="000F0382"/>
    <w:rsid w:val="000F0C75"/>
    <w:rsid w:val="000F2722"/>
    <w:rsid w:val="000F46A2"/>
    <w:rsid w:val="000F6226"/>
    <w:rsid w:val="000F6767"/>
    <w:rsid w:val="0010180A"/>
    <w:rsid w:val="00102468"/>
    <w:rsid w:val="00102A7E"/>
    <w:rsid w:val="00103BDD"/>
    <w:rsid w:val="001043EA"/>
    <w:rsid w:val="001054D6"/>
    <w:rsid w:val="00105C1A"/>
    <w:rsid w:val="00105E06"/>
    <w:rsid w:val="00105F41"/>
    <w:rsid w:val="00106500"/>
    <w:rsid w:val="00107B1B"/>
    <w:rsid w:val="0011026F"/>
    <w:rsid w:val="00110A94"/>
    <w:rsid w:val="00111223"/>
    <w:rsid w:val="0011154F"/>
    <w:rsid w:val="00111FDD"/>
    <w:rsid w:val="00112F22"/>
    <w:rsid w:val="0011318B"/>
    <w:rsid w:val="00114B9D"/>
    <w:rsid w:val="001152D0"/>
    <w:rsid w:val="001159EF"/>
    <w:rsid w:val="00115B56"/>
    <w:rsid w:val="00115C2B"/>
    <w:rsid w:val="00117336"/>
    <w:rsid w:val="00117AA6"/>
    <w:rsid w:val="00117B7E"/>
    <w:rsid w:val="0012035B"/>
    <w:rsid w:val="001205C5"/>
    <w:rsid w:val="00121DE8"/>
    <w:rsid w:val="001229F3"/>
    <w:rsid w:val="00122AA7"/>
    <w:rsid w:val="00123156"/>
    <w:rsid w:val="00123281"/>
    <w:rsid w:val="0012372E"/>
    <w:rsid w:val="00123E70"/>
    <w:rsid w:val="00125B9B"/>
    <w:rsid w:val="00127430"/>
    <w:rsid w:val="00127909"/>
    <w:rsid w:val="00127E13"/>
    <w:rsid w:val="00130093"/>
    <w:rsid w:val="00130383"/>
    <w:rsid w:val="001315B0"/>
    <w:rsid w:val="001324CE"/>
    <w:rsid w:val="00132C5A"/>
    <w:rsid w:val="0013310D"/>
    <w:rsid w:val="001335B3"/>
    <w:rsid w:val="00133672"/>
    <w:rsid w:val="001336EE"/>
    <w:rsid w:val="00133F24"/>
    <w:rsid w:val="00134589"/>
    <w:rsid w:val="0013611A"/>
    <w:rsid w:val="001361FF"/>
    <w:rsid w:val="00137580"/>
    <w:rsid w:val="001379A8"/>
    <w:rsid w:val="00137A8F"/>
    <w:rsid w:val="00140151"/>
    <w:rsid w:val="001407F8"/>
    <w:rsid w:val="00141680"/>
    <w:rsid w:val="00141ED0"/>
    <w:rsid w:val="00141F9E"/>
    <w:rsid w:val="0014210E"/>
    <w:rsid w:val="00142147"/>
    <w:rsid w:val="00144710"/>
    <w:rsid w:val="00144A53"/>
    <w:rsid w:val="00147D57"/>
    <w:rsid w:val="00153953"/>
    <w:rsid w:val="00154656"/>
    <w:rsid w:val="00154847"/>
    <w:rsid w:val="00154C18"/>
    <w:rsid w:val="0015677A"/>
    <w:rsid w:val="00157AB9"/>
    <w:rsid w:val="00157DA5"/>
    <w:rsid w:val="00161068"/>
    <w:rsid w:val="00161BAD"/>
    <w:rsid w:val="001621AF"/>
    <w:rsid w:val="001637D0"/>
    <w:rsid w:val="00164234"/>
    <w:rsid w:val="00164896"/>
    <w:rsid w:val="001658CD"/>
    <w:rsid w:val="00167221"/>
    <w:rsid w:val="00170DF5"/>
    <w:rsid w:val="00171555"/>
    <w:rsid w:val="00171592"/>
    <w:rsid w:val="001723D6"/>
    <w:rsid w:val="00172A27"/>
    <w:rsid w:val="0017381F"/>
    <w:rsid w:val="0017476E"/>
    <w:rsid w:val="001754CB"/>
    <w:rsid w:val="00176398"/>
    <w:rsid w:val="00176784"/>
    <w:rsid w:val="001767BF"/>
    <w:rsid w:val="00177121"/>
    <w:rsid w:val="001773B9"/>
    <w:rsid w:val="00180B34"/>
    <w:rsid w:val="0018165B"/>
    <w:rsid w:val="00181742"/>
    <w:rsid w:val="00181C6D"/>
    <w:rsid w:val="00181C7A"/>
    <w:rsid w:val="00182603"/>
    <w:rsid w:val="00182B3A"/>
    <w:rsid w:val="00182BA7"/>
    <w:rsid w:val="001836AB"/>
    <w:rsid w:val="00183916"/>
    <w:rsid w:val="00183F0D"/>
    <w:rsid w:val="001865A7"/>
    <w:rsid w:val="00186B62"/>
    <w:rsid w:val="00187302"/>
    <w:rsid w:val="001879F6"/>
    <w:rsid w:val="00190120"/>
    <w:rsid w:val="00190BD6"/>
    <w:rsid w:val="001913A1"/>
    <w:rsid w:val="00191BF8"/>
    <w:rsid w:val="00192D2B"/>
    <w:rsid w:val="00192F66"/>
    <w:rsid w:val="0019318D"/>
    <w:rsid w:val="00193C0D"/>
    <w:rsid w:val="001941EE"/>
    <w:rsid w:val="00194A7D"/>
    <w:rsid w:val="00194DF1"/>
    <w:rsid w:val="001957E5"/>
    <w:rsid w:val="001967BD"/>
    <w:rsid w:val="00197145"/>
    <w:rsid w:val="001974A9"/>
    <w:rsid w:val="00197541"/>
    <w:rsid w:val="001A01E3"/>
    <w:rsid w:val="001A1B13"/>
    <w:rsid w:val="001A1B31"/>
    <w:rsid w:val="001A2E44"/>
    <w:rsid w:val="001A3262"/>
    <w:rsid w:val="001A3A7F"/>
    <w:rsid w:val="001A3DC7"/>
    <w:rsid w:val="001A4785"/>
    <w:rsid w:val="001A4C71"/>
    <w:rsid w:val="001A6171"/>
    <w:rsid w:val="001B0BFC"/>
    <w:rsid w:val="001B1143"/>
    <w:rsid w:val="001B2C8C"/>
    <w:rsid w:val="001B2EE0"/>
    <w:rsid w:val="001B3738"/>
    <w:rsid w:val="001B39FE"/>
    <w:rsid w:val="001B67CF"/>
    <w:rsid w:val="001B70E3"/>
    <w:rsid w:val="001B778C"/>
    <w:rsid w:val="001C0452"/>
    <w:rsid w:val="001C0F66"/>
    <w:rsid w:val="001C2630"/>
    <w:rsid w:val="001C2E74"/>
    <w:rsid w:val="001C3889"/>
    <w:rsid w:val="001C48EE"/>
    <w:rsid w:val="001C4B80"/>
    <w:rsid w:val="001C57B4"/>
    <w:rsid w:val="001C6EFF"/>
    <w:rsid w:val="001C7546"/>
    <w:rsid w:val="001C78E5"/>
    <w:rsid w:val="001D0142"/>
    <w:rsid w:val="001D0294"/>
    <w:rsid w:val="001D1716"/>
    <w:rsid w:val="001D274A"/>
    <w:rsid w:val="001D27C9"/>
    <w:rsid w:val="001D28F4"/>
    <w:rsid w:val="001D2CF6"/>
    <w:rsid w:val="001D2F04"/>
    <w:rsid w:val="001D4398"/>
    <w:rsid w:val="001D4485"/>
    <w:rsid w:val="001D4C6B"/>
    <w:rsid w:val="001D5286"/>
    <w:rsid w:val="001D5C95"/>
    <w:rsid w:val="001D6002"/>
    <w:rsid w:val="001D624B"/>
    <w:rsid w:val="001D731A"/>
    <w:rsid w:val="001D738E"/>
    <w:rsid w:val="001D7D66"/>
    <w:rsid w:val="001E0598"/>
    <w:rsid w:val="001E0F78"/>
    <w:rsid w:val="001E11B8"/>
    <w:rsid w:val="001E1271"/>
    <w:rsid w:val="001E45C1"/>
    <w:rsid w:val="001E499C"/>
    <w:rsid w:val="001E4E38"/>
    <w:rsid w:val="001E5331"/>
    <w:rsid w:val="001E569F"/>
    <w:rsid w:val="001E5949"/>
    <w:rsid w:val="001E709F"/>
    <w:rsid w:val="001F04D3"/>
    <w:rsid w:val="001F1283"/>
    <w:rsid w:val="001F15CE"/>
    <w:rsid w:val="001F3A28"/>
    <w:rsid w:val="001F3D0F"/>
    <w:rsid w:val="001F5323"/>
    <w:rsid w:val="001F6775"/>
    <w:rsid w:val="001F6E62"/>
    <w:rsid w:val="0020005A"/>
    <w:rsid w:val="002008E6"/>
    <w:rsid w:val="00200A74"/>
    <w:rsid w:val="00200EF4"/>
    <w:rsid w:val="00201FC9"/>
    <w:rsid w:val="00204312"/>
    <w:rsid w:val="00205A5C"/>
    <w:rsid w:val="00205ABB"/>
    <w:rsid w:val="0020744D"/>
    <w:rsid w:val="002075EE"/>
    <w:rsid w:val="00207D05"/>
    <w:rsid w:val="00207DFC"/>
    <w:rsid w:val="00211247"/>
    <w:rsid w:val="00212DF1"/>
    <w:rsid w:val="00213198"/>
    <w:rsid w:val="00213A28"/>
    <w:rsid w:val="00213FE9"/>
    <w:rsid w:val="00214860"/>
    <w:rsid w:val="00215A0B"/>
    <w:rsid w:val="00215B36"/>
    <w:rsid w:val="002161C5"/>
    <w:rsid w:val="0022018C"/>
    <w:rsid w:val="002202B9"/>
    <w:rsid w:val="002216EF"/>
    <w:rsid w:val="00222890"/>
    <w:rsid w:val="00223034"/>
    <w:rsid w:val="00223501"/>
    <w:rsid w:val="00224075"/>
    <w:rsid w:val="002257DC"/>
    <w:rsid w:val="0022641E"/>
    <w:rsid w:val="002270A5"/>
    <w:rsid w:val="00227B62"/>
    <w:rsid w:val="0023116F"/>
    <w:rsid w:val="00232021"/>
    <w:rsid w:val="00232337"/>
    <w:rsid w:val="00232ECE"/>
    <w:rsid w:val="0023402E"/>
    <w:rsid w:val="002340EA"/>
    <w:rsid w:val="0023504E"/>
    <w:rsid w:val="002353B8"/>
    <w:rsid w:val="00236449"/>
    <w:rsid w:val="002370FF"/>
    <w:rsid w:val="0023752D"/>
    <w:rsid w:val="00241076"/>
    <w:rsid w:val="002410A8"/>
    <w:rsid w:val="00241EC6"/>
    <w:rsid w:val="002422E5"/>
    <w:rsid w:val="00242B6E"/>
    <w:rsid w:val="002439AD"/>
    <w:rsid w:val="002443C6"/>
    <w:rsid w:val="00244B42"/>
    <w:rsid w:val="00245432"/>
    <w:rsid w:val="002464DD"/>
    <w:rsid w:val="002477D3"/>
    <w:rsid w:val="002501C4"/>
    <w:rsid w:val="00250924"/>
    <w:rsid w:val="00250DFE"/>
    <w:rsid w:val="00251ECB"/>
    <w:rsid w:val="0025256B"/>
    <w:rsid w:val="002546CC"/>
    <w:rsid w:val="00254FFE"/>
    <w:rsid w:val="002550FF"/>
    <w:rsid w:val="00255B34"/>
    <w:rsid w:val="002563B1"/>
    <w:rsid w:val="002563D9"/>
    <w:rsid w:val="00256C6D"/>
    <w:rsid w:val="0025735B"/>
    <w:rsid w:val="0026024B"/>
    <w:rsid w:val="00261056"/>
    <w:rsid w:val="00262B3A"/>
    <w:rsid w:val="002631C2"/>
    <w:rsid w:val="002632A6"/>
    <w:rsid w:val="002637F7"/>
    <w:rsid w:val="00263BE1"/>
    <w:rsid w:val="00263E8C"/>
    <w:rsid w:val="00266E79"/>
    <w:rsid w:val="0026716F"/>
    <w:rsid w:val="00267C5E"/>
    <w:rsid w:val="00270DD9"/>
    <w:rsid w:val="00271578"/>
    <w:rsid w:val="00271822"/>
    <w:rsid w:val="00271875"/>
    <w:rsid w:val="00271B34"/>
    <w:rsid w:val="00271BC1"/>
    <w:rsid w:val="002726BB"/>
    <w:rsid w:val="002730F8"/>
    <w:rsid w:val="002749D3"/>
    <w:rsid w:val="00274AE9"/>
    <w:rsid w:val="00274B44"/>
    <w:rsid w:val="00275699"/>
    <w:rsid w:val="00275AE1"/>
    <w:rsid w:val="00276617"/>
    <w:rsid w:val="0027685B"/>
    <w:rsid w:val="00277625"/>
    <w:rsid w:val="00277BDF"/>
    <w:rsid w:val="002807BD"/>
    <w:rsid w:val="00281C37"/>
    <w:rsid w:val="00283D96"/>
    <w:rsid w:val="002840E7"/>
    <w:rsid w:val="00284169"/>
    <w:rsid w:val="00284CA5"/>
    <w:rsid w:val="00285A9D"/>
    <w:rsid w:val="00285E4C"/>
    <w:rsid w:val="00286466"/>
    <w:rsid w:val="0028693B"/>
    <w:rsid w:val="00286D6D"/>
    <w:rsid w:val="00287121"/>
    <w:rsid w:val="002879AE"/>
    <w:rsid w:val="00290313"/>
    <w:rsid w:val="00290830"/>
    <w:rsid w:val="00291170"/>
    <w:rsid w:val="00293DF2"/>
    <w:rsid w:val="00293E58"/>
    <w:rsid w:val="002942D1"/>
    <w:rsid w:val="00294381"/>
    <w:rsid w:val="00294E8E"/>
    <w:rsid w:val="00297A21"/>
    <w:rsid w:val="002A3419"/>
    <w:rsid w:val="002A386D"/>
    <w:rsid w:val="002A3B75"/>
    <w:rsid w:val="002A3BB3"/>
    <w:rsid w:val="002A4139"/>
    <w:rsid w:val="002A5C18"/>
    <w:rsid w:val="002A5F26"/>
    <w:rsid w:val="002A6B03"/>
    <w:rsid w:val="002B0F18"/>
    <w:rsid w:val="002B127A"/>
    <w:rsid w:val="002B1BE3"/>
    <w:rsid w:val="002B3AE3"/>
    <w:rsid w:val="002B4B45"/>
    <w:rsid w:val="002B5D2B"/>
    <w:rsid w:val="002B6048"/>
    <w:rsid w:val="002B6DCC"/>
    <w:rsid w:val="002B7C04"/>
    <w:rsid w:val="002C06C8"/>
    <w:rsid w:val="002C08C6"/>
    <w:rsid w:val="002C0E74"/>
    <w:rsid w:val="002C31B6"/>
    <w:rsid w:val="002C3702"/>
    <w:rsid w:val="002C3B31"/>
    <w:rsid w:val="002C6901"/>
    <w:rsid w:val="002C753D"/>
    <w:rsid w:val="002D0285"/>
    <w:rsid w:val="002D09B1"/>
    <w:rsid w:val="002D13AC"/>
    <w:rsid w:val="002D1550"/>
    <w:rsid w:val="002D3886"/>
    <w:rsid w:val="002D4E4C"/>
    <w:rsid w:val="002D4F09"/>
    <w:rsid w:val="002D5282"/>
    <w:rsid w:val="002D575D"/>
    <w:rsid w:val="002D5AB9"/>
    <w:rsid w:val="002D5AE8"/>
    <w:rsid w:val="002D7035"/>
    <w:rsid w:val="002E19CE"/>
    <w:rsid w:val="002E2F0C"/>
    <w:rsid w:val="002E3312"/>
    <w:rsid w:val="002E41FD"/>
    <w:rsid w:val="002E4371"/>
    <w:rsid w:val="002E55F3"/>
    <w:rsid w:val="002E5B18"/>
    <w:rsid w:val="002E5D95"/>
    <w:rsid w:val="002E64A2"/>
    <w:rsid w:val="002E663E"/>
    <w:rsid w:val="002E6931"/>
    <w:rsid w:val="002E6BE7"/>
    <w:rsid w:val="002E6EA1"/>
    <w:rsid w:val="002F024C"/>
    <w:rsid w:val="002F0473"/>
    <w:rsid w:val="002F23DB"/>
    <w:rsid w:val="002F2432"/>
    <w:rsid w:val="002F253F"/>
    <w:rsid w:val="002F27E2"/>
    <w:rsid w:val="002F36CF"/>
    <w:rsid w:val="002F577C"/>
    <w:rsid w:val="002F5F19"/>
    <w:rsid w:val="002F64DC"/>
    <w:rsid w:val="002F6553"/>
    <w:rsid w:val="0030107B"/>
    <w:rsid w:val="00301A13"/>
    <w:rsid w:val="00301E88"/>
    <w:rsid w:val="003030E0"/>
    <w:rsid w:val="00303498"/>
    <w:rsid w:val="00306EE5"/>
    <w:rsid w:val="003102B0"/>
    <w:rsid w:val="003107DF"/>
    <w:rsid w:val="0031146D"/>
    <w:rsid w:val="0031264B"/>
    <w:rsid w:val="00312CA0"/>
    <w:rsid w:val="003142CB"/>
    <w:rsid w:val="003150E6"/>
    <w:rsid w:val="00320FDB"/>
    <w:rsid w:val="00321894"/>
    <w:rsid w:val="0032192B"/>
    <w:rsid w:val="0032383B"/>
    <w:rsid w:val="00323F45"/>
    <w:rsid w:val="00324A37"/>
    <w:rsid w:val="00324D28"/>
    <w:rsid w:val="003254F0"/>
    <w:rsid w:val="00326532"/>
    <w:rsid w:val="00326BB7"/>
    <w:rsid w:val="0033008D"/>
    <w:rsid w:val="003307A0"/>
    <w:rsid w:val="00330D13"/>
    <w:rsid w:val="00332CC6"/>
    <w:rsid w:val="00333278"/>
    <w:rsid w:val="003349E1"/>
    <w:rsid w:val="0033591F"/>
    <w:rsid w:val="003369D7"/>
    <w:rsid w:val="003370AC"/>
    <w:rsid w:val="00340B2B"/>
    <w:rsid w:val="0034165B"/>
    <w:rsid w:val="003420BF"/>
    <w:rsid w:val="00342F12"/>
    <w:rsid w:val="00343064"/>
    <w:rsid w:val="003435A8"/>
    <w:rsid w:val="00343BB4"/>
    <w:rsid w:val="00345D3F"/>
    <w:rsid w:val="0034694E"/>
    <w:rsid w:val="00346ED3"/>
    <w:rsid w:val="00347AC5"/>
    <w:rsid w:val="00347F38"/>
    <w:rsid w:val="00350317"/>
    <w:rsid w:val="003511F9"/>
    <w:rsid w:val="00351A79"/>
    <w:rsid w:val="0035204A"/>
    <w:rsid w:val="00352E08"/>
    <w:rsid w:val="00353606"/>
    <w:rsid w:val="00353C2B"/>
    <w:rsid w:val="00354449"/>
    <w:rsid w:val="00356B22"/>
    <w:rsid w:val="0035735E"/>
    <w:rsid w:val="00357C79"/>
    <w:rsid w:val="00357D22"/>
    <w:rsid w:val="00360435"/>
    <w:rsid w:val="003606AB"/>
    <w:rsid w:val="00360733"/>
    <w:rsid w:val="003625B0"/>
    <w:rsid w:val="00363A83"/>
    <w:rsid w:val="003652C2"/>
    <w:rsid w:val="00366611"/>
    <w:rsid w:val="003672F9"/>
    <w:rsid w:val="003703E5"/>
    <w:rsid w:val="00370B01"/>
    <w:rsid w:val="00371868"/>
    <w:rsid w:val="003723C1"/>
    <w:rsid w:val="00372BF8"/>
    <w:rsid w:val="00372CEE"/>
    <w:rsid w:val="00372E54"/>
    <w:rsid w:val="003744AD"/>
    <w:rsid w:val="00374A39"/>
    <w:rsid w:val="0037505B"/>
    <w:rsid w:val="003761DA"/>
    <w:rsid w:val="0037666A"/>
    <w:rsid w:val="00376E44"/>
    <w:rsid w:val="0037756A"/>
    <w:rsid w:val="003776F3"/>
    <w:rsid w:val="00377A17"/>
    <w:rsid w:val="003802EA"/>
    <w:rsid w:val="00380E77"/>
    <w:rsid w:val="003814E0"/>
    <w:rsid w:val="003818F9"/>
    <w:rsid w:val="00382262"/>
    <w:rsid w:val="003828CD"/>
    <w:rsid w:val="00383615"/>
    <w:rsid w:val="0038362B"/>
    <w:rsid w:val="00384028"/>
    <w:rsid w:val="00385626"/>
    <w:rsid w:val="00385B8C"/>
    <w:rsid w:val="00385FC6"/>
    <w:rsid w:val="00386A39"/>
    <w:rsid w:val="00387C5B"/>
    <w:rsid w:val="00390077"/>
    <w:rsid w:val="00391030"/>
    <w:rsid w:val="00391D9F"/>
    <w:rsid w:val="00392B78"/>
    <w:rsid w:val="003944BF"/>
    <w:rsid w:val="00395196"/>
    <w:rsid w:val="003957D8"/>
    <w:rsid w:val="00396F4E"/>
    <w:rsid w:val="00396F54"/>
    <w:rsid w:val="003A00B8"/>
    <w:rsid w:val="003A06FC"/>
    <w:rsid w:val="003A0C7F"/>
    <w:rsid w:val="003A28B5"/>
    <w:rsid w:val="003A2DA9"/>
    <w:rsid w:val="003A33DC"/>
    <w:rsid w:val="003A3690"/>
    <w:rsid w:val="003A3A7A"/>
    <w:rsid w:val="003A4B4C"/>
    <w:rsid w:val="003A4C06"/>
    <w:rsid w:val="003A7D0A"/>
    <w:rsid w:val="003A7DFF"/>
    <w:rsid w:val="003B11AD"/>
    <w:rsid w:val="003B13A4"/>
    <w:rsid w:val="003B1ED0"/>
    <w:rsid w:val="003B23ED"/>
    <w:rsid w:val="003B3A0D"/>
    <w:rsid w:val="003B51B5"/>
    <w:rsid w:val="003B54F8"/>
    <w:rsid w:val="003B5B49"/>
    <w:rsid w:val="003B60E6"/>
    <w:rsid w:val="003B6F76"/>
    <w:rsid w:val="003B7233"/>
    <w:rsid w:val="003C08D0"/>
    <w:rsid w:val="003C14C5"/>
    <w:rsid w:val="003C16C1"/>
    <w:rsid w:val="003C1814"/>
    <w:rsid w:val="003C26A3"/>
    <w:rsid w:val="003C348C"/>
    <w:rsid w:val="003C381E"/>
    <w:rsid w:val="003C5344"/>
    <w:rsid w:val="003C582C"/>
    <w:rsid w:val="003C76C3"/>
    <w:rsid w:val="003D0A5B"/>
    <w:rsid w:val="003D0E52"/>
    <w:rsid w:val="003D1456"/>
    <w:rsid w:val="003D294A"/>
    <w:rsid w:val="003D33D8"/>
    <w:rsid w:val="003D51C5"/>
    <w:rsid w:val="003D564F"/>
    <w:rsid w:val="003D5F9A"/>
    <w:rsid w:val="003E17DF"/>
    <w:rsid w:val="003E27B2"/>
    <w:rsid w:val="003E33B6"/>
    <w:rsid w:val="003E4C42"/>
    <w:rsid w:val="003E4F9B"/>
    <w:rsid w:val="003E595E"/>
    <w:rsid w:val="003E5977"/>
    <w:rsid w:val="003E6760"/>
    <w:rsid w:val="003E6CC3"/>
    <w:rsid w:val="003E721E"/>
    <w:rsid w:val="003E7C0D"/>
    <w:rsid w:val="003F0A72"/>
    <w:rsid w:val="003F0D92"/>
    <w:rsid w:val="003F1762"/>
    <w:rsid w:val="003F234A"/>
    <w:rsid w:val="003F2352"/>
    <w:rsid w:val="003F2360"/>
    <w:rsid w:val="003F3970"/>
    <w:rsid w:val="003F3CA8"/>
    <w:rsid w:val="003F5CFB"/>
    <w:rsid w:val="003F626A"/>
    <w:rsid w:val="003F6C90"/>
    <w:rsid w:val="0040063D"/>
    <w:rsid w:val="004035AF"/>
    <w:rsid w:val="00403979"/>
    <w:rsid w:val="0040430F"/>
    <w:rsid w:val="004056E3"/>
    <w:rsid w:val="00405B9C"/>
    <w:rsid w:val="00406D76"/>
    <w:rsid w:val="00407064"/>
    <w:rsid w:val="00407B14"/>
    <w:rsid w:val="004104BB"/>
    <w:rsid w:val="004104E7"/>
    <w:rsid w:val="0041145A"/>
    <w:rsid w:val="00411EB6"/>
    <w:rsid w:val="00412970"/>
    <w:rsid w:val="00412C14"/>
    <w:rsid w:val="00412E90"/>
    <w:rsid w:val="004136FE"/>
    <w:rsid w:val="004141EF"/>
    <w:rsid w:val="004147F6"/>
    <w:rsid w:val="00417D5B"/>
    <w:rsid w:val="0042019B"/>
    <w:rsid w:val="00420A45"/>
    <w:rsid w:val="00420E5E"/>
    <w:rsid w:val="0042145F"/>
    <w:rsid w:val="00421B7B"/>
    <w:rsid w:val="00421F4D"/>
    <w:rsid w:val="0042286C"/>
    <w:rsid w:val="0042406C"/>
    <w:rsid w:val="004241CC"/>
    <w:rsid w:val="0042457B"/>
    <w:rsid w:val="004249DB"/>
    <w:rsid w:val="00424A46"/>
    <w:rsid w:val="00424DAF"/>
    <w:rsid w:val="00425750"/>
    <w:rsid w:val="00426E37"/>
    <w:rsid w:val="00427450"/>
    <w:rsid w:val="00431211"/>
    <w:rsid w:val="004328FD"/>
    <w:rsid w:val="00434445"/>
    <w:rsid w:val="0043467C"/>
    <w:rsid w:val="00435BD7"/>
    <w:rsid w:val="00436945"/>
    <w:rsid w:val="00436A55"/>
    <w:rsid w:val="00436D41"/>
    <w:rsid w:val="004370D4"/>
    <w:rsid w:val="004371C3"/>
    <w:rsid w:val="00437E2C"/>
    <w:rsid w:val="00440014"/>
    <w:rsid w:val="004425B2"/>
    <w:rsid w:val="004433B2"/>
    <w:rsid w:val="004443C0"/>
    <w:rsid w:val="0044501F"/>
    <w:rsid w:val="00445400"/>
    <w:rsid w:val="00446551"/>
    <w:rsid w:val="00446636"/>
    <w:rsid w:val="00447099"/>
    <w:rsid w:val="004476FB"/>
    <w:rsid w:val="00450066"/>
    <w:rsid w:val="004514CA"/>
    <w:rsid w:val="004520BE"/>
    <w:rsid w:val="004526EC"/>
    <w:rsid w:val="00455C7D"/>
    <w:rsid w:val="004562B1"/>
    <w:rsid w:val="00456843"/>
    <w:rsid w:val="00456AA0"/>
    <w:rsid w:val="00457A1C"/>
    <w:rsid w:val="00460B61"/>
    <w:rsid w:val="004612C7"/>
    <w:rsid w:val="0046190E"/>
    <w:rsid w:val="00462305"/>
    <w:rsid w:val="00463CFA"/>
    <w:rsid w:val="00466630"/>
    <w:rsid w:val="0046666A"/>
    <w:rsid w:val="004666F9"/>
    <w:rsid w:val="00467033"/>
    <w:rsid w:val="004671C1"/>
    <w:rsid w:val="004675BF"/>
    <w:rsid w:val="0046798D"/>
    <w:rsid w:val="00467DE1"/>
    <w:rsid w:val="004722C6"/>
    <w:rsid w:val="00472DCC"/>
    <w:rsid w:val="00474737"/>
    <w:rsid w:val="00475AEB"/>
    <w:rsid w:val="004769FD"/>
    <w:rsid w:val="00476A8B"/>
    <w:rsid w:val="00480DD9"/>
    <w:rsid w:val="00482888"/>
    <w:rsid w:val="00482ED1"/>
    <w:rsid w:val="00483CAA"/>
    <w:rsid w:val="00484CD7"/>
    <w:rsid w:val="00484D4D"/>
    <w:rsid w:val="004850FB"/>
    <w:rsid w:val="004869F4"/>
    <w:rsid w:val="00487D9C"/>
    <w:rsid w:val="00487EB6"/>
    <w:rsid w:val="00490779"/>
    <w:rsid w:val="00490C5C"/>
    <w:rsid w:val="00490CE3"/>
    <w:rsid w:val="00491388"/>
    <w:rsid w:val="0049141D"/>
    <w:rsid w:val="004918E7"/>
    <w:rsid w:val="00491F83"/>
    <w:rsid w:val="004921C7"/>
    <w:rsid w:val="004921F9"/>
    <w:rsid w:val="00492C95"/>
    <w:rsid w:val="0049387E"/>
    <w:rsid w:val="00493DEC"/>
    <w:rsid w:val="0049491A"/>
    <w:rsid w:val="00495317"/>
    <w:rsid w:val="00495540"/>
    <w:rsid w:val="004A0811"/>
    <w:rsid w:val="004A0EE2"/>
    <w:rsid w:val="004A17BF"/>
    <w:rsid w:val="004A1BF1"/>
    <w:rsid w:val="004A2518"/>
    <w:rsid w:val="004A2F40"/>
    <w:rsid w:val="004A3389"/>
    <w:rsid w:val="004A4EBE"/>
    <w:rsid w:val="004A56BC"/>
    <w:rsid w:val="004A596D"/>
    <w:rsid w:val="004A64F3"/>
    <w:rsid w:val="004A6F11"/>
    <w:rsid w:val="004A72A1"/>
    <w:rsid w:val="004A7529"/>
    <w:rsid w:val="004B06F8"/>
    <w:rsid w:val="004B0C74"/>
    <w:rsid w:val="004B17E4"/>
    <w:rsid w:val="004B1D2D"/>
    <w:rsid w:val="004B2465"/>
    <w:rsid w:val="004B272E"/>
    <w:rsid w:val="004B3B9D"/>
    <w:rsid w:val="004B4D7F"/>
    <w:rsid w:val="004B4F38"/>
    <w:rsid w:val="004B61AB"/>
    <w:rsid w:val="004B6359"/>
    <w:rsid w:val="004C047E"/>
    <w:rsid w:val="004C178A"/>
    <w:rsid w:val="004C1817"/>
    <w:rsid w:val="004C3953"/>
    <w:rsid w:val="004C41CB"/>
    <w:rsid w:val="004C46D4"/>
    <w:rsid w:val="004C6CC2"/>
    <w:rsid w:val="004C7C6D"/>
    <w:rsid w:val="004D0285"/>
    <w:rsid w:val="004D0682"/>
    <w:rsid w:val="004D1577"/>
    <w:rsid w:val="004D1DC4"/>
    <w:rsid w:val="004D2024"/>
    <w:rsid w:val="004D3599"/>
    <w:rsid w:val="004D3704"/>
    <w:rsid w:val="004D3BFB"/>
    <w:rsid w:val="004D474E"/>
    <w:rsid w:val="004D7A97"/>
    <w:rsid w:val="004E0031"/>
    <w:rsid w:val="004E0294"/>
    <w:rsid w:val="004E17C7"/>
    <w:rsid w:val="004E2688"/>
    <w:rsid w:val="004E3064"/>
    <w:rsid w:val="004E447F"/>
    <w:rsid w:val="004E5D8F"/>
    <w:rsid w:val="004E643C"/>
    <w:rsid w:val="004E7237"/>
    <w:rsid w:val="004E7398"/>
    <w:rsid w:val="004E7442"/>
    <w:rsid w:val="004E762C"/>
    <w:rsid w:val="004E76AD"/>
    <w:rsid w:val="004E772E"/>
    <w:rsid w:val="004F017A"/>
    <w:rsid w:val="004F0256"/>
    <w:rsid w:val="004F1BD0"/>
    <w:rsid w:val="004F2280"/>
    <w:rsid w:val="004F2C57"/>
    <w:rsid w:val="004F32C0"/>
    <w:rsid w:val="004F360E"/>
    <w:rsid w:val="004F3E60"/>
    <w:rsid w:val="004F42B2"/>
    <w:rsid w:val="004F4B25"/>
    <w:rsid w:val="004F4B4D"/>
    <w:rsid w:val="004F55E6"/>
    <w:rsid w:val="004F5ED2"/>
    <w:rsid w:val="004F7B02"/>
    <w:rsid w:val="004F7E5C"/>
    <w:rsid w:val="005001D5"/>
    <w:rsid w:val="005009A0"/>
    <w:rsid w:val="00501A56"/>
    <w:rsid w:val="0050228B"/>
    <w:rsid w:val="00503684"/>
    <w:rsid w:val="00503EFA"/>
    <w:rsid w:val="0050489A"/>
    <w:rsid w:val="0050535A"/>
    <w:rsid w:val="00505F70"/>
    <w:rsid w:val="00505FBF"/>
    <w:rsid w:val="0050680F"/>
    <w:rsid w:val="00506AED"/>
    <w:rsid w:val="00506E41"/>
    <w:rsid w:val="005071EB"/>
    <w:rsid w:val="00507DDD"/>
    <w:rsid w:val="005103C1"/>
    <w:rsid w:val="005119A8"/>
    <w:rsid w:val="00511B8B"/>
    <w:rsid w:val="00514902"/>
    <w:rsid w:val="00515100"/>
    <w:rsid w:val="0051525F"/>
    <w:rsid w:val="00516E0C"/>
    <w:rsid w:val="005174E5"/>
    <w:rsid w:val="005206FA"/>
    <w:rsid w:val="005218B1"/>
    <w:rsid w:val="005233D1"/>
    <w:rsid w:val="005247E9"/>
    <w:rsid w:val="005271D0"/>
    <w:rsid w:val="0052762D"/>
    <w:rsid w:val="00531685"/>
    <w:rsid w:val="005321FD"/>
    <w:rsid w:val="00532622"/>
    <w:rsid w:val="0053264B"/>
    <w:rsid w:val="00533A12"/>
    <w:rsid w:val="00534380"/>
    <w:rsid w:val="0053742F"/>
    <w:rsid w:val="005376BE"/>
    <w:rsid w:val="005376E5"/>
    <w:rsid w:val="00537869"/>
    <w:rsid w:val="005407BD"/>
    <w:rsid w:val="00541535"/>
    <w:rsid w:val="0054157C"/>
    <w:rsid w:val="005425F8"/>
    <w:rsid w:val="00543F91"/>
    <w:rsid w:val="0054413E"/>
    <w:rsid w:val="00546858"/>
    <w:rsid w:val="0054794C"/>
    <w:rsid w:val="00550C08"/>
    <w:rsid w:val="00550C67"/>
    <w:rsid w:val="00551256"/>
    <w:rsid w:val="0055256E"/>
    <w:rsid w:val="0055322D"/>
    <w:rsid w:val="00553404"/>
    <w:rsid w:val="0055577E"/>
    <w:rsid w:val="00557720"/>
    <w:rsid w:val="005605A0"/>
    <w:rsid w:val="00560AA9"/>
    <w:rsid w:val="00561503"/>
    <w:rsid w:val="0056162D"/>
    <w:rsid w:val="005618A1"/>
    <w:rsid w:val="005623E3"/>
    <w:rsid w:val="00562416"/>
    <w:rsid w:val="0056242A"/>
    <w:rsid w:val="00562945"/>
    <w:rsid w:val="005637C9"/>
    <w:rsid w:val="00564052"/>
    <w:rsid w:val="00564F9F"/>
    <w:rsid w:val="00570A0E"/>
    <w:rsid w:val="005727A4"/>
    <w:rsid w:val="00573CAE"/>
    <w:rsid w:val="005747FE"/>
    <w:rsid w:val="00574E47"/>
    <w:rsid w:val="005765BE"/>
    <w:rsid w:val="005766C4"/>
    <w:rsid w:val="005767AB"/>
    <w:rsid w:val="00576B07"/>
    <w:rsid w:val="00577530"/>
    <w:rsid w:val="00580523"/>
    <w:rsid w:val="005828A8"/>
    <w:rsid w:val="005837EB"/>
    <w:rsid w:val="0058498C"/>
    <w:rsid w:val="00584B9D"/>
    <w:rsid w:val="0058581B"/>
    <w:rsid w:val="005861FD"/>
    <w:rsid w:val="0058650A"/>
    <w:rsid w:val="00586E9F"/>
    <w:rsid w:val="00587621"/>
    <w:rsid w:val="005877CC"/>
    <w:rsid w:val="0059194D"/>
    <w:rsid w:val="005933D5"/>
    <w:rsid w:val="00594BF8"/>
    <w:rsid w:val="005961F5"/>
    <w:rsid w:val="0059764E"/>
    <w:rsid w:val="005A06C3"/>
    <w:rsid w:val="005A0764"/>
    <w:rsid w:val="005A11B5"/>
    <w:rsid w:val="005A18CC"/>
    <w:rsid w:val="005A190E"/>
    <w:rsid w:val="005A2992"/>
    <w:rsid w:val="005A370A"/>
    <w:rsid w:val="005A3D56"/>
    <w:rsid w:val="005A5E3B"/>
    <w:rsid w:val="005A5F8E"/>
    <w:rsid w:val="005A66EE"/>
    <w:rsid w:val="005A7B13"/>
    <w:rsid w:val="005A7B32"/>
    <w:rsid w:val="005B0107"/>
    <w:rsid w:val="005B0741"/>
    <w:rsid w:val="005B07E2"/>
    <w:rsid w:val="005B11E8"/>
    <w:rsid w:val="005B287F"/>
    <w:rsid w:val="005B2DDD"/>
    <w:rsid w:val="005B34F1"/>
    <w:rsid w:val="005B3D1C"/>
    <w:rsid w:val="005B4BFF"/>
    <w:rsid w:val="005B4CFC"/>
    <w:rsid w:val="005B4D47"/>
    <w:rsid w:val="005B7865"/>
    <w:rsid w:val="005B7EFF"/>
    <w:rsid w:val="005C10F1"/>
    <w:rsid w:val="005C1346"/>
    <w:rsid w:val="005C2B76"/>
    <w:rsid w:val="005C34FA"/>
    <w:rsid w:val="005C3750"/>
    <w:rsid w:val="005C47E3"/>
    <w:rsid w:val="005C5083"/>
    <w:rsid w:val="005C5687"/>
    <w:rsid w:val="005C5C62"/>
    <w:rsid w:val="005C7C67"/>
    <w:rsid w:val="005D0347"/>
    <w:rsid w:val="005D0477"/>
    <w:rsid w:val="005D0B27"/>
    <w:rsid w:val="005D1300"/>
    <w:rsid w:val="005D278E"/>
    <w:rsid w:val="005D291E"/>
    <w:rsid w:val="005D2C4B"/>
    <w:rsid w:val="005D3065"/>
    <w:rsid w:val="005D415F"/>
    <w:rsid w:val="005D54A0"/>
    <w:rsid w:val="005D5BD6"/>
    <w:rsid w:val="005D6C3B"/>
    <w:rsid w:val="005E04B1"/>
    <w:rsid w:val="005E2D8E"/>
    <w:rsid w:val="005E3A4E"/>
    <w:rsid w:val="005E3A93"/>
    <w:rsid w:val="005E3B80"/>
    <w:rsid w:val="005E4694"/>
    <w:rsid w:val="005E60E5"/>
    <w:rsid w:val="005E61DB"/>
    <w:rsid w:val="005E6AC7"/>
    <w:rsid w:val="005E763C"/>
    <w:rsid w:val="005E7CCA"/>
    <w:rsid w:val="005E7F6D"/>
    <w:rsid w:val="005F02E3"/>
    <w:rsid w:val="005F0ADB"/>
    <w:rsid w:val="005F20D5"/>
    <w:rsid w:val="005F2D4F"/>
    <w:rsid w:val="005F40C0"/>
    <w:rsid w:val="005F5598"/>
    <w:rsid w:val="005F5A05"/>
    <w:rsid w:val="00601E65"/>
    <w:rsid w:val="00602D67"/>
    <w:rsid w:val="00602E0E"/>
    <w:rsid w:val="006056CA"/>
    <w:rsid w:val="00605AEB"/>
    <w:rsid w:val="00606242"/>
    <w:rsid w:val="00606C51"/>
    <w:rsid w:val="00606F18"/>
    <w:rsid w:val="0061226D"/>
    <w:rsid w:val="006126D5"/>
    <w:rsid w:val="0061283E"/>
    <w:rsid w:val="00612DEE"/>
    <w:rsid w:val="00616685"/>
    <w:rsid w:val="00617570"/>
    <w:rsid w:val="00617A8F"/>
    <w:rsid w:val="00617B59"/>
    <w:rsid w:val="00617CAF"/>
    <w:rsid w:val="00620628"/>
    <w:rsid w:val="00620C4E"/>
    <w:rsid w:val="0062344B"/>
    <w:rsid w:val="006239CF"/>
    <w:rsid w:val="00623A00"/>
    <w:rsid w:val="00623CDE"/>
    <w:rsid w:val="00624CD3"/>
    <w:rsid w:val="006250AD"/>
    <w:rsid w:val="006269AB"/>
    <w:rsid w:val="00626B26"/>
    <w:rsid w:val="00626FAB"/>
    <w:rsid w:val="00627C3B"/>
    <w:rsid w:val="006301B4"/>
    <w:rsid w:val="00630296"/>
    <w:rsid w:val="0063099A"/>
    <w:rsid w:val="006311C0"/>
    <w:rsid w:val="0063172A"/>
    <w:rsid w:val="00631A03"/>
    <w:rsid w:val="00631C5F"/>
    <w:rsid w:val="00632184"/>
    <w:rsid w:val="006333BE"/>
    <w:rsid w:val="00633711"/>
    <w:rsid w:val="00634331"/>
    <w:rsid w:val="006353ED"/>
    <w:rsid w:val="00635513"/>
    <w:rsid w:val="006357E7"/>
    <w:rsid w:val="006375EE"/>
    <w:rsid w:val="00637A55"/>
    <w:rsid w:val="006405A5"/>
    <w:rsid w:val="00640BF6"/>
    <w:rsid w:val="00640DBE"/>
    <w:rsid w:val="006412A7"/>
    <w:rsid w:val="00641F9D"/>
    <w:rsid w:val="00642803"/>
    <w:rsid w:val="006436AF"/>
    <w:rsid w:val="00643DA9"/>
    <w:rsid w:val="00643EE8"/>
    <w:rsid w:val="00645EC4"/>
    <w:rsid w:val="00646C62"/>
    <w:rsid w:val="006476FF"/>
    <w:rsid w:val="00647F07"/>
    <w:rsid w:val="00651231"/>
    <w:rsid w:val="006519E3"/>
    <w:rsid w:val="00651A07"/>
    <w:rsid w:val="00651FDF"/>
    <w:rsid w:val="006522C2"/>
    <w:rsid w:val="00654020"/>
    <w:rsid w:val="006543D5"/>
    <w:rsid w:val="006550B4"/>
    <w:rsid w:val="00655A58"/>
    <w:rsid w:val="00656297"/>
    <w:rsid w:val="00656A8C"/>
    <w:rsid w:val="00656ADA"/>
    <w:rsid w:val="00656B40"/>
    <w:rsid w:val="00661AB7"/>
    <w:rsid w:val="0066242C"/>
    <w:rsid w:val="00664F94"/>
    <w:rsid w:val="006653D9"/>
    <w:rsid w:val="00666AA3"/>
    <w:rsid w:val="00670B88"/>
    <w:rsid w:val="00671A18"/>
    <w:rsid w:val="00671BD6"/>
    <w:rsid w:val="0067391C"/>
    <w:rsid w:val="00674F67"/>
    <w:rsid w:val="0067580B"/>
    <w:rsid w:val="006824D4"/>
    <w:rsid w:val="00682D4D"/>
    <w:rsid w:val="00683E32"/>
    <w:rsid w:val="00683FCF"/>
    <w:rsid w:val="00686CFE"/>
    <w:rsid w:val="00690028"/>
    <w:rsid w:val="006913FC"/>
    <w:rsid w:val="00691D61"/>
    <w:rsid w:val="00691EE3"/>
    <w:rsid w:val="00691EEF"/>
    <w:rsid w:val="00692AA5"/>
    <w:rsid w:val="00692E12"/>
    <w:rsid w:val="00693975"/>
    <w:rsid w:val="00695219"/>
    <w:rsid w:val="00695DCE"/>
    <w:rsid w:val="0069685B"/>
    <w:rsid w:val="006A0A35"/>
    <w:rsid w:val="006A190A"/>
    <w:rsid w:val="006A4114"/>
    <w:rsid w:val="006A55E4"/>
    <w:rsid w:val="006A5D3D"/>
    <w:rsid w:val="006A6420"/>
    <w:rsid w:val="006A68F7"/>
    <w:rsid w:val="006A6903"/>
    <w:rsid w:val="006A69E6"/>
    <w:rsid w:val="006A722B"/>
    <w:rsid w:val="006A74B9"/>
    <w:rsid w:val="006A7D79"/>
    <w:rsid w:val="006B0E54"/>
    <w:rsid w:val="006B129F"/>
    <w:rsid w:val="006B14C0"/>
    <w:rsid w:val="006B1D1B"/>
    <w:rsid w:val="006B22B4"/>
    <w:rsid w:val="006B2984"/>
    <w:rsid w:val="006B3790"/>
    <w:rsid w:val="006B4BBB"/>
    <w:rsid w:val="006B515A"/>
    <w:rsid w:val="006B73CE"/>
    <w:rsid w:val="006C15E2"/>
    <w:rsid w:val="006C1C6D"/>
    <w:rsid w:val="006C2551"/>
    <w:rsid w:val="006C2711"/>
    <w:rsid w:val="006C28DC"/>
    <w:rsid w:val="006C582E"/>
    <w:rsid w:val="006C6C47"/>
    <w:rsid w:val="006C707C"/>
    <w:rsid w:val="006D0019"/>
    <w:rsid w:val="006D0D6D"/>
    <w:rsid w:val="006D11D3"/>
    <w:rsid w:val="006D361E"/>
    <w:rsid w:val="006D46C3"/>
    <w:rsid w:val="006D4BFA"/>
    <w:rsid w:val="006D4D80"/>
    <w:rsid w:val="006D4F29"/>
    <w:rsid w:val="006D51FD"/>
    <w:rsid w:val="006D621C"/>
    <w:rsid w:val="006D6556"/>
    <w:rsid w:val="006E100A"/>
    <w:rsid w:val="006E1C8E"/>
    <w:rsid w:val="006E4577"/>
    <w:rsid w:val="006E46AF"/>
    <w:rsid w:val="006E5800"/>
    <w:rsid w:val="006E582B"/>
    <w:rsid w:val="006E613F"/>
    <w:rsid w:val="006E764E"/>
    <w:rsid w:val="006E7697"/>
    <w:rsid w:val="006F1317"/>
    <w:rsid w:val="006F16C4"/>
    <w:rsid w:val="006F2571"/>
    <w:rsid w:val="006F5E17"/>
    <w:rsid w:val="006F5FA8"/>
    <w:rsid w:val="006F6ACC"/>
    <w:rsid w:val="006F701F"/>
    <w:rsid w:val="00700A5F"/>
    <w:rsid w:val="007016C9"/>
    <w:rsid w:val="00701DD8"/>
    <w:rsid w:val="007026BB"/>
    <w:rsid w:val="007054FB"/>
    <w:rsid w:val="0070582B"/>
    <w:rsid w:val="0070597D"/>
    <w:rsid w:val="00706B74"/>
    <w:rsid w:val="007071A2"/>
    <w:rsid w:val="007077C4"/>
    <w:rsid w:val="00707905"/>
    <w:rsid w:val="00707FD5"/>
    <w:rsid w:val="007101C6"/>
    <w:rsid w:val="00710272"/>
    <w:rsid w:val="00710994"/>
    <w:rsid w:val="0071128E"/>
    <w:rsid w:val="00711B15"/>
    <w:rsid w:val="00713082"/>
    <w:rsid w:val="00715A4F"/>
    <w:rsid w:val="00715E94"/>
    <w:rsid w:val="007175DA"/>
    <w:rsid w:val="00717EEC"/>
    <w:rsid w:val="00720052"/>
    <w:rsid w:val="00720D96"/>
    <w:rsid w:val="007211E2"/>
    <w:rsid w:val="00722789"/>
    <w:rsid w:val="00722AC0"/>
    <w:rsid w:val="007250D3"/>
    <w:rsid w:val="00725B6F"/>
    <w:rsid w:val="007300D3"/>
    <w:rsid w:val="007308D2"/>
    <w:rsid w:val="00730B3F"/>
    <w:rsid w:val="00731BA0"/>
    <w:rsid w:val="00731CBB"/>
    <w:rsid w:val="00732057"/>
    <w:rsid w:val="0073279E"/>
    <w:rsid w:val="00732E10"/>
    <w:rsid w:val="00733B20"/>
    <w:rsid w:val="007356BE"/>
    <w:rsid w:val="00735917"/>
    <w:rsid w:val="00735C41"/>
    <w:rsid w:val="00735CE3"/>
    <w:rsid w:val="00735E25"/>
    <w:rsid w:val="00736AB1"/>
    <w:rsid w:val="00740E51"/>
    <w:rsid w:val="00740F7A"/>
    <w:rsid w:val="00741322"/>
    <w:rsid w:val="00741A07"/>
    <w:rsid w:val="00741E2B"/>
    <w:rsid w:val="0074435E"/>
    <w:rsid w:val="0074462E"/>
    <w:rsid w:val="007460FE"/>
    <w:rsid w:val="0074646C"/>
    <w:rsid w:val="00746C0F"/>
    <w:rsid w:val="00746DF4"/>
    <w:rsid w:val="00746F06"/>
    <w:rsid w:val="007470AC"/>
    <w:rsid w:val="007478FC"/>
    <w:rsid w:val="00751178"/>
    <w:rsid w:val="007526CB"/>
    <w:rsid w:val="00753ABF"/>
    <w:rsid w:val="0075573C"/>
    <w:rsid w:val="00755F22"/>
    <w:rsid w:val="00755FAA"/>
    <w:rsid w:val="0075629D"/>
    <w:rsid w:val="00756888"/>
    <w:rsid w:val="00756D4C"/>
    <w:rsid w:val="00757850"/>
    <w:rsid w:val="00760284"/>
    <w:rsid w:val="00760843"/>
    <w:rsid w:val="00761F70"/>
    <w:rsid w:val="00762A80"/>
    <w:rsid w:val="0076443A"/>
    <w:rsid w:val="00764F30"/>
    <w:rsid w:val="007654B2"/>
    <w:rsid w:val="0076559B"/>
    <w:rsid w:val="00765954"/>
    <w:rsid w:val="00765F79"/>
    <w:rsid w:val="00766C18"/>
    <w:rsid w:val="00767A56"/>
    <w:rsid w:val="00771419"/>
    <w:rsid w:val="00771517"/>
    <w:rsid w:val="0077325E"/>
    <w:rsid w:val="00774C99"/>
    <w:rsid w:val="007750FF"/>
    <w:rsid w:val="007754F8"/>
    <w:rsid w:val="00775C85"/>
    <w:rsid w:val="00775E56"/>
    <w:rsid w:val="00775E5E"/>
    <w:rsid w:val="00776168"/>
    <w:rsid w:val="00776D1C"/>
    <w:rsid w:val="007778DA"/>
    <w:rsid w:val="00780CA5"/>
    <w:rsid w:val="00781061"/>
    <w:rsid w:val="0078155B"/>
    <w:rsid w:val="00781979"/>
    <w:rsid w:val="00781FD9"/>
    <w:rsid w:val="00783873"/>
    <w:rsid w:val="00783C0C"/>
    <w:rsid w:val="0078443D"/>
    <w:rsid w:val="0078596E"/>
    <w:rsid w:val="00785FBF"/>
    <w:rsid w:val="00786362"/>
    <w:rsid w:val="00786B1B"/>
    <w:rsid w:val="00786BAD"/>
    <w:rsid w:val="007901BA"/>
    <w:rsid w:val="0079115D"/>
    <w:rsid w:val="007921D8"/>
    <w:rsid w:val="007924C3"/>
    <w:rsid w:val="00792CC6"/>
    <w:rsid w:val="00792D8E"/>
    <w:rsid w:val="007932AB"/>
    <w:rsid w:val="007933E2"/>
    <w:rsid w:val="00794F5F"/>
    <w:rsid w:val="007951BC"/>
    <w:rsid w:val="00795534"/>
    <w:rsid w:val="00796CDD"/>
    <w:rsid w:val="00797DDB"/>
    <w:rsid w:val="007A01BF"/>
    <w:rsid w:val="007A23D5"/>
    <w:rsid w:val="007A3691"/>
    <w:rsid w:val="007A3BA6"/>
    <w:rsid w:val="007A4871"/>
    <w:rsid w:val="007A4F1B"/>
    <w:rsid w:val="007A5C43"/>
    <w:rsid w:val="007A5E79"/>
    <w:rsid w:val="007A6425"/>
    <w:rsid w:val="007A6FB6"/>
    <w:rsid w:val="007A7083"/>
    <w:rsid w:val="007A78A9"/>
    <w:rsid w:val="007B0500"/>
    <w:rsid w:val="007B07C2"/>
    <w:rsid w:val="007B1B61"/>
    <w:rsid w:val="007B2958"/>
    <w:rsid w:val="007B297A"/>
    <w:rsid w:val="007B2C29"/>
    <w:rsid w:val="007B2F48"/>
    <w:rsid w:val="007B3BF4"/>
    <w:rsid w:val="007B6362"/>
    <w:rsid w:val="007B6F2A"/>
    <w:rsid w:val="007B7BBE"/>
    <w:rsid w:val="007C0F3D"/>
    <w:rsid w:val="007C0F5C"/>
    <w:rsid w:val="007C167A"/>
    <w:rsid w:val="007C1CA4"/>
    <w:rsid w:val="007C1E82"/>
    <w:rsid w:val="007C2D7C"/>
    <w:rsid w:val="007C2EB4"/>
    <w:rsid w:val="007C3502"/>
    <w:rsid w:val="007C46E3"/>
    <w:rsid w:val="007C4F84"/>
    <w:rsid w:val="007C61AE"/>
    <w:rsid w:val="007C7D46"/>
    <w:rsid w:val="007C7FC6"/>
    <w:rsid w:val="007D0689"/>
    <w:rsid w:val="007D0FA9"/>
    <w:rsid w:val="007D16C1"/>
    <w:rsid w:val="007D191D"/>
    <w:rsid w:val="007D2257"/>
    <w:rsid w:val="007D2611"/>
    <w:rsid w:val="007D48DA"/>
    <w:rsid w:val="007D5454"/>
    <w:rsid w:val="007D6045"/>
    <w:rsid w:val="007D6633"/>
    <w:rsid w:val="007D7C7B"/>
    <w:rsid w:val="007E01AE"/>
    <w:rsid w:val="007E0871"/>
    <w:rsid w:val="007E2025"/>
    <w:rsid w:val="007E2749"/>
    <w:rsid w:val="007E3450"/>
    <w:rsid w:val="007E35C4"/>
    <w:rsid w:val="007E37C2"/>
    <w:rsid w:val="007E3C34"/>
    <w:rsid w:val="007E422D"/>
    <w:rsid w:val="007E46D1"/>
    <w:rsid w:val="007E49FB"/>
    <w:rsid w:val="007E4BFD"/>
    <w:rsid w:val="007E69EE"/>
    <w:rsid w:val="007E7A2D"/>
    <w:rsid w:val="007E7BF1"/>
    <w:rsid w:val="007F1083"/>
    <w:rsid w:val="007F1413"/>
    <w:rsid w:val="007F258F"/>
    <w:rsid w:val="007F2BEC"/>
    <w:rsid w:val="007F438B"/>
    <w:rsid w:val="007F4484"/>
    <w:rsid w:val="007F5233"/>
    <w:rsid w:val="007F5455"/>
    <w:rsid w:val="007F54F2"/>
    <w:rsid w:val="007F580D"/>
    <w:rsid w:val="007F5CAA"/>
    <w:rsid w:val="007F7142"/>
    <w:rsid w:val="0080062B"/>
    <w:rsid w:val="00802C00"/>
    <w:rsid w:val="0080467A"/>
    <w:rsid w:val="0080525E"/>
    <w:rsid w:val="00805704"/>
    <w:rsid w:val="00807390"/>
    <w:rsid w:val="008112E1"/>
    <w:rsid w:val="00813EE3"/>
    <w:rsid w:val="0081428C"/>
    <w:rsid w:val="008155BC"/>
    <w:rsid w:val="008158B7"/>
    <w:rsid w:val="00815B9C"/>
    <w:rsid w:val="00815FC7"/>
    <w:rsid w:val="00816F8A"/>
    <w:rsid w:val="00817660"/>
    <w:rsid w:val="008206C2"/>
    <w:rsid w:val="00821453"/>
    <w:rsid w:val="00821FE7"/>
    <w:rsid w:val="00822CD3"/>
    <w:rsid w:val="00823505"/>
    <w:rsid w:val="00825C55"/>
    <w:rsid w:val="00826593"/>
    <w:rsid w:val="00826B02"/>
    <w:rsid w:val="00827531"/>
    <w:rsid w:val="0083189D"/>
    <w:rsid w:val="00831904"/>
    <w:rsid w:val="00831D84"/>
    <w:rsid w:val="0083221B"/>
    <w:rsid w:val="008323B8"/>
    <w:rsid w:val="00832C2D"/>
    <w:rsid w:val="00833020"/>
    <w:rsid w:val="00833391"/>
    <w:rsid w:val="008338C7"/>
    <w:rsid w:val="00834612"/>
    <w:rsid w:val="00834D02"/>
    <w:rsid w:val="00835800"/>
    <w:rsid w:val="00835CEE"/>
    <w:rsid w:val="00835D93"/>
    <w:rsid w:val="0083715F"/>
    <w:rsid w:val="00840DCB"/>
    <w:rsid w:val="00840E84"/>
    <w:rsid w:val="0084173C"/>
    <w:rsid w:val="00842AAA"/>
    <w:rsid w:val="00842CF8"/>
    <w:rsid w:val="00842F08"/>
    <w:rsid w:val="008434FA"/>
    <w:rsid w:val="008435F1"/>
    <w:rsid w:val="0084559A"/>
    <w:rsid w:val="00845A73"/>
    <w:rsid w:val="008464C4"/>
    <w:rsid w:val="008470AD"/>
    <w:rsid w:val="00847982"/>
    <w:rsid w:val="00847F40"/>
    <w:rsid w:val="00852190"/>
    <w:rsid w:val="00852BEC"/>
    <w:rsid w:val="00853247"/>
    <w:rsid w:val="00854858"/>
    <w:rsid w:val="00855553"/>
    <w:rsid w:val="0085596B"/>
    <w:rsid w:val="00855FF1"/>
    <w:rsid w:val="008565B0"/>
    <w:rsid w:val="00857B8E"/>
    <w:rsid w:val="00857EE2"/>
    <w:rsid w:val="00861B94"/>
    <w:rsid w:val="00862099"/>
    <w:rsid w:val="0086261E"/>
    <w:rsid w:val="00862FF0"/>
    <w:rsid w:val="00864A49"/>
    <w:rsid w:val="00865018"/>
    <w:rsid w:val="008654E0"/>
    <w:rsid w:val="00865FED"/>
    <w:rsid w:val="008660E3"/>
    <w:rsid w:val="008666AA"/>
    <w:rsid w:val="008676DD"/>
    <w:rsid w:val="00867A51"/>
    <w:rsid w:val="00872C40"/>
    <w:rsid w:val="0087466C"/>
    <w:rsid w:val="008748A1"/>
    <w:rsid w:val="00874F10"/>
    <w:rsid w:val="008756E0"/>
    <w:rsid w:val="00876AB5"/>
    <w:rsid w:val="00881A20"/>
    <w:rsid w:val="0088226E"/>
    <w:rsid w:val="00884910"/>
    <w:rsid w:val="00884D2D"/>
    <w:rsid w:val="008862A0"/>
    <w:rsid w:val="00886C17"/>
    <w:rsid w:val="00887486"/>
    <w:rsid w:val="00890772"/>
    <w:rsid w:val="00890AA2"/>
    <w:rsid w:val="00891016"/>
    <w:rsid w:val="00891D4A"/>
    <w:rsid w:val="008927A8"/>
    <w:rsid w:val="0089395C"/>
    <w:rsid w:val="0089433A"/>
    <w:rsid w:val="008944E0"/>
    <w:rsid w:val="00894B89"/>
    <w:rsid w:val="00894CDA"/>
    <w:rsid w:val="00895997"/>
    <w:rsid w:val="0089669E"/>
    <w:rsid w:val="0089696F"/>
    <w:rsid w:val="008969E2"/>
    <w:rsid w:val="00896A6F"/>
    <w:rsid w:val="00896C04"/>
    <w:rsid w:val="00896E97"/>
    <w:rsid w:val="00897897"/>
    <w:rsid w:val="008A0C1A"/>
    <w:rsid w:val="008A1274"/>
    <w:rsid w:val="008A3030"/>
    <w:rsid w:val="008A3583"/>
    <w:rsid w:val="008A44FC"/>
    <w:rsid w:val="008A4A75"/>
    <w:rsid w:val="008A4EA7"/>
    <w:rsid w:val="008A50BE"/>
    <w:rsid w:val="008A5BD0"/>
    <w:rsid w:val="008A61CA"/>
    <w:rsid w:val="008B00B1"/>
    <w:rsid w:val="008B0BE8"/>
    <w:rsid w:val="008B0F65"/>
    <w:rsid w:val="008B10E8"/>
    <w:rsid w:val="008B189B"/>
    <w:rsid w:val="008B4622"/>
    <w:rsid w:val="008B46BB"/>
    <w:rsid w:val="008B539B"/>
    <w:rsid w:val="008B56B4"/>
    <w:rsid w:val="008C350D"/>
    <w:rsid w:val="008C42F6"/>
    <w:rsid w:val="008C43FE"/>
    <w:rsid w:val="008C47D9"/>
    <w:rsid w:val="008C4CE6"/>
    <w:rsid w:val="008C50CA"/>
    <w:rsid w:val="008C5417"/>
    <w:rsid w:val="008C54FE"/>
    <w:rsid w:val="008C6149"/>
    <w:rsid w:val="008C70AB"/>
    <w:rsid w:val="008D14C9"/>
    <w:rsid w:val="008D3363"/>
    <w:rsid w:val="008D3C74"/>
    <w:rsid w:val="008D58B6"/>
    <w:rsid w:val="008D598A"/>
    <w:rsid w:val="008D59CE"/>
    <w:rsid w:val="008D5FBF"/>
    <w:rsid w:val="008D67DE"/>
    <w:rsid w:val="008D6A9A"/>
    <w:rsid w:val="008D6BF3"/>
    <w:rsid w:val="008D6DEE"/>
    <w:rsid w:val="008D7DA8"/>
    <w:rsid w:val="008E0FAC"/>
    <w:rsid w:val="008E1153"/>
    <w:rsid w:val="008E2215"/>
    <w:rsid w:val="008E2743"/>
    <w:rsid w:val="008E3BBC"/>
    <w:rsid w:val="008E4546"/>
    <w:rsid w:val="008E6071"/>
    <w:rsid w:val="008E70C8"/>
    <w:rsid w:val="008E73AB"/>
    <w:rsid w:val="008E743E"/>
    <w:rsid w:val="008F0E3D"/>
    <w:rsid w:val="008F2AD0"/>
    <w:rsid w:val="008F2C1C"/>
    <w:rsid w:val="008F3344"/>
    <w:rsid w:val="008F36AF"/>
    <w:rsid w:val="008F3721"/>
    <w:rsid w:val="008F3AE6"/>
    <w:rsid w:val="008F509B"/>
    <w:rsid w:val="008F5217"/>
    <w:rsid w:val="008F5C67"/>
    <w:rsid w:val="008F5DB0"/>
    <w:rsid w:val="008F61BB"/>
    <w:rsid w:val="008F77B4"/>
    <w:rsid w:val="00900F35"/>
    <w:rsid w:val="00900F5B"/>
    <w:rsid w:val="009016F8"/>
    <w:rsid w:val="009021DC"/>
    <w:rsid w:val="0090454F"/>
    <w:rsid w:val="00904BFC"/>
    <w:rsid w:val="009052C4"/>
    <w:rsid w:val="0090672F"/>
    <w:rsid w:val="00906B05"/>
    <w:rsid w:val="00906C30"/>
    <w:rsid w:val="00907754"/>
    <w:rsid w:val="00910166"/>
    <w:rsid w:val="009110E7"/>
    <w:rsid w:val="00911139"/>
    <w:rsid w:val="00913848"/>
    <w:rsid w:val="00913C59"/>
    <w:rsid w:val="00914E00"/>
    <w:rsid w:val="00915B34"/>
    <w:rsid w:val="00915EC2"/>
    <w:rsid w:val="009160DC"/>
    <w:rsid w:val="0091639A"/>
    <w:rsid w:val="00916B14"/>
    <w:rsid w:val="00916DBF"/>
    <w:rsid w:val="00916F7D"/>
    <w:rsid w:val="00917F28"/>
    <w:rsid w:val="009204E9"/>
    <w:rsid w:val="00922321"/>
    <w:rsid w:val="00922BFB"/>
    <w:rsid w:val="009243C8"/>
    <w:rsid w:val="009244A9"/>
    <w:rsid w:val="00925056"/>
    <w:rsid w:val="009309CB"/>
    <w:rsid w:val="0093111D"/>
    <w:rsid w:val="00931F88"/>
    <w:rsid w:val="00933379"/>
    <w:rsid w:val="00933BA4"/>
    <w:rsid w:val="00934E61"/>
    <w:rsid w:val="00935023"/>
    <w:rsid w:val="009350D4"/>
    <w:rsid w:val="0093701D"/>
    <w:rsid w:val="00937AE7"/>
    <w:rsid w:val="00937E01"/>
    <w:rsid w:val="009401AB"/>
    <w:rsid w:val="009401D4"/>
    <w:rsid w:val="0094031A"/>
    <w:rsid w:val="00940CCD"/>
    <w:rsid w:val="009418E7"/>
    <w:rsid w:val="00941DFC"/>
    <w:rsid w:val="00942C14"/>
    <w:rsid w:val="009430DE"/>
    <w:rsid w:val="009449D7"/>
    <w:rsid w:val="00944A13"/>
    <w:rsid w:val="009456E6"/>
    <w:rsid w:val="00945E9E"/>
    <w:rsid w:val="00945F51"/>
    <w:rsid w:val="00946FD1"/>
    <w:rsid w:val="009504C9"/>
    <w:rsid w:val="009504FC"/>
    <w:rsid w:val="00951864"/>
    <w:rsid w:val="00956555"/>
    <w:rsid w:val="00956772"/>
    <w:rsid w:val="009576CE"/>
    <w:rsid w:val="009617DC"/>
    <w:rsid w:val="00962935"/>
    <w:rsid w:val="00962C9E"/>
    <w:rsid w:val="009633CB"/>
    <w:rsid w:val="00963C63"/>
    <w:rsid w:val="0096466E"/>
    <w:rsid w:val="00964FAD"/>
    <w:rsid w:val="00965CD1"/>
    <w:rsid w:val="00966B5C"/>
    <w:rsid w:val="00967D47"/>
    <w:rsid w:val="009703DC"/>
    <w:rsid w:val="009708D2"/>
    <w:rsid w:val="00970DF0"/>
    <w:rsid w:val="00971064"/>
    <w:rsid w:val="009716D4"/>
    <w:rsid w:val="0097281F"/>
    <w:rsid w:val="00972841"/>
    <w:rsid w:val="00972BD1"/>
    <w:rsid w:val="00972EEE"/>
    <w:rsid w:val="0097307A"/>
    <w:rsid w:val="00973B88"/>
    <w:rsid w:val="00976213"/>
    <w:rsid w:val="00976400"/>
    <w:rsid w:val="009776A8"/>
    <w:rsid w:val="0098056E"/>
    <w:rsid w:val="00980777"/>
    <w:rsid w:val="00980F6F"/>
    <w:rsid w:val="009830C2"/>
    <w:rsid w:val="00983363"/>
    <w:rsid w:val="0098431A"/>
    <w:rsid w:val="0098436B"/>
    <w:rsid w:val="00984BE9"/>
    <w:rsid w:val="0098577D"/>
    <w:rsid w:val="00985D7E"/>
    <w:rsid w:val="00986281"/>
    <w:rsid w:val="00987F5D"/>
    <w:rsid w:val="00990964"/>
    <w:rsid w:val="009910A7"/>
    <w:rsid w:val="00991316"/>
    <w:rsid w:val="0099338F"/>
    <w:rsid w:val="00993C0F"/>
    <w:rsid w:val="00994872"/>
    <w:rsid w:val="00994DC6"/>
    <w:rsid w:val="00995C48"/>
    <w:rsid w:val="00995D0B"/>
    <w:rsid w:val="009966EE"/>
    <w:rsid w:val="0099716B"/>
    <w:rsid w:val="00997E6B"/>
    <w:rsid w:val="009A0176"/>
    <w:rsid w:val="009A08BE"/>
    <w:rsid w:val="009A134D"/>
    <w:rsid w:val="009A1DD7"/>
    <w:rsid w:val="009A214F"/>
    <w:rsid w:val="009A2AB1"/>
    <w:rsid w:val="009A4EC7"/>
    <w:rsid w:val="009A5120"/>
    <w:rsid w:val="009A5C5C"/>
    <w:rsid w:val="009A6A15"/>
    <w:rsid w:val="009A6C3D"/>
    <w:rsid w:val="009B0226"/>
    <w:rsid w:val="009B06D1"/>
    <w:rsid w:val="009B102D"/>
    <w:rsid w:val="009B1403"/>
    <w:rsid w:val="009B210B"/>
    <w:rsid w:val="009B2235"/>
    <w:rsid w:val="009B490E"/>
    <w:rsid w:val="009B6416"/>
    <w:rsid w:val="009B7A4C"/>
    <w:rsid w:val="009B7B73"/>
    <w:rsid w:val="009C0599"/>
    <w:rsid w:val="009C11FD"/>
    <w:rsid w:val="009C217D"/>
    <w:rsid w:val="009C3719"/>
    <w:rsid w:val="009C3A7F"/>
    <w:rsid w:val="009C3E20"/>
    <w:rsid w:val="009C3E4C"/>
    <w:rsid w:val="009C5460"/>
    <w:rsid w:val="009C602E"/>
    <w:rsid w:val="009C72ED"/>
    <w:rsid w:val="009D0760"/>
    <w:rsid w:val="009D09A0"/>
    <w:rsid w:val="009D0CFB"/>
    <w:rsid w:val="009D1B63"/>
    <w:rsid w:val="009D2FCC"/>
    <w:rsid w:val="009D5072"/>
    <w:rsid w:val="009D5D76"/>
    <w:rsid w:val="009E17E4"/>
    <w:rsid w:val="009E2D33"/>
    <w:rsid w:val="009E33AF"/>
    <w:rsid w:val="009E3734"/>
    <w:rsid w:val="009E5145"/>
    <w:rsid w:val="009E7AE9"/>
    <w:rsid w:val="009E7FEE"/>
    <w:rsid w:val="009F2459"/>
    <w:rsid w:val="009F2B6F"/>
    <w:rsid w:val="009F395A"/>
    <w:rsid w:val="009F3C99"/>
    <w:rsid w:val="009F466C"/>
    <w:rsid w:val="009F49F7"/>
    <w:rsid w:val="009F5103"/>
    <w:rsid w:val="009F6473"/>
    <w:rsid w:val="009F7910"/>
    <w:rsid w:val="009F79B2"/>
    <w:rsid w:val="00A01B34"/>
    <w:rsid w:val="00A02DF9"/>
    <w:rsid w:val="00A043AF"/>
    <w:rsid w:val="00A0511F"/>
    <w:rsid w:val="00A05D84"/>
    <w:rsid w:val="00A0632A"/>
    <w:rsid w:val="00A06632"/>
    <w:rsid w:val="00A06B0F"/>
    <w:rsid w:val="00A109CD"/>
    <w:rsid w:val="00A10AB8"/>
    <w:rsid w:val="00A11129"/>
    <w:rsid w:val="00A1370B"/>
    <w:rsid w:val="00A1392F"/>
    <w:rsid w:val="00A14877"/>
    <w:rsid w:val="00A16486"/>
    <w:rsid w:val="00A17A46"/>
    <w:rsid w:val="00A202CD"/>
    <w:rsid w:val="00A20F88"/>
    <w:rsid w:val="00A21185"/>
    <w:rsid w:val="00A21878"/>
    <w:rsid w:val="00A21C90"/>
    <w:rsid w:val="00A21F07"/>
    <w:rsid w:val="00A21F62"/>
    <w:rsid w:val="00A223CB"/>
    <w:rsid w:val="00A23568"/>
    <w:rsid w:val="00A236DC"/>
    <w:rsid w:val="00A25CE3"/>
    <w:rsid w:val="00A265D7"/>
    <w:rsid w:val="00A26E20"/>
    <w:rsid w:val="00A272B2"/>
    <w:rsid w:val="00A2743D"/>
    <w:rsid w:val="00A27C59"/>
    <w:rsid w:val="00A27CEB"/>
    <w:rsid w:val="00A30FD7"/>
    <w:rsid w:val="00A31276"/>
    <w:rsid w:val="00A31BFA"/>
    <w:rsid w:val="00A32B78"/>
    <w:rsid w:val="00A33A66"/>
    <w:rsid w:val="00A33BDD"/>
    <w:rsid w:val="00A33F85"/>
    <w:rsid w:val="00A345DD"/>
    <w:rsid w:val="00A34A6C"/>
    <w:rsid w:val="00A34B82"/>
    <w:rsid w:val="00A3607C"/>
    <w:rsid w:val="00A36089"/>
    <w:rsid w:val="00A36911"/>
    <w:rsid w:val="00A36B64"/>
    <w:rsid w:val="00A40721"/>
    <w:rsid w:val="00A421C2"/>
    <w:rsid w:val="00A42628"/>
    <w:rsid w:val="00A4438A"/>
    <w:rsid w:val="00A45BFB"/>
    <w:rsid w:val="00A46CC5"/>
    <w:rsid w:val="00A51174"/>
    <w:rsid w:val="00A51C03"/>
    <w:rsid w:val="00A528F4"/>
    <w:rsid w:val="00A52A65"/>
    <w:rsid w:val="00A53584"/>
    <w:rsid w:val="00A560A1"/>
    <w:rsid w:val="00A57217"/>
    <w:rsid w:val="00A6011A"/>
    <w:rsid w:val="00A60B45"/>
    <w:rsid w:val="00A61C4D"/>
    <w:rsid w:val="00A640EC"/>
    <w:rsid w:val="00A650C7"/>
    <w:rsid w:val="00A65F56"/>
    <w:rsid w:val="00A6607B"/>
    <w:rsid w:val="00A67BC1"/>
    <w:rsid w:val="00A71973"/>
    <w:rsid w:val="00A7406F"/>
    <w:rsid w:val="00A7489E"/>
    <w:rsid w:val="00A75349"/>
    <w:rsid w:val="00A754B5"/>
    <w:rsid w:val="00A76E45"/>
    <w:rsid w:val="00A77A9A"/>
    <w:rsid w:val="00A77C71"/>
    <w:rsid w:val="00A808F0"/>
    <w:rsid w:val="00A814CD"/>
    <w:rsid w:val="00A81573"/>
    <w:rsid w:val="00A821FB"/>
    <w:rsid w:val="00A85188"/>
    <w:rsid w:val="00A855E9"/>
    <w:rsid w:val="00A86506"/>
    <w:rsid w:val="00A86907"/>
    <w:rsid w:val="00A87B67"/>
    <w:rsid w:val="00A905D9"/>
    <w:rsid w:val="00A9081C"/>
    <w:rsid w:val="00A908BB"/>
    <w:rsid w:val="00A915F3"/>
    <w:rsid w:val="00A92D0E"/>
    <w:rsid w:val="00A9310E"/>
    <w:rsid w:val="00A940A4"/>
    <w:rsid w:val="00A94A2C"/>
    <w:rsid w:val="00A94AD7"/>
    <w:rsid w:val="00A96387"/>
    <w:rsid w:val="00A97380"/>
    <w:rsid w:val="00A97902"/>
    <w:rsid w:val="00AA091A"/>
    <w:rsid w:val="00AA0F23"/>
    <w:rsid w:val="00AA11FD"/>
    <w:rsid w:val="00AA1727"/>
    <w:rsid w:val="00AA174B"/>
    <w:rsid w:val="00AA24CD"/>
    <w:rsid w:val="00AA282C"/>
    <w:rsid w:val="00AA327F"/>
    <w:rsid w:val="00AA40BE"/>
    <w:rsid w:val="00AA59C6"/>
    <w:rsid w:val="00AA7E2D"/>
    <w:rsid w:val="00AB0467"/>
    <w:rsid w:val="00AB12F6"/>
    <w:rsid w:val="00AB1A7C"/>
    <w:rsid w:val="00AB1D9F"/>
    <w:rsid w:val="00AB1EAF"/>
    <w:rsid w:val="00AB31F3"/>
    <w:rsid w:val="00AB53E2"/>
    <w:rsid w:val="00AB5817"/>
    <w:rsid w:val="00AB70F2"/>
    <w:rsid w:val="00AB76E8"/>
    <w:rsid w:val="00AC0457"/>
    <w:rsid w:val="00AC1329"/>
    <w:rsid w:val="00AC2B5E"/>
    <w:rsid w:val="00AC3AA5"/>
    <w:rsid w:val="00AC4A9A"/>
    <w:rsid w:val="00AC6870"/>
    <w:rsid w:val="00AC74A3"/>
    <w:rsid w:val="00AC7A14"/>
    <w:rsid w:val="00AC7CC3"/>
    <w:rsid w:val="00AD10CE"/>
    <w:rsid w:val="00AD11FB"/>
    <w:rsid w:val="00AD4F25"/>
    <w:rsid w:val="00AD64D9"/>
    <w:rsid w:val="00AD7211"/>
    <w:rsid w:val="00AD7BF3"/>
    <w:rsid w:val="00AE00F3"/>
    <w:rsid w:val="00AE0315"/>
    <w:rsid w:val="00AE1051"/>
    <w:rsid w:val="00AE2426"/>
    <w:rsid w:val="00AE324C"/>
    <w:rsid w:val="00AE355C"/>
    <w:rsid w:val="00AE4869"/>
    <w:rsid w:val="00AE5261"/>
    <w:rsid w:val="00AE53F2"/>
    <w:rsid w:val="00AE58F4"/>
    <w:rsid w:val="00AE5EA2"/>
    <w:rsid w:val="00AE62E9"/>
    <w:rsid w:val="00AE70B9"/>
    <w:rsid w:val="00AF01F4"/>
    <w:rsid w:val="00AF0CD7"/>
    <w:rsid w:val="00AF0E48"/>
    <w:rsid w:val="00AF0FDC"/>
    <w:rsid w:val="00AF106D"/>
    <w:rsid w:val="00AF17FA"/>
    <w:rsid w:val="00AF4892"/>
    <w:rsid w:val="00AF505F"/>
    <w:rsid w:val="00AF795F"/>
    <w:rsid w:val="00B0041C"/>
    <w:rsid w:val="00B0152B"/>
    <w:rsid w:val="00B01931"/>
    <w:rsid w:val="00B02192"/>
    <w:rsid w:val="00B02E8A"/>
    <w:rsid w:val="00B03188"/>
    <w:rsid w:val="00B03529"/>
    <w:rsid w:val="00B03E4F"/>
    <w:rsid w:val="00B078B5"/>
    <w:rsid w:val="00B07E1B"/>
    <w:rsid w:val="00B11416"/>
    <w:rsid w:val="00B13BDA"/>
    <w:rsid w:val="00B13E01"/>
    <w:rsid w:val="00B157AA"/>
    <w:rsid w:val="00B16608"/>
    <w:rsid w:val="00B16712"/>
    <w:rsid w:val="00B1736B"/>
    <w:rsid w:val="00B1767C"/>
    <w:rsid w:val="00B17F4F"/>
    <w:rsid w:val="00B2048D"/>
    <w:rsid w:val="00B20B5D"/>
    <w:rsid w:val="00B20BD4"/>
    <w:rsid w:val="00B23683"/>
    <w:rsid w:val="00B24B40"/>
    <w:rsid w:val="00B24C20"/>
    <w:rsid w:val="00B253F3"/>
    <w:rsid w:val="00B26857"/>
    <w:rsid w:val="00B26BB3"/>
    <w:rsid w:val="00B27D3E"/>
    <w:rsid w:val="00B30096"/>
    <w:rsid w:val="00B306EB"/>
    <w:rsid w:val="00B30D29"/>
    <w:rsid w:val="00B3209F"/>
    <w:rsid w:val="00B35734"/>
    <w:rsid w:val="00B357A8"/>
    <w:rsid w:val="00B36A7A"/>
    <w:rsid w:val="00B37823"/>
    <w:rsid w:val="00B37D52"/>
    <w:rsid w:val="00B417F0"/>
    <w:rsid w:val="00B4218E"/>
    <w:rsid w:val="00B42350"/>
    <w:rsid w:val="00B42EA5"/>
    <w:rsid w:val="00B433E9"/>
    <w:rsid w:val="00B43EEC"/>
    <w:rsid w:val="00B441CD"/>
    <w:rsid w:val="00B44BB6"/>
    <w:rsid w:val="00B45310"/>
    <w:rsid w:val="00B468E3"/>
    <w:rsid w:val="00B47246"/>
    <w:rsid w:val="00B4738B"/>
    <w:rsid w:val="00B475D2"/>
    <w:rsid w:val="00B47A8D"/>
    <w:rsid w:val="00B47B1C"/>
    <w:rsid w:val="00B5002B"/>
    <w:rsid w:val="00B521E3"/>
    <w:rsid w:val="00B52258"/>
    <w:rsid w:val="00B53056"/>
    <w:rsid w:val="00B562CE"/>
    <w:rsid w:val="00B56B9A"/>
    <w:rsid w:val="00B574E8"/>
    <w:rsid w:val="00B57CE7"/>
    <w:rsid w:val="00B60763"/>
    <w:rsid w:val="00B60C86"/>
    <w:rsid w:val="00B62318"/>
    <w:rsid w:val="00B62681"/>
    <w:rsid w:val="00B642FE"/>
    <w:rsid w:val="00B66393"/>
    <w:rsid w:val="00B66583"/>
    <w:rsid w:val="00B72059"/>
    <w:rsid w:val="00B72080"/>
    <w:rsid w:val="00B738F8"/>
    <w:rsid w:val="00B73D24"/>
    <w:rsid w:val="00B74876"/>
    <w:rsid w:val="00B75354"/>
    <w:rsid w:val="00B75D09"/>
    <w:rsid w:val="00B76874"/>
    <w:rsid w:val="00B76DFF"/>
    <w:rsid w:val="00B76FFA"/>
    <w:rsid w:val="00B770B9"/>
    <w:rsid w:val="00B773AE"/>
    <w:rsid w:val="00B77408"/>
    <w:rsid w:val="00B77A7E"/>
    <w:rsid w:val="00B80066"/>
    <w:rsid w:val="00B809DC"/>
    <w:rsid w:val="00B8133E"/>
    <w:rsid w:val="00B821C5"/>
    <w:rsid w:val="00B821FC"/>
    <w:rsid w:val="00B82351"/>
    <w:rsid w:val="00B824F8"/>
    <w:rsid w:val="00B82837"/>
    <w:rsid w:val="00B82F08"/>
    <w:rsid w:val="00B83397"/>
    <w:rsid w:val="00B835BC"/>
    <w:rsid w:val="00B836E4"/>
    <w:rsid w:val="00B83BDE"/>
    <w:rsid w:val="00B84835"/>
    <w:rsid w:val="00B84F62"/>
    <w:rsid w:val="00B84FD1"/>
    <w:rsid w:val="00B8526A"/>
    <w:rsid w:val="00B864B6"/>
    <w:rsid w:val="00B87234"/>
    <w:rsid w:val="00B87385"/>
    <w:rsid w:val="00B879A4"/>
    <w:rsid w:val="00B87A9F"/>
    <w:rsid w:val="00B910CE"/>
    <w:rsid w:val="00B91BE7"/>
    <w:rsid w:val="00B94940"/>
    <w:rsid w:val="00B94D44"/>
    <w:rsid w:val="00B950F0"/>
    <w:rsid w:val="00B95286"/>
    <w:rsid w:val="00B9629B"/>
    <w:rsid w:val="00B967FD"/>
    <w:rsid w:val="00B9709B"/>
    <w:rsid w:val="00B9710B"/>
    <w:rsid w:val="00BA0DBD"/>
    <w:rsid w:val="00BA170C"/>
    <w:rsid w:val="00BA1845"/>
    <w:rsid w:val="00BA1FF3"/>
    <w:rsid w:val="00BA20B7"/>
    <w:rsid w:val="00BA31F1"/>
    <w:rsid w:val="00BA3938"/>
    <w:rsid w:val="00BA52F4"/>
    <w:rsid w:val="00BA5A97"/>
    <w:rsid w:val="00BA64DD"/>
    <w:rsid w:val="00BA6CAC"/>
    <w:rsid w:val="00BB0351"/>
    <w:rsid w:val="00BB1684"/>
    <w:rsid w:val="00BB1F1E"/>
    <w:rsid w:val="00BB33F8"/>
    <w:rsid w:val="00BB364B"/>
    <w:rsid w:val="00BB390A"/>
    <w:rsid w:val="00BB4851"/>
    <w:rsid w:val="00BB5C9A"/>
    <w:rsid w:val="00BB6CF0"/>
    <w:rsid w:val="00BB7315"/>
    <w:rsid w:val="00BB7D7D"/>
    <w:rsid w:val="00BC0C53"/>
    <w:rsid w:val="00BC116F"/>
    <w:rsid w:val="00BC3161"/>
    <w:rsid w:val="00BC3455"/>
    <w:rsid w:val="00BC35AD"/>
    <w:rsid w:val="00BC4339"/>
    <w:rsid w:val="00BC457A"/>
    <w:rsid w:val="00BC4658"/>
    <w:rsid w:val="00BC487E"/>
    <w:rsid w:val="00BC489F"/>
    <w:rsid w:val="00BC4F11"/>
    <w:rsid w:val="00BC5C18"/>
    <w:rsid w:val="00BC7018"/>
    <w:rsid w:val="00BC70D9"/>
    <w:rsid w:val="00BC75E9"/>
    <w:rsid w:val="00BD0E41"/>
    <w:rsid w:val="00BD10FD"/>
    <w:rsid w:val="00BD130A"/>
    <w:rsid w:val="00BD23A4"/>
    <w:rsid w:val="00BD2705"/>
    <w:rsid w:val="00BD2952"/>
    <w:rsid w:val="00BD445D"/>
    <w:rsid w:val="00BD449E"/>
    <w:rsid w:val="00BD5D59"/>
    <w:rsid w:val="00BD5DB7"/>
    <w:rsid w:val="00BD6F63"/>
    <w:rsid w:val="00BE02C1"/>
    <w:rsid w:val="00BE2B42"/>
    <w:rsid w:val="00BE3799"/>
    <w:rsid w:val="00BE4789"/>
    <w:rsid w:val="00BE5243"/>
    <w:rsid w:val="00BE5B0E"/>
    <w:rsid w:val="00BE6DEF"/>
    <w:rsid w:val="00BF08BB"/>
    <w:rsid w:val="00BF1E22"/>
    <w:rsid w:val="00BF1FF3"/>
    <w:rsid w:val="00BF2234"/>
    <w:rsid w:val="00BF2D5A"/>
    <w:rsid w:val="00BF3030"/>
    <w:rsid w:val="00BF45D5"/>
    <w:rsid w:val="00BF4C61"/>
    <w:rsid w:val="00BF4FB2"/>
    <w:rsid w:val="00BF66A4"/>
    <w:rsid w:val="00BF6969"/>
    <w:rsid w:val="00BF6D22"/>
    <w:rsid w:val="00BF7000"/>
    <w:rsid w:val="00C00B05"/>
    <w:rsid w:val="00C01614"/>
    <w:rsid w:val="00C02211"/>
    <w:rsid w:val="00C025ED"/>
    <w:rsid w:val="00C02FEB"/>
    <w:rsid w:val="00C03A23"/>
    <w:rsid w:val="00C042DF"/>
    <w:rsid w:val="00C04D2E"/>
    <w:rsid w:val="00C04F94"/>
    <w:rsid w:val="00C05226"/>
    <w:rsid w:val="00C0548F"/>
    <w:rsid w:val="00C05692"/>
    <w:rsid w:val="00C058C5"/>
    <w:rsid w:val="00C072F9"/>
    <w:rsid w:val="00C07AFA"/>
    <w:rsid w:val="00C07B6D"/>
    <w:rsid w:val="00C07E29"/>
    <w:rsid w:val="00C106AA"/>
    <w:rsid w:val="00C11C2D"/>
    <w:rsid w:val="00C11CB7"/>
    <w:rsid w:val="00C1234A"/>
    <w:rsid w:val="00C12FAB"/>
    <w:rsid w:val="00C13BA1"/>
    <w:rsid w:val="00C13BAF"/>
    <w:rsid w:val="00C14325"/>
    <w:rsid w:val="00C147E2"/>
    <w:rsid w:val="00C1550C"/>
    <w:rsid w:val="00C15AE7"/>
    <w:rsid w:val="00C1653F"/>
    <w:rsid w:val="00C17EA6"/>
    <w:rsid w:val="00C20929"/>
    <w:rsid w:val="00C21165"/>
    <w:rsid w:val="00C22088"/>
    <w:rsid w:val="00C22A57"/>
    <w:rsid w:val="00C25B8A"/>
    <w:rsid w:val="00C25B8C"/>
    <w:rsid w:val="00C260A6"/>
    <w:rsid w:val="00C27D21"/>
    <w:rsid w:val="00C30E15"/>
    <w:rsid w:val="00C312E1"/>
    <w:rsid w:val="00C314E2"/>
    <w:rsid w:val="00C325E7"/>
    <w:rsid w:val="00C34911"/>
    <w:rsid w:val="00C34A17"/>
    <w:rsid w:val="00C37801"/>
    <w:rsid w:val="00C424CB"/>
    <w:rsid w:val="00C42866"/>
    <w:rsid w:val="00C433EE"/>
    <w:rsid w:val="00C4441F"/>
    <w:rsid w:val="00C45B88"/>
    <w:rsid w:val="00C477BD"/>
    <w:rsid w:val="00C47B7B"/>
    <w:rsid w:val="00C50034"/>
    <w:rsid w:val="00C5216C"/>
    <w:rsid w:val="00C53814"/>
    <w:rsid w:val="00C543B4"/>
    <w:rsid w:val="00C5470A"/>
    <w:rsid w:val="00C54816"/>
    <w:rsid w:val="00C54D27"/>
    <w:rsid w:val="00C55511"/>
    <w:rsid w:val="00C558F1"/>
    <w:rsid w:val="00C559FA"/>
    <w:rsid w:val="00C55F07"/>
    <w:rsid w:val="00C56546"/>
    <w:rsid w:val="00C571F8"/>
    <w:rsid w:val="00C57FFC"/>
    <w:rsid w:val="00C60C43"/>
    <w:rsid w:val="00C62F5F"/>
    <w:rsid w:val="00C63781"/>
    <w:rsid w:val="00C64263"/>
    <w:rsid w:val="00C6496F"/>
    <w:rsid w:val="00C654E2"/>
    <w:rsid w:val="00C65A60"/>
    <w:rsid w:val="00C66624"/>
    <w:rsid w:val="00C67BE4"/>
    <w:rsid w:val="00C70395"/>
    <w:rsid w:val="00C704D2"/>
    <w:rsid w:val="00C7142D"/>
    <w:rsid w:val="00C731AE"/>
    <w:rsid w:val="00C74D6C"/>
    <w:rsid w:val="00C7607A"/>
    <w:rsid w:val="00C76EB6"/>
    <w:rsid w:val="00C77DB0"/>
    <w:rsid w:val="00C801C8"/>
    <w:rsid w:val="00C801DB"/>
    <w:rsid w:val="00C81F61"/>
    <w:rsid w:val="00C821C0"/>
    <w:rsid w:val="00C82B60"/>
    <w:rsid w:val="00C82D29"/>
    <w:rsid w:val="00C84616"/>
    <w:rsid w:val="00C85AD7"/>
    <w:rsid w:val="00C85BE6"/>
    <w:rsid w:val="00C86396"/>
    <w:rsid w:val="00C86F5F"/>
    <w:rsid w:val="00C87027"/>
    <w:rsid w:val="00C870FA"/>
    <w:rsid w:val="00C87F37"/>
    <w:rsid w:val="00C900E9"/>
    <w:rsid w:val="00C904EA"/>
    <w:rsid w:val="00C907C6"/>
    <w:rsid w:val="00C91491"/>
    <w:rsid w:val="00C92CCC"/>
    <w:rsid w:val="00C930C7"/>
    <w:rsid w:val="00C9376B"/>
    <w:rsid w:val="00C9442D"/>
    <w:rsid w:val="00C9452A"/>
    <w:rsid w:val="00C94F74"/>
    <w:rsid w:val="00C97FF0"/>
    <w:rsid w:val="00CA128C"/>
    <w:rsid w:val="00CA1723"/>
    <w:rsid w:val="00CA17E6"/>
    <w:rsid w:val="00CA1A7F"/>
    <w:rsid w:val="00CA2B9D"/>
    <w:rsid w:val="00CA2D0E"/>
    <w:rsid w:val="00CA3BE9"/>
    <w:rsid w:val="00CA3C4B"/>
    <w:rsid w:val="00CA4012"/>
    <w:rsid w:val="00CA4D9C"/>
    <w:rsid w:val="00CA5080"/>
    <w:rsid w:val="00CA5D24"/>
    <w:rsid w:val="00CA6F2A"/>
    <w:rsid w:val="00CA72AD"/>
    <w:rsid w:val="00CA72FF"/>
    <w:rsid w:val="00CA7808"/>
    <w:rsid w:val="00CA7AC2"/>
    <w:rsid w:val="00CB0C2D"/>
    <w:rsid w:val="00CB2065"/>
    <w:rsid w:val="00CB21D5"/>
    <w:rsid w:val="00CB265B"/>
    <w:rsid w:val="00CB40D8"/>
    <w:rsid w:val="00CB41A2"/>
    <w:rsid w:val="00CB59B3"/>
    <w:rsid w:val="00CB5BE8"/>
    <w:rsid w:val="00CB632A"/>
    <w:rsid w:val="00CB63F9"/>
    <w:rsid w:val="00CB6456"/>
    <w:rsid w:val="00CC0542"/>
    <w:rsid w:val="00CC1245"/>
    <w:rsid w:val="00CC19CC"/>
    <w:rsid w:val="00CC2C67"/>
    <w:rsid w:val="00CC2E7F"/>
    <w:rsid w:val="00CC356E"/>
    <w:rsid w:val="00CC36D0"/>
    <w:rsid w:val="00CC378F"/>
    <w:rsid w:val="00CC3F10"/>
    <w:rsid w:val="00CC6501"/>
    <w:rsid w:val="00CC6839"/>
    <w:rsid w:val="00CC68F8"/>
    <w:rsid w:val="00CD019C"/>
    <w:rsid w:val="00CD0741"/>
    <w:rsid w:val="00CD0968"/>
    <w:rsid w:val="00CD0C13"/>
    <w:rsid w:val="00CD1A03"/>
    <w:rsid w:val="00CD2112"/>
    <w:rsid w:val="00CD2BE7"/>
    <w:rsid w:val="00CD2E0A"/>
    <w:rsid w:val="00CD3B6B"/>
    <w:rsid w:val="00CD3BD2"/>
    <w:rsid w:val="00CD4447"/>
    <w:rsid w:val="00CD4515"/>
    <w:rsid w:val="00CD4F36"/>
    <w:rsid w:val="00CD5356"/>
    <w:rsid w:val="00CD5DC5"/>
    <w:rsid w:val="00CD617B"/>
    <w:rsid w:val="00CD61CA"/>
    <w:rsid w:val="00CD6650"/>
    <w:rsid w:val="00CD7805"/>
    <w:rsid w:val="00CD7FD8"/>
    <w:rsid w:val="00CE157D"/>
    <w:rsid w:val="00CE1D91"/>
    <w:rsid w:val="00CE1F8F"/>
    <w:rsid w:val="00CE3C1B"/>
    <w:rsid w:val="00CE3D23"/>
    <w:rsid w:val="00CE487C"/>
    <w:rsid w:val="00CE4894"/>
    <w:rsid w:val="00CE590C"/>
    <w:rsid w:val="00CE5EF5"/>
    <w:rsid w:val="00CE6722"/>
    <w:rsid w:val="00CE6C37"/>
    <w:rsid w:val="00CF1C5B"/>
    <w:rsid w:val="00CF3043"/>
    <w:rsid w:val="00CF355F"/>
    <w:rsid w:val="00CF3FD9"/>
    <w:rsid w:val="00CF43D3"/>
    <w:rsid w:val="00CF4DAF"/>
    <w:rsid w:val="00CF62E7"/>
    <w:rsid w:val="00CF6642"/>
    <w:rsid w:val="00CF6B63"/>
    <w:rsid w:val="00CF7059"/>
    <w:rsid w:val="00CF7EC3"/>
    <w:rsid w:val="00D0092E"/>
    <w:rsid w:val="00D00B3A"/>
    <w:rsid w:val="00D00C3D"/>
    <w:rsid w:val="00D01D0D"/>
    <w:rsid w:val="00D02307"/>
    <w:rsid w:val="00D03220"/>
    <w:rsid w:val="00D04112"/>
    <w:rsid w:val="00D06227"/>
    <w:rsid w:val="00D06352"/>
    <w:rsid w:val="00D073EA"/>
    <w:rsid w:val="00D07F81"/>
    <w:rsid w:val="00D10A36"/>
    <w:rsid w:val="00D11624"/>
    <w:rsid w:val="00D11941"/>
    <w:rsid w:val="00D11C1E"/>
    <w:rsid w:val="00D12285"/>
    <w:rsid w:val="00D12589"/>
    <w:rsid w:val="00D12D77"/>
    <w:rsid w:val="00D15716"/>
    <w:rsid w:val="00D15718"/>
    <w:rsid w:val="00D15B9C"/>
    <w:rsid w:val="00D15D4F"/>
    <w:rsid w:val="00D17B8A"/>
    <w:rsid w:val="00D21085"/>
    <w:rsid w:val="00D21136"/>
    <w:rsid w:val="00D2164C"/>
    <w:rsid w:val="00D223B0"/>
    <w:rsid w:val="00D230E0"/>
    <w:rsid w:val="00D241CA"/>
    <w:rsid w:val="00D2426F"/>
    <w:rsid w:val="00D24837"/>
    <w:rsid w:val="00D25B46"/>
    <w:rsid w:val="00D26633"/>
    <w:rsid w:val="00D26B28"/>
    <w:rsid w:val="00D27546"/>
    <w:rsid w:val="00D2769F"/>
    <w:rsid w:val="00D27AF6"/>
    <w:rsid w:val="00D30423"/>
    <w:rsid w:val="00D30F2E"/>
    <w:rsid w:val="00D31196"/>
    <w:rsid w:val="00D31AA1"/>
    <w:rsid w:val="00D31B11"/>
    <w:rsid w:val="00D32554"/>
    <w:rsid w:val="00D325B1"/>
    <w:rsid w:val="00D32934"/>
    <w:rsid w:val="00D33112"/>
    <w:rsid w:val="00D3342C"/>
    <w:rsid w:val="00D33832"/>
    <w:rsid w:val="00D33E49"/>
    <w:rsid w:val="00D3461B"/>
    <w:rsid w:val="00D359C4"/>
    <w:rsid w:val="00D36902"/>
    <w:rsid w:val="00D36B10"/>
    <w:rsid w:val="00D40960"/>
    <w:rsid w:val="00D40CCA"/>
    <w:rsid w:val="00D41041"/>
    <w:rsid w:val="00D41291"/>
    <w:rsid w:val="00D42C96"/>
    <w:rsid w:val="00D43482"/>
    <w:rsid w:val="00D44935"/>
    <w:rsid w:val="00D462EF"/>
    <w:rsid w:val="00D46303"/>
    <w:rsid w:val="00D467B9"/>
    <w:rsid w:val="00D505FB"/>
    <w:rsid w:val="00D51677"/>
    <w:rsid w:val="00D516F1"/>
    <w:rsid w:val="00D5254B"/>
    <w:rsid w:val="00D52595"/>
    <w:rsid w:val="00D53CCC"/>
    <w:rsid w:val="00D5731E"/>
    <w:rsid w:val="00D5775F"/>
    <w:rsid w:val="00D5780C"/>
    <w:rsid w:val="00D57C99"/>
    <w:rsid w:val="00D60350"/>
    <w:rsid w:val="00D60629"/>
    <w:rsid w:val="00D6082B"/>
    <w:rsid w:val="00D61DF1"/>
    <w:rsid w:val="00D62A84"/>
    <w:rsid w:val="00D63069"/>
    <w:rsid w:val="00D63218"/>
    <w:rsid w:val="00D633BF"/>
    <w:rsid w:val="00D6603E"/>
    <w:rsid w:val="00D6661D"/>
    <w:rsid w:val="00D671C1"/>
    <w:rsid w:val="00D675DF"/>
    <w:rsid w:val="00D67B12"/>
    <w:rsid w:val="00D718B9"/>
    <w:rsid w:val="00D718DF"/>
    <w:rsid w:val="00D71FDD"/>
    <w:rsid w:val="00D722BF"/>
    <w:rsid w:val="00D72BE0"/>
    <w:rsid w:val="00D73A2D"/>
    <w:rsid w:val="00D740AD"/>
    <w:rsid w:val="00D741F2"/>
    <w:rsid w:val="00D7433B"/>
    <w:rsid w:val="00D74EE6"/>
    <w:rsid w:val="00D74F5A"/>
    <w:rsid w:val="00D75393"/>
    <w:rsid w:val="00D7733C"/>
    <w:rsid w:val="00D77FB0"/>
    <w:rsid w:val="00D8110F"/>
    <w:rsid w:val="00D82652"/>
    <w:rsid w:val="00D85CF9"/>
    <w:rsid w:val="00D85E5E"/>
    <w:rsid w:val="00D87CA3"/>
    <w:rsid w:val="00D92DB3"/>
    <w:rsid w:val="00D93F61"/>
    <w:rsid w:val="00D942DB"/>
    <w:rsid w:val="00D94F64"/>
    <w:rsid w:val="00D95B38"/>
    <w:rsid w:val="00D97675"/>
    <w:rsid w:val="00D97F79"/>
    <w:rsid w:val="00DA0341"/>
    <w:rsid w:val="00DA1AC7"/>
    <w:rsid w:val="00DA1D38"/>
    <w:rsid w:val="00DA1E98"/>
    <w:rsid w:val="00DA2B65"/>
    <w:rsid w:val="00DA2F64"/>
    <w:rsid w:val="00DA344D"/>
    <w:rsid w:val="00DA449A"/>
    <w:rsid w:val="00DA45FA"/>
    <w:rsid w:val="00DA5104"/>
    <w:rsid w:val="00DA69EE"/>
    <w:rsid w:val="00DB087C"/>
    <w:rsid w:val="00DB0A8F"/>
    <w:rsid w:val="00DB20CA"/>
    <w:rsid w:val="00DB210F"/>
    <w:rsid w:val="00DB3C2F"/>
    <w:rsid w:val="00DB3E12"/>
    <w:rsid w:val="00DB3ECD"/>
    <w:rsid w:val="00DB4D5D"/>
    <w:rsid w:val="00DB5135"/>
    <w:rsid w:val="00DB6B03"/>
    <w:rsid w:val="00DB6E89"/>
    <w:rsid w:val="00DB79E3"/>
    <w:rsid w:val="00DB7F73"/>
    <w:rsid w:val="00DC057A"/>
    <w:rsid w:val="00DC09DE"/>
    <w:rsid w:val="00DC0C69"/>
    <w:rsid w:val="00DC28F8"/>
    <w:rsid w:val="00DC4158"/>
    <w:rsid w:val="00DC42D4"/>
    <w:rsid w:val="00DC49C6"/>
    <w:rsid w:val="00DC6266"/>
    <w:rsid w:val="00DC6668"/>
    <w:rsid w:val="00DC739D"/>
    <w:rsid w:val="00DC7B73"/>
    <w:rsid w:val="00DD01B6"/>
    <w:rsid w:val="00DD0603"/>
    <w:rsid w:val="00DD09B5"/>
    <w:rsid w:val="00DD1168"/>
    <w:rsid w:val="00DD1C02"/>
    <w:rsid w:val="00DD211E"/>
    <w:rsid w:val="00DD2B02"/>
    <w:rsid w:val="00DD451C"/>
    <w:rsid w:val="00DD5F32"/>
    <w:rsid w:val="00DD5FF1"/>
    <w:rsid w:val="00DD7737"/>
    <w:rsid w:val="00DE0E33"/>
    <w:rsid w:val="00DE0ED4"/>
    <w:rsid w:val="00DE2020"/>
    <w:rsid w:val="00DE2A93"/>
    <w:rsid w:val="00DE37F3"/>
    <w:rsid w:val="00DE3DA2"/>
    <w:rsid w:val="00DE4008"/>
    <w:rsid w:val="00DE42CB"/>
    <w:rsid w:val="00DE4702"/>
    <w:rsid w:val="00DE7492"/>
    <w:rsid w:val="00DE7560"/>
    <w:rsid w:val="00DF0C42"/>
    <w:rsid w:val="00DF194F"/>
    <w:rsid w:val="00DF43EB"/>
    <w:rsid w:val="00DF5E60"/>
    <w:rsid w:val="00DF5FE3"/>
    <w:rsid w:val="00DF7DEE"/>
    <w:rsid w:val="00E00CFC"/>
    <w:rsid w:val="00E01203"/>
    <w:rsid w:val="00E022F2"/>
    <w:rsid w:val="00E0232F"/>
    <w:rsid w:val="00E03A36"/>
    <w:rsid w:val="00E03CC4"/>
    <w:rsid w:val="00E03D03"/>
    <w:rsid w:val="00E043BD"/>
    <w:rsid w:val="00E05882"/>
    <w:rsid w:val="00E06E81"/>
    <w:rsid w:val="00E07948"/>
    <w:rsid w:val="00E079ED"/>
    <w:rsid w:val="00E07BD0"/>
    <w:rsid w:val="00E12043"/>
    <w:rsid w:val="00E122AB"/>
    <w:rsid w:val="00E12BCA"/>
    <w:rsid w:val="00E14B0E"/>
    <w:rsid w:val="00E14F5B"/>
    <w:rsid w:val="00E15B93"/>
    <w:rsid w:val="00E17E7C"/>
    <w:rsid w:val="00E202B9"/>
    <w:rsid w:val="00E24407"/>
    <w:rsid w:val="00E25CAB"/>
    <w:rsid w:val="00E2638C"/>
    <w:rsid w:val="00E26CBA"/>
    <w:rsid w:val="00E27CB2"/>
    <w:rsid w:val="00E30442"/>
    <w:rsid w:val="00E30FB7"/>
    <w:rsid w:val="00E30FEE"/>
    <w:rsid w:val="00E31543"/>
    <w:rsid w:val="00E31E4C"/>
    <w:rsid w:val="00E332AB"/>
    <w:rsid w:val="00E3330C"/>
    <w:rsid w:val="00E33CB7"/>
    <w:rsid w:val="00E34953"/>
    <w:rsid w:val="00E366F6"/>
    <w:rsid w:val="00E36D90"/>
    <w:rsid w:val="00E37052"/>
    <w:rsid w:val="00E372FE"/>
    <w:rsid w:val="00E37A4C"/>
    <w:rsid w:val="00E40249"/>
    <w:rsid w:val="00E40FE7"/>
    <w:rsid w:val="00E41B36"/>
    <w:rsid w:val="00E4340B"/>
    <w:rsid w:val="00E44207"/>
    <w:rsid w:val="00E44991"/>
    <w:rsid w:val="00E44E4D"/>
    <w:rsid w:val="00E4525E"/>
    <w:rsid w:val="00E45C9E"/>
    <w:rsid w:val="00E47B76"/>
    <w:rsid w:val="00E501A5"/>
    <w:rsid w:val="00E50233"/>
    <w:rsid w:val="00E51345"/>
    <w:rsid w:val="00E5180C"/>
    <w:rsid w:val="00E527BC"/>
    <w:rsid w:val="00E53493"/>
    <w:rsid w:val="00E53B6A"/>
    <w:rsid w:val="00E53F27"/>
    <w:rsid w:val="00E54482"/>
    <w:rsid w:val="00E54BA5"/>
    <w:rsid w:val="00E54C9F"/>
    <w:rsid w:val="00E556F1"/>
    <w:rsid w:val="00E56F5B"/>
    <w:rsid w:val="00E57305"/>
    <w:rsid w:val="00E573E0"/>
    <w:rsid w:val="00E6060E"/>
    <w:rsid w:val="00E6161B"/>
    <w:rsid w:val="00E6202E"/>
    <w:rsid w:val="00E6586F"/>
    <w:rsid w:val="00E663BA"/>
    <w:rsid w:val="00E670AA"/>
    <w:rsid w:val="00E670B5"/>
    <w:rsid w:val="00E708A6"/>
    <w:rsid w:val="00E710E0"/>
    <w:rsid w:val="00E7296D"/>
    <w:rsid w:val="00E733C6"/>
    <w:rsid w:val="00E737EC"/>
    <w:rsid w:val="00E7542C"/>
    <w:rsid w:val="00E76483"/>
    <w:rsid w:val="00E76585"/>
    <w:rsid w:val="00E77A17"/>
    <w:rsid w:val="00E77D57"/>
    <w:rsid w:val="00E77EE5"/>
    <w:rsid w:val="00E8085F"/>
    <w:rsid w:val="00E80A96"/>
    <w:rsid w:val="00E813F0"/>
    <w:rsid w:val="00E81C83"/>
    <w:rsid w:val="00E82545"/>
    <w:rsid w:val="00E827B7"/>
    <w:rsid w:val="00E82D36"/>
    <w:rsid w:val="00E831D9"/>
    <w:rsid w:val="00E8644B"/>
    <w:rsid w:val="00E918AF"/>
    <w:rsid w:val="00E9333F"/>
    <w:rsid w:val="00E93807"/>
    <w:rsid w:val="00E93F74"/>
    <w:rsid w:val="00E94854"/>
    <w:rsid w:val="00E95D95"/>
    <w:rsid w:val="00E96683"/>
    <w:rsid w:val="00E973F5"/>
    <w:rsid w:val="00E97FEF"/>
    <w:rsid w:val="00EA0864"/>
    <w:rsid w:val="00EA09D0"/>
    <w:rsid w:val="00EA1A3A"/>
    <w:rsid w:val="00EA1EAC"/>
    <w:rsid w:val="00EA2F8F"/>
    <w:rsid w:val="00EA44EF"/>
    <w:rsid w:val="00EA4E72"/>
    <w:rsid w:val="00EA517E"/>
    <w:rsid w:val="00EA6120"/>
    <w:rsid w:val="00EA64B1"/>
    <w:rsid w:val="00EA6C21"/>
    <w:rsid w:val="00EB05B0"/>
    <w:rsid w:val="00EB0B1A"/>
    <w:rsid w:val="00EB0D86"/>
    <w:rsid w:val="00EB16AE"/>
    <w:rsid w:val="00EB1765"/>
    <w:rsid w:val="00EB1C51"/>
    <w:rsid w:val="00EB2D6E"/>
    <w:rsid w:val="00EB2F34"/>
    <w:rsid w:val="00EB46FC"/>
    <w:rsid w:val="00EB4A9A"/>
    <w:rsid w:val="00EB4FD1"/>
    <w:rsid w:val="00EB5A2F"/>
    <w:rsid w:val="00EB5C6E"/>
    <w:rsid w:val="00EB7178"/>
    <w:rsid w:val="00EC1491"/>
    <w:rsid w:val="00EC15F1"/>
    <w:rsid w:val="00EC1EC5"/>
    <w:rsid w:val="00EC1F7D"/>
    <w:rsid w:val="00EC3438"/>
    <w:rsid w:val="00EC3840"/>
    <w:rsid w:val="00EC3E25"/>
    <w:rsid w:val="00EC594C"/>
    <w:rsid w:val="00EC6246"/>
    <w:rsid w:val="00EC6834"/>
    <w:rsid w:val="00EC7101"/>
    <w:rsid w:val="00EC7850"/>
    <w:rsid w:val="00EC7D24"/>
    <w:rsid w:val="00EC7DF6"/>
    <w:rsid w:val="00ED0FF5"/>
    <w:rsid w:val="00ED101A"/>
    <w:rsid w:val="00ED141C"/>
    <w:rsid w:val="00ED1F91"/>
    <w:rsid w:val="00ED2807"/>
    <w:rsid w:val="00ED3885"/>
    <w:rsid w:val="00ED3C39"/>
    <w:rsid w:val="00ED5636"/>
    <w:rsid w:val="00ED56E0"/>
    <w:rsid w:val="00ED6261"/>
    <w:rsid w:val="00ED64E0"/>
    <w:rsid w:val="00ED653B"/>
    <w:rsid w:val="00ED67C2"/>
    <w:rsid w:val="00ED6A40"/>
    <w:rsid w:val="00ED7120"/>
    <w:rsid w:val="00EE0DBD"/>
    <w:rsid w:val="00EE2C0C"/>
    <w:rsid w:val="00EE2D56"/>
    <w:rsid w:val="00EE3757"/>
    <w:rsid w:val="00EE3A1B"/>
    <w:rsid w:val="00EE3B32"/>
    <w:rsid w:val="00EE4DBF"/>
    <w:rsid w:val="00EE5AAB"/>
    <w:rsid w:val="00EE649B"/>
    <w:rsid w:val="00EE6DCB"/>
    <w:rsid w:val="00EE6EE9"/>
    <w:rsid w:val="00EE70A4"/>
    <w:rsid w:val="00EE7FF7"/>
    <w:rsid w:val="00EF02CF"/>
    <w:rsid w:val="00EF02EB"/>
    <w:rsid w:val="00EF04D8"/>
    <w:rsid w:val="00EF15C6"/>
    <w:rsid w:val="00EF1790"/>
    <w:rsid w:val="00EF1B92"/>
    <w:rsid w:val="00EF1F20"/>
    <w:rsid w:val="00EF2FE9"/>
    <w:rsid w:val="00EF3873"/>
    <w:rsid w:val="00EF4D0B"/>
    <w:rsid w:val="00EF5720"/>
    <w:rsid w:val="00EF5725"/>
    <w:rsid w:val="00EF7391"/>
    <w:rsid w:val="00EF76A5"/>
    <w:rsid w:val="00F013A7"/>
    <w:rsid w:val="00F019FA"/>
    <w:rsid w:val="00F0275E"/>
    <w:rsid w:val="00F042E3"/>
    <w:rsid w:val="00F0431E"/>
    <w:rsid w:val="00F04389"/>
    <w:rsid w:val="00F05A85"/>
    <w:rsid w:val="00F05B4B"/>
    <w:rsid w:val="00F0721F"/>
    <w:rsid w:val="00F10179"/>
    <w:rsid w:val="00F1084B"/>
    <w:rsid w:val="00F10882"/>
    <w:rsid w:val="00F10893"/>
    <w:rsid w:val="00F11736"/>
    <w:rsid w:val="00F11BA4"/>
    <w:rsid w:val="00F1216A"/>
    <w:rsid w:val="00F12401"/>
    <w:rsid w:val="00F12BFF"/>
    <w:rsid w:val="00F141AE"/>
    <w:rsid w:val="00F143E8"/>
    <w:rsid w:val="00F14FA9"/>
    <w:rsid w:val="00F15334"/>
    <w:rsid w:val="00F15A0B"/>
    <w:rsid w:val="00F15B88"/>
    <w:rsid w:val="00F15C1A"/>
    <w:rsid w:val="00F16202"/>
    <w:rsid w:val="00F174F8"/>
    <w:rsid w:val="00F2181A"/>
    <w:rsid w:val="00F226E6"/>
    <w:rsid w:val="00F22D93"/>
    <w:rsid w:val="00F22DD0"/>
    <w:rsid w:val="00F23057"/>
    <w:rsid w:val="00F2314D"/>
    <w:rsid w:val="00F234FC"/>
    <w:rsid w:val="00F25533"/>
    <w:rsid w:val="00F258F6"/>
    <w:rsid w:val="00F2651F"/>
    <w:rsid w:val="00F26C00"/>
    <w:rsid w:val="00F27F6E"/>
    <w:rsid w:val="00F30456"/>
    <w:rsid w:val="00F3095D"/>
    <w:rsid w:val="00F31181"/>
    <w:rsid w:val="00F32037"/>
    <w:rsid w:val="00F3404D"/>
    <w:rsid w:val="00F34627"/>
    <w:rsid w:val="00F3483A"/>
    <w:rsid w:val="00F36299"/>
    <w:rsid w:val="00F369D9"/>
    <w:rsid w:val="00F37C72"/>
    <w:rsid w:val="00F37F8E"/>
    <w:rsid w:val="00F4063F"/>
    <w:rsid w:val="00F415F9"/>
    <w:rsid w:val="00F41E4A"/>
    <w:rsid w:val="00F41ED2"/>
    <w:rsid w:val="00F42003"/>
    <w:rsid w:val="00F425B6"/>
    <w:rsid w:val="00F42D1F"/>
    <w:rsid w:val="00F43F1E"/>
    <w:rsid w:val="00F44C54"/>
    <w:rsid w:val="00F45B01"/>
    <w:rsid w:val="00F461D4"/>
    <w:rsid w:val="00F46840"/>
    <w:rsid w:val="00F47FCF"/>
    <w:rsid w:val="00F503E7"/>
    <w:rsid w:val="00F50405"/>
    <w:rsid w:val="00F50F48"/>
    <w:rsid w:val="00F53016"/>
    <w:rsid w:val="00F53A93"/>
    <w:rsid w:val="00F542FC"/>
    <w:rsid w:val="00F5493D"/>
    <w:rsid w:val="00F55F02"/>
    <w:rsid w:val="00F5683D"/>
    <w:rsid w:val="00F5693E"/>
    <w:rsid w:val="00F610DB"/>
    <w:rsid w:val="00F63099"/>
    <w:rsid w:val="00F63716"/>
    <w:rsid w:val="00F63D60"/>
    <w:rsid w:val="00F63E13"/>
    <w:rsid w:val="00F64ABD"/>
    <w:rsid w:val="00F64F74"/>
    <w:rsid w:val="00F65274"/>
    <w:rsid w:val="00F65353"/>
    <w:rsid w:val="00F666B2"/>
    <w:rsid w:val="00F7077F"/>
    <w:rsid w:val="00F70917"/>
    <w:rsid w:val="00F71A3B"/>
    <w:rsid w:val="00F71E87"/>
    <w:rsid w:val="00F7309B"/>
    <w:rsid w:val="00F73DAA"/>
    <w:rsid w:val="00F741B4"/>
    <w:rsid w:val="00F7623C"/>
    <w:rsid w:val="00F826D5"/>
    <w:rsid w:val="00F84D5A"/>
    <w:rsid w:val="00F84F45"/>
    <w:rsid w:val="00F86A45"/>
    <w:rsid w:val="00F8729C"/>
    <w:rsid w:val="00F90434"/>
    <w:rsid w:val="00F90B8B"/>
    <w:rsid w:val="00F9138E"/>
    <w:rsid w:val="00F92EAF"/>
    <w:rsid w:val="00F932A9"/>
    <w:rsid w:val="00F940A0"/>
    <w:rsid w:val="00F94565"/>
    <w:rsid w:val="00F94EAB"/>
    <w:rsid w:val="00F967E8"/>
    <w:rsid w:val="00F97333"/>
    <w:rsid w:val="00F97441"/>
    <w:rsid w:val="00FA1171"/>
    <w:rsid w:val="00FA126D"/>
    <w:rsid w:val="00FA14A5"/>
    <w:rsid w:val="00FA161F"/>
    <w:rsid w:val="00FA1A88"/>
    <w:rsid w:val="00FA28A0"/>
    <w:rsid w:val="00FA3DCC"/>
    <w:rsid w:val="00FA3EA3"/>
    <w:rsid w:val="00FA4247"/>
    <w:rsid w:val="00FA4458"/>
    <w:rsid w:val="00FA4DDF"/>
    <w:rsid w:val="00FA55CA"/>
    <w:rsid w:val="00FA72B4"/>
    <w:rsid w:val="00FA7CE7"/>
    <w:rsid w:val="00FB312E"/>
    <w:rsid w:val="00FB32D7"/>
    <w:rsid w:val="00FB36AD"/>
    <w:rsid w:val="00FB5D0D"/>
    <w:rsid w:val="00FB62A2"/>
    <w:rsid w:val="00FB6B7E"/>
    <w:rsid w:val="00FB7873"/>
    <w:rsid w:val="00FC1277"/>
    <w:rsid w:val="00FC2635"/>
    <w:rsid w:val="00FC2F04"/>
    <w:rsid w:val="00FC6906"/>
    <w:rsid w:val="00FC6A82"/>
    <w:rsid w:val="00FC7329"/>
    <w:rsid w:val="00FC7DD2"/>
    <w:rsid w:val="00FC7FEE"/>
    <w:rsid w:val="00FD0200"/>
    <w:rsid w:val="00FD092D"/>
    <w:rsid w:val="00FD258C"/>
    <w:rsid w:val="00FD47BD"/>
    <w:rsid w:val="00FD4D83"/>
    <w:rsid w:val="00FD678E"/>
    <w:rsid w:val="00FD6FAA"/>
    <w:rsid w:val="00FD754E"/>
    <w:rsid w:val="00FD7A98"/>
    <w:rsid w:val="00FE03F8"/>
    <w:rsid w:val="00FE1344"/>
    <w:rsid w:val="00FE1534"/>
    <w:rsid w:val="00FE2B07"/>
    <w:rsid w:val="00FE3103"/>
    <w:rsid w:val="00FE3A00"/>
    <w:rsid w:val="00FE3D6E"/>
    <w:rsid w:val="00FE46EB"/>
    <w:rsid w:val="00FE5116"/>
    <w:rsid w:val="00FE5543"/>
    <w:rsid w:val="00FE6E14"/>
    <w:rsid w:val="00FE7E36"/>
    <w:rsid w:val="00FF0EF3"/>
    <w:rsid w:val="00FF10AD"/>
    <w:rsid w:val="00FF10E8"/>
    <w:rsid w:val="00FF1213"/>
    <w:rsid w:val="00FF2549"/>
    <w:rsid w:val="00FF2848"/>
    <w:rsid w:val="00FF399B"/>
    <w:rsid w:val="00FF3AF8"/>
    <w:rsid w:val="00FF4135"/>
    <w:rsid w:val="00FF4AD1"/>
    <w:rsid w:val="00FF5C86"/>
    <w:rsid w:val="010D60E6"/>
    <w:rsid w:val="011F0655"/>
    <w:rsid w:val="012030BC"/>
    <w:rsid w:val="015628B8"/>
    <w:rsid w:val="01784D0D"/>
    <w:rsid w:val="01823901"/>
    <w:rsid w:val="01D97EF4"/>
    <w:rsid w:val="01E40558"/>
    <w:rsid w:val="01E81D1E"/>
    <w:rsid w:val="01E969E1"/>
    <w:rsid w:val="02064B93"/>
    <w:rsid w:val="022750C7"/>
    <w:rsid w:val="026D3296"/>
    <w:rsid w:val="026F4DC0"/>
    <w:rsid w:val="02A075A3"/>
    <w:rsid w:val="02B6386F"/>
    <w:rsid w:val="02C140DD"/>
    <w:rsid w:val="02D46225"/>
    <w:rsid w:val="03045BE8"/>
    <w:rsid w:val="031E385C"/>
    <w:rsid w:val="033103AB"/>
    <w:rsid w:val="03901A4A"/>
    <w:rsid w:val="039511F7"/>
    <w:rsid w:val="03B30FA9"/>
    <w:rsid w:val="03D57C01"/>
    <w:rsid w:val="03E2679F"/>
    <w:rsid w:val="040A38F1"/>
    <w:rsid w:val="04D22669"/>
    <w:rsid w:val="04E248A8"/>
    <w:rsid w:val="04E67746"/>
    <w:rsid w:val="050F16C1"/>
    <w:rsid w:val="052747B3"/>
    <w:rsid w:val="052C0E94"/>
    <w:rsid w:val="055038A1"/>
    <w:rsid w:val="0571293D"/>
    <w:rsid w:val="0580032D"/>
    <w:rsid w:val="05874634"/>
    <w:rsid w:val="058A1D3C"/>
    <w:rsid w:val="05917A13"/>
    <w:rsid w:val="05C97D69"/>
    <w:rsid w:val="05F43AA7"/>
    <w:rsid w:val="06152B70"/>
    <w:rsid w:val="06180DB2"/>
    <w:rsid w:val="063D3A51"/>
    <w:rsid w:val="066D31FC"/>
    <w:rsid w:val="067E5F5C"/>
    <w:rsid w:val="06BE5F71"/>
    <w:rsid w:val="06E22212"/>
    <w:rsid w:val="07090F65"/>
    <w:rsid w:val="07971EC3"/>
    <w:rsid w:val="07B86BB6"/>
    <w:rsid w:val="07CF69C7"/>
    <w:rsid w:val="080E4EF0"/>
    <w:rsid w:val="080E7B14"/>
    <w:rsid w:val="081E6FF5"/>
    <w:rsid w:val="08333E8A"/>
    <w:rsid w:val="08647ABE"/>
    <w:rsid w:val="087C5E71"/>
    <w:rsid w:val="08874899"/>
    <w:rsid w:val="08A37BE8"/>
    <w:rsid w:val="08A57AFD"/>
    <w:rsid w:val="08BC4BBF"/>
    <w:rsid w:val="08C83EFC"/>
    <w:rsid w:val="08CF44BF"/>
    <w:rsid w:val="090A70AC"/>
    <w:rsid w:val="09364667"/>
    <w:rsid w:val="095C3966"/>
    <w:rsid w:val="096C1191"/>
    <w:rsid w:val="09703647"/>
    <w:rsid w:val="09856454"/>
    <w:rsid w:val="09882AF9"/>
    <w:rsid w:val="09AA79DA"/>
    <w:rsid w:val="09F700CA"/>
    <w:rsid w:val="0A317D91"/>
    <w:rsid w:val="0A407D72"/>
    <w:rsid w:val="0A69132F"/>
    <w:rsid w:val="0ACE1FE1"/>
    <w:rsid w:val="0AFC490D"/>
    <w:rsid w:val="0BE62B60"/>
    <w:rsid w:val="0BEC6235"/>
    <w:rsid w:val="0C440E19"/>
    <w:rsid w:val="0C5712E7"/>
    <w:rsid w:val="0C595BC4"/>
    <w:rsid w:val="0C5C12F0"/>
    <w:rsid w:val="0C5D4D35"/>
    <w:rsid w:val="0C9C7878"/>
    <w:rsid w:val="0C9F73DB"/>
    <w:rsid w:val="0CAD4433"/>
    <w:rsid w:val="0D150756"/>
    <w:rsid w:val="0D202DD5"/>
    <w:rsid w:val="0D2A51FA"/>
    <w:rsid w:val="0D573B91"/>
    <w:rsid w:val="0D773AF3"/>
    <w:rsid w:val="0DD8370D"/>
    <w:rsid w:val="0E127BF8"/>
    <w:rsid w:val="0E2A056D"/>
    <w:rsid w:val="0E336DF1"/>
    <w:rsid w:val="0E9218BC"/>
    <w:rsid w:val="0ECC3F2F"/>
    <w:rsid w:val="0F2F290B"/>
    <w:rsid w:val="0F3C09BA"/>
    <w:rsid w:val="0F3D3408"/>
    <w:rsid w:val="0F4A2171"/>
    <w:rsid w:val="0F4B59B1"/>
    <w:rsid w:val="0F7A2A59"/>
    <w:rsid w:val="0FDD4EFE"/>
    <w:rsid w:val="0FDF3641"/>
    <w:rsid w:val="0FE44E71"/>
    <w:rsid w:val="100636D8"/>
    <w:rsid w:val="100B3A9C"/>
    <w:rsid w:val="103F1FF2"/>
    <w:rsid w:val="108341E6"/>
    <w:rsid w:val="108800C6"/>
    <w:rsid w:val="108A0CA2"/>
    <w:rsid w:val="10BE01B4"/>
    <w:rsid w:val="10CD2814"/>
    <w:rsid w:val="10F15CBD"/>
    <w:rsid w:val="115D23BF"/>
    <w:rsid w:val="118752EE"/>
    <w:rsid w:val="11934A0A"/>
    <w:rsid w:val="11E218C5"/>
    <w:rsid w:val="11FE2CB5"/>
    <w:rsid w:val="125906CC"/>
    <w:rsid w:val="12966707"/>
    <w:rsid w:val="12E84FAA"/>
    <w:rsid w:val="132E7EF6"/>
    <w:rsid w:val="13461F8D"/>
    <w:rsid w:val="138C287E"/>
    <w:rsid w:val="13931553"/>
    <w:rsid w:val="13A13F11"/>
    <w:rsid w:val="13A925D2"/>
    <w:rsid w:val="13AE2DC2"/>
    <w:rsid w:val="13E41CCB"/>
    <w:rsid w:val="140D0683"/>
    <w:rsid w:val="1442692C"/>
    <w:rsid w:val="148D2942"/>
    <w:rsid w:val="14A8533C"/>
    <w:rsid w:val="14B76D6C"/>
    <w:rsid w:val="14CC5583"/>
    <w:rsid w:val="14D60453"/>
    <w:rsid w:val="14F26E72"/>
    <w:rsid w:val="152739AA"/>
    <w:rsid w:val="152949E3"/>
    <w:rsid w:val="155602F4"/>
    <w:rsid w:val="155B6EBD"/>
    <w:rsid w:val="15684DD0"/>
    <w:rsid w:val="15A0764C"/>
    <w:rsid w:val="15AE391F"/>
    <w:rsid w:val="15BC3B7D"/>
    <w:rsid w:val="15E40ABB"/>
    <w:rsid w:val="15F77466"/>
    <w:rsid w:val="160A7F0C"/>
    <w:rsid w:val="16236470"/>
    <w:rsid w:val="168073FF"/>
    <w:rsid w:val="16903FE4"/>
    <w:rsid w:val="16A55156"/>
    <w:rsid w:val="16A96FD6"/>
    <w:rsid w:val="16F02896"/>
    <w:rsid w:val="170E1EBD"/>
    <w:rsid w:val="171A5955"/>
    <w:rsid w:val="1728253F"/>
    <w:rsid w:val="172A4439"/>
    <w:rsid w:val="178D11F7"/>
    <w:rsid w:val="17A93E88"/>
    <w:rsid w:val="17EB7A6C"/>
    <w:rsid w:val="183D3C13"/>
    <w:rsid w:val="184E2F37"/>
    <w:rsid w:val="1863733D"/>
    <w:rsid w:val="18D81846"/>
    <w:rsid w:val="190961D0"/>
    <w:rsid w:val="19120321"/>
    <w:rsid w:val="196A425D"/>
    <w:rsid w:val="198C032A"/>
    <w:rsid w:val="19CD40EB"/>
    <w:rsid w:val="19F610B0"/>
    <w:rsid w:val="1A1438D8"/>
    <w:rsid w:val="1A632B4C"/>
    <w:rsid w:val="1A7933BB"/>
    <w:rsid w:val="1A892262"/>
    <w:rsid w:val="1B0D231D"/>
    <w:rsid w:val="1B130C4C"/>
    <w:rsid w:val="1B3157B6"/>
    <w:rsid w:val="1B402A64"/>
    <w:rsid w:val="1B7C14AD"/>
    <w:rsid w:val="1BAF3F07"/>
    <w:rsid w:val="1C095402"/>
    <w:rsid w:val="1C2167DD"/>
    <w:rsid w:val="1C250518"/>
    <w:rsid w:val="1C581193"/>
    <w:rsid w:val="1C591D3D"/>
    <w:rsid w:val="1C7D5792"/>
    <w:rsid w:val="1CA74DC7"/>
    <w:rsid w:val="1CB74262"/>
    <w:rsid w:val="1CBA3FA5"/>
    <w:rsid w:val="1CC55BB3"/>
    <w:rsid w:val="1CD634B1"/>
    <w:rsid w:val="1CFD20CB"/>
    <w:rsid w:val="1D024F4D"/>
    <w:rsid w:val="1D3F3961"/>
    <w:rsid w:val="1D4504E8"/>
    <w:rsid w:val="1D4B5470"/>
    <w:rsid w:val="1D5B264B"/>
    <w:rsid w:val="1D844D9B"/>
    <w:rsid w:val="1D9643EC"/>
    <w:rsid w:val="1D97062E"/>
    <w:rsid w:val="1DD0025A"/>
    <w:rsid w:val="1DE9702E"/>
    <w:rsid w:val="1DF27A45"/>
    <w:rsid w:val="1E1F1AFE"/>
    <w:rsid w:val="1E2C2F51"/>
    <w:rsid w:val="1E372FEF"/>
    <w:rsid w:val="1E506348"/>
    <w:rsid w:val="1E6C50E9"/>
    <w:rsid w:val="1EAB5A40"/>
    <w:rsid w:val="1ED4360A"/>
    <w:rsid w:val="1EDD725B"/>
    <w:rsid w:val="1EE03FA7"/>
    <w:rsid w:val="1EFE0000"/>
    <w:rsid w:val="1F1F42A1"/>
    <w:rsid w:val="1F297607"/>
    <w:rsid w:val="1F2B7F7C"/>
    <w:rsid w:val="1F6B6AA1"/>
    <w:rsid w:val="1FD9266B"/>
    <w:rsid w:val="201C6CC6"/>
    <w:rsid w:val="20207335"/>
    <w:rsid w:val="2030264B"/>
    <w:rsid w:val="204A03AD"/>
    <w:rsid w:val="20606659"/>
    <w:rsid w:val="2075007E"/>
    <w:rsid w:val="20CA7875"/>
    <w:rsid w:val="20CD2CE5"/>
    <w:rsid w:val="20FD7E2E"/>
    <w:rsid w:val="210043A2"/>
    <w:rsid w:val="21175ED3"/>
    <w:rsid w:val="21407498"/>
    <w:rsid w:val="21971983"/>
    <w:rsid w:val="21A931C3"/>
    <w:rsid w:val="221832B5"/>
    <w:rsid w:val="228D196C"/>
    <w:rsid w:val="229808ED"/>
    <w:rsid w:val="2299347E"/>
    <w:rsid w:val="22A52FD6"/>
    <w:rsid w:val="22D21159"/>
    <w:rsid w:val="22DB0D71"/>
    <w:rsid w:val="22DE5132"/>
    <w:rsid w:val="22E61EC0"/>
    <w:rsid w:val="232D6C61"/>
    <w:rsid w:val="23894676"/>
    <w:rsid w:val="23CC591E"/>
    <w:rsid w:val="240244FD"/>
    <w:rsid w:val="249121CE"/>
    <w:rsid w:val="24C43E77"/>
    <w:rsid w:val="25370604"/>
    <w:rsid w:val="254C4F0E"/>
    <w:rsid w:val="258B7A90"/>
    <w:rsid w:val="25907084"/>
    <w:rsid w:val="25A14A78"/>
    <w:rsid w:val="25AE0B3A"/>
    <w:rsid w:val="2616461A"/>
    <w:rsid w:val="26203E45"/>
    <w:rsid w:val="264D129D"/>
    <w:rsid w:val="266E5CA4"/>
    <w:rsid w:val="269627A1"/>
    <w:rsid w:val="26A05143"/>
    <w:rsid w:val="26DC4B31"/>
    <w:rsid w:val="2720326A"/>
    <w:rsid w:val="27C35979"/>
    <w:rsid w:val="27D902B2"/>
    <w:rsid w:val="27F94370"/>
    <w:rsid w:val="27F973D2"/>
    <w:rsid w:val="27FA2CD9"/>
    <w:rsid w:val="27FE173C"/>
    <w:rsid w:val="280D749B"/>
    <w:rsid w:val="28285329"/>
    <w:rsid w:val="2840175D"/>
    <w:rsid w:val="286C5C66"/>
    <w:rsid w:val="28722AE8"/>
    <w:rsid w:val="28984C36"/>
    <w:rsid w:val="289C3643"/>
    <w:rsid w:val="28D676D9"/>
    <w:rsid w:val="292163BC"/>
    <w:rsid w:val="29314795"/>
    <w:rsid w:val="29420644"/>
    <w:rsid w:val="295C028F"/>
    <w:rsid w:val="295F42EB"/>
    <w:rsid w:val="29810591"/>
    <w:rsid w:val="299670FC"/>
    <w:rsid w:val="29AA0FAB"/>
    <w:rsid w:val="29B50223"/>
    <w:rsid w:val="29C8053A"/>
    <w:rsid w:val="29F60407"/>
    <w:rsid w:val="2A2D02FF"/>
    <w:rsid w:val="2A3C3A2D"/>
    <w:rsid w:val="2A412B19"/>
    <w:rsid w:val="2A5E25F3"/>
    <w:rsid w:val="2A625B20"/>
    <w:rsid w:val="2A663CA7"/>
    <w:rsid w:val="2A86320C"/>
    <w:rsid w:val="2AA04984"/>
    <w:rsid w:val="2AAA284B"/>
    <w:rsid w:val="2AAD51B9"/>
    <w:rsid w:val="2ADE0AE0"/>
    <w:rsid w:val="2AF532A1"/>
    <w:rsid w:val="2AF76DC9"/>
    <w:rsid w:val="2B163334"/>
    <w:rsid w:val="2B383EDD"/>
    <w:rsid w:val="2B521859"/>
    <w:rsid w:val="2B570A86"/>
    <w:rsid w:val="2B894091"/>
    <w:rsid w:val="2B9F58B2"/>
    <w:rsid w:val="2BAE7628"/>
    <w:rsid w:val="2BD932F4"/>
    <w:rsid w:val="2BFD07B2"/>
    <w:rsid w:val="2C1B286E"/>
    <w:rsid w:val="2C984997"/>
    <w:rsid w:val="2CB06865"/>
    <w:rsid w:val="2CF1564D"/>
    <w:rsid w:val="2CFA15C1"/>
    <w:rsid w:val="2D0D49A2"/>
    <w:rsid w:val="2D370B20"/>
    <w:rsid w:val="2D43117B"/>
    <w:rsid w:val="2D4D3F9B"/>
    <w:rsid w:val="2D6E4491"/>
    <w:rsid w:val="2D741E8C"/>
    <w:rsid w:val="2D8A2230"/>
    <w:rsid w:val="2D8D592F"/>
    <w:rsid w:val="2D9F4891"/>
    <w:rsid w:val="2E187AC2"/>
    <w:rsid w:val="2E2212A3"/>
    <w:rsid w:val="2E2407BD"/>
    <w:rsid w:val="2E9336DC"/>
    <w:rsid w:val="2F512498"/>
    <w:rsid w:val="2F6401C7"/>
    <w:rsid w:val="2F6C368F"/>
    <w:rsid w:val="2F7143DC"/>
    <w:rsid w:val="2F877369"/>
    <w:rsid w:val="2F9333F7"/>
    <w:rsid w:val="2FA914C7"/>
    <w:rsid w:val="2FE00578"/>
    <w:rsid w:val="2FF403CD"/>
    <w:rsid w:val="300A3C90"/>
    <w:rsid w:val="3073351F"/>
    <w:rsid w:val="30762AED"/>
    <w:rsid w:val="30B122FF"/>
    <w:rsid w:val="30B8369E"/>
    <w:rsid w:val="31356322"/>
    <w:rsid w:val="31461E07"/>
    <w:rsid w:val="3152076D"/>
    <w:rsid w:val="31595A7D"/>
    <w:rsid w:val="318663C1"/>
    <w:rsid w:val="318E4430"/>
    <w:rsid w:val="31BC6825"/>
    <w:rsid w:val="31EB1E25"/>
    <w:rsid w:val="320324E4"/>
    <w:rsid w:val="32345F12"/>
    <w:rsid w:val="32636D91"/>
    <w:rsid w:val="32753C15"/>
    <w:rsid w:val="32851F17"/>
    <w:rsid w:val="32C85B60"/>
    <w:rsid w:val="32E014F5"/>
    <w:rsid w:val="32E65515"/>
    <w:rsid w:val="3348210F"/>
    <w:rsid w:val="33547C4D"/>
    <w:rsid w:val="337C3C1B"/>
    <w:rsid w:val="33A52F5F"/>
    <w:rsid w:val="33E575E7"/>
    <w:rsid w:val="33F02A62"/>
    <w:rsid w:val="340169C1"/>
    <w:rsid w:val="34111B56"/>
    <w:rsid w:val="342C5BD6"/>
    <w:rsid w:val="34531EBC"/>
    <w:rsid w:val="34846A2D"/>
    <w:rsid w:val="348A1112"/>
    <w:rsid w:val="348F64E3"/>
    <w:rsid w:val="34D61B8E"/>
    <w:rsid w:val="351D4309"/>
    <w:rsid w:val="35237DB5"/>
    <w:rsid w:val="35416435"/>
    <w:rsid w:val="354F7A97"/>
    <w:rsid w:val="35767982"/>
    <w:rsid w:val="359950C0"/>
    <w:rsid w:val="35C13EDE"/>
    <w:rsid w:val="36195E00"/>
    <w:rsid w:val="36440966"/>
    <w:rsid w:val="36670EAF"/>
    <w:rsid w:val="36AC57F1"/>
    <w:rsid w:val="36CC7B27"/>
    <w:rsid w:val="36D03BB6"/>
    <w:rsid w:val="36E34E75"/>
    <w:rsid w:val="36E91715"/>
    <w:rsid w:val="36FB1C4F"/>
    <w:rsid w:val="36FB7862"/>
    <w:rsid w:val="372D3CEC"/>
    <w:rsid w:val="37407E1B"/>
    <w:rsid w:val="37604C51"/>
    <w:rsid w:val="3764698A"/>
    <w:rsid w:val="379E3074"/>
    <w:rsid w:val="37C72ED9"/>
    <w:rsid w:val="38014E5F"/>
    <w:rsid w:val="380E4353"/>
    <w:rsid w:val="381B4D83"/>
    <w:rsid w:val="3871481E"/>
    <w:rsid w:val="38994338"/>
    <w:rsid w:val="38A95C29"/>
    <w:rsid w:val="38AE656B"/>
    <w:rsid w:val="39851E7C"/>
    <w:rsid w:val="39CA068C"/>
    <w:rsid w:val="39DD3047"/>
    <w:rsid w:val="39F42E74"/>
    <w:rsid w:val="3A2B2CFD"/>
    <w:rsid w:val="3A580503"/>
    <w:rsid w:val="3A5C15C5"/>
    <w:rsid w:val="3A5E2C54"/>
    <w:rsid w:val="3A5F57BE"/>
    <w:rsid w:val="3A6D6476"/>
    <w:rsid w:val="3AA610D3"/>
    <w:rsid w:val="3AAD03D5"/>
    <w:rsid w:val="3AD628BA"/>
    <w:rsid w:val="3AEB21ED"/>
    <w:rsid w:val="3AED0C37"/>
    <w:rsid w:val="3B4124CD"/>
    <w:rsid w:val="3B552458"/>
    <w:rsid w:val="3B5C005C"/>
    <w:rsid w:val="3B6F372B"/>
    <w:rsid w:val="3B7613FE"/>
    <w:rsid w:val="3B7B25EE"/>
    <w:rsid w:val="3B904C6E"/>
    <w:rsid w:val="3BBD0FD2"/>
    <w:rsid w:val="3BE105F3"/>
    <w:rsid w:val="3C1318E9"/>
    <w:rsid w:val="3C421E06"/>
    <w:rsid w:val="3C5E749B"/>
    <w:rsid w:val="3C771A2D"/>
    <w:rsid w:val="3C952043"/>
    <w:rsid w:val="3CB92AD6"/>
    <w:rsid w:val="3CCD1C2B"/>
    <w:rsid w:val="3CCF0A41"/>
    <w:rsid w:val="3CD922C6"/>
    <w:rsid w:val="3CEF0635"/>
    <w:rsid w:val="3D0B4091"/>
    <w:rsid w:val="3D364A6C"/>
    <w:rsid w:val="3D374247"/>
    <w:rsid w:val="3D4530EF"/>
    <w:rsid w:val="3D5C1F8D"/>
    <w:rsid w:val="3DA93024"/>
    <w:rsid w:val="3DAF24E3"/>
    <w:rsid w:val="3DED539A"/>
    <w:rsid w:val="3E1D57A0"/>
    <w:rsid w:val="3E47609B"/>
    <w:rsid w:val="3E5C6FF6"/>
    <w:rsid w:val="3E6341B4"/>
    <w:rsid w:val="3E913E6E"/>
    <w:rsid w:val="3EA709D4"/>
    <w:rsid w:val="3ED76384"/>
    <w:rsid w:val="3F1445A2"/>
    <w:rsid w:val="3F232ACB"/>
    <w:rsid w:val="3F8E261A"/>
    <w:rsid w:val="3FB17F8F"/>
    <w:rsid w:val="3FC70A3B"/>
    <w:rsid w:val="3FCB49E9"/>
    <w:rsid w:val="3FE45140"/>
    <w:rsid w:val="400E2164"/>
    <w:rsid w:val="40341AD0"/>
    <w:rsid w:val="40403562"/>
    <w:rsid w:val="407E1730"/>
    <w:rsid w:val="40A51795"/>
    <w:rsid w:val="40C92B4D"/>
    <w:rsid w:val="40CB5273"/>
    <w:rsid w:val="41200334"/>
    <w:rsid w:val="41705D27"/>
    <w:rsid w:val="41AF3DFF"/>
    <w:rsid w:val="41EB243F"/>
    <w:rsid w:val="41ED7459"/>
    <w:rsid w:val="41FE27F9"/>
    <w:rsid w:val="41FF486D"/>
    <w:rsid w:val="420D2C5A"/>
    <w:rsid w:val="42165C8A"/>
    <w:rsid w:val="421B3748"/>
    <w:rsid w:val="423260F4"/>
    <w:rsid w:val="42457D2D"/>
    <w:rsid w:val="42585183"/>
    <w:rsid w:val="425A77B3"/>
    <w:rsid w:val="42A43C7B"/>
    <w:rsid w:val="42B478E5"/>
    <w:rsid w:val="42B52E29"/>
    <w:rsid w:val="42C9681F"/>
    <w:rsid w:val="42E119A7"/>
    <w:rsid w:val="432A43CB"/>
    <w:rsid w:val="4338567D"/>
    <w:rsid w:val="439A0C03"/>
    <w:rsid w:val="43B41368"/>
    <w:rsid w:val="43BE349D"/>
    <w:rsid w:val="43D61242"/>
    <w:rsid w:val="44312267"/>
    <w:rsid w:val="444765C7"/>
    <w:rsid w:val="44594DAD"/>
    <w:rsid w:val="445C002C"/>
    <w:rsid w:val="44A3050D"/>
    <w:rsid w:val="44B62F60"/>
    <w:rsid w:val="44DD48C8"/>
    <w:rsid w:val="44E23ECB"/>
    <w:rsid w:val="4525396F"/>
    <w:rsid w:val="453A420C"/>
    <w:rsid w:val="4572736A"/>
    <w:rsid w:val="45A242FF"/>
    <w:rsid w:val="45AB0FBA"/>
    <w:rsid w:val="45E50755"/>
    <w:rsid w:val="46153D65"/>
    <w:rsid w:val="467A098A"/>
    <w:rsid w:val="468D6074"/>
    <w:rsid w:val="46924515"/>
    <w:rsid w:val="46B16B57"/>
    <w:rsid w:val="46BF662E"/>
    <w:rsid w:val="46C93CAC"/>
    <w:rsid w:val="46D6095A"/>
    <w:rsid w:val="46DD7FD0"/>
    <w:rsid w:val="46FE462B"/>
    <w:rsid w:val="470063CD"/>
    <w:rsid w:val="47040D88"/>
    <w:rsid w:val="473C7EBC"/>
    <w:rsid w:val="473F167F"/>
    <w:rsid w:val="47635918"/>
    <w:rsid w:val="476A118B"/>
    <w:rsid w:val="47A67283"/>
    <w:rsid w:val="47E45A90"/>
    <w:rsid w:val="47FE5FDC"/>
    <w:rsid w:val="48285E05"/>
    <w:rsid w:val="485E6160"/>
    <w:rsid w:val="4866641E"/>
    <w:rsid w:val="48786869"/>
    <w:rsid w:val="48816B10"/>
    <w:rsid w:val="488E0C3F"/>
    <w:rsid w:val="48A26700"/>
    <w:rsid w:val="48A66380"/>
    <w:rsid w:val="48BD4CAC"/>
    <w:rsid w:val="48DB7AB8"/>
    <w:rsid w:val="48ED4BFB"/>
    <w:rsid w:val="48F21A3C"/>
    <w:rsid w:val="48F61BFE"/>
    <w:rsid w:val="49106970"/>
    <w:rsid w:val="495378F8"/>
    <w:rsid w:val="49600328"/>
    <w:rsid w:val="499426B5"/>
    <w:rsid w:val="49E30B49"/>
    <w:rsid w:val="4A151DDD"/>
    <w:rsid w:val="4A38564C"/>
    <w:rsid w:val="4A441769"/>
    <w:rsid w:val="4A903380"/>
    <w:rsid w:val="4AC346A1"/>
    <w:rsid w:val="4B2465AA"/>
    <w:rsid w:val="4B2752A8"/>
    <w:rsid w:val="4B502A77"/>
    <w:rsid w:val="4B804FE5"/>
    <w:rsid w:val="4C2D221E"/>
    <w:rsid w:val="4C2F67B9"/>
    <w:rsid w:val="4C44498D"/>
    <w:rsid w:val="4C4961A1"/>
    <w:rsid w:val="4C5C648A"/>
    <w:rsid w:val="4C9D7A1C"/>
    <w:rsid w:val="4CB22DCF"/>
    <w:rsid w:val="4CCC6976"/>
    <w:rsid w:val="4CE77BEA"/>
    <w:rsid w:val="4D283305"/>
    <w:rsid w:val="4D4A3D6B"/>
    <w:rsid w:val="4D571043"/>
    <w:rsid w:val="4D6B249F"/>
    <w:rsid w:val="4D6C11FD"/>
    <w:rsid w:val="4D87716A"/>
    <w:rsid w:val="4DA74355"/>
    <w:rsid w:val="4DB32E25"/>
    <w:rsid w:val="4DB81E88"/>
    <w:rsid w:val="4DE16551"/>
    <w:rsid w:val="4E0D18CA"/>
    <w:rsid w:val="4E3425D5"/>
    <w:rsid w:val="4E6E7D5E"/>
    <w:rsid w:val="4EC10625"/>
    <w:rsid w:val="4EC31C92"/>
    <w:rsid w:val="4EEF020D"/>
    <w:rsid w:val="4EFB46B2"/>
    <w:rsid w:val="4F105016"/>
    <w:rsid w:val="4F99785A"/>
    <w:rsid w:val="4FA27D8E"/>
    <w:rsid w:val="4FC0156F"/>
    <w:rsid w:val="4FE430D3"/>
    <w:rsid w:val="50014304"/>
    <w:rsid w:val="50093FAD"/>
    <w:rsid w:val="501601F5"/>
    <w:rsid w:val="5037232C"/>
    <w:rsid w:val="504B2A5A"/>
    <w:rsid w:val="504C571E"/>
    <w:rsid w:val="50953D31"/>
    <w:rsid w:val="50A64938"/>
    <w:rsid w:val="50E664A1"/>
    <w:rsid w:val="51144B3B"/>
    <w:rsid w:val="5121320E"/>
    <w:rsid w:val="51356B92"/>
    <w:rsid w:val="513E49DA"/>
    <w:rsid w:val="51CE34B7"/>
    <w:rsid w:val="51D316A2"/>
    <w:rsid w:val="524C432F"/>
    <w:rsid w:val="52555DB9"/>
    <w:rsid w:val="52723141"/>
    <w:rsid w:val="52816862"/>
    <w:rsid w:val="529E04B3"/>
    <w:rsid w:val="52DD51CE"/>
    <w:rsid w:val="52EC4E90"/>
    <w:rsid w:val="52F31BCF"/>
    <w:rsid w:val="52FE31EF"/>
    <w:rsid w:val="53023028"/>
    <w:rsid w:val="530E53C8"/>
    <w:rsid w:val="531208DE"/>
    <w:rsid w:val="531306AE"/>
    <w:rsid w:val="53273BE0"/>
    <w:rsid w:val="53301A4E"/>
    <w:rsid w:val="534B22F6"/>
    <w:rsid w:val="536745D6"/>
    <w:rsid w:val="53A170D5"/>
    <w:rsid w:val="53BC607E"/>
    <w:rsid w:val="53C40EF6"/>
    <w:rsid w:val="53E01BE9"/>
    <w:rsid w:val="5419265A"/>
    <w:rsid w:val="54617366"/>
    <w:rsid w:val="546577BD"/>
    <w:rsid w:val="54944121"/>
    <w:rsid w:val="54A27D10"/>
    <w:rsid w:val="54CA0AFA"/>
    <w:rsid w:val="54EF6043"/>
    <w:rsid w:val="54F128A0"/>
    <w:rsid w:val="55007E70"/>
    <w:rsid w:val="550A4347"/>
    <w:rsid w:val="551F1E56"/>
    <w:rsid w:val="552C7758"/>
    <w:rsid w:val="553231C8"/>
    <w:rsid w:val="553A2365"/>
    <w:rsid w:val="55834C9D"/>
    <w:rsid w:val="558F74CD"/>
    <w:rsid w:val="55A14F4C"/>
    <w:rsid w:val="55AB3FB9"/>
    <w:rsid w:val="55B00C96"/>
    <w:rsid w:val="55DF2801"/>
    <w:rsid w:val="56317263"/>
    <w:rsid w:val="564D0A10"/>
    <w:rsid w:val="565D0E2C"/>
    <w:rsid w:val="56822D9F"/>
    <w:rsid w:val="568F3944"/>
    <w:rsid w:val="56A713E5"/>
    <w:rsid w:val="56B95892"/>
    <w:rsid w:val="56C33A89"/>
    <w:rsid w:val="56E72DDF"/>
    <w:rsid w:val="56FC4EC6"/>
    <w:rsid w:val="570F47DC"/>
    <w:rsid w:val="572A2CB9"/>
    <w:rsid w:val="575158F9"/>
    <w:rsid w:val="579E2DB6"/>
    <w:rsid w:val="57A17DA4"/>
    <w:rsid w:val="57AA7626"/>
    <w:rsid w:val="57AC738D"/>
    <w:rsid w:val="57BC6E8F"/>
    <w:rsid w:val="57D0493D"/>
    <w:rsid w:val="581A159F"/>
    <w:rsid w:val="582C55AC"/>
    <w:rsid w:val="58406988"/>
    <w:rsid w:val="58412A3A"/>
    <w:rsid w:val="585D1B67"/>
    <w:rsid w:val="588A0FEC"/>
    <w:rsid w:val="589013C1"/>
    <w:rsid w:val="58967E15"/>
    <w:rsid w:val="58E21C5A"/>
    <w:rsid w:val="58F703C6"/>
    <w:rsid w:val="5968354E"/>
    <w:rsid w:val="59AA0B13"/>
    <w:rsid w:val="59DA37F5"/>
    <w:rsid w:val="59DF2E01"/>
    <w:rsid w:val="5A1811CB"/>
    <w:rsid w:val="5A87004F"/>
    <w:rsid w:val="5A8B2D5B"/>
    <w:rsid w:val="5A8B45A0"/>
    <w:rsid w:val="5A9B2335"/>
    <w:rsid w:val="5A9E467B"/>
    <w:rsid w:val="5AA7122D"/>
    <w:rsid w:val="5ABD7FD4"/>
    <w:rsid w:val="5ADC2467"/>
    <w:rsid w:val="5B4B6ABF"/>
    <w:rsid w:val="5B96685D"/>
    <w:rsid w:val="5BAD39EA"/>
    <w:rsid w:val="5BCA6A43"/>
    <w:rsid w:val="5BDE33C6"/>
    <w:rsid w:val="5BE7501B"/>
    <w:rsid w:val="5BE93998"/>
    <w:rsid w:val="5BFB34A5"/>
    <w:rsid w:val="5C083911"/>
    <w:rsid w:val="5C3A5E5F"/>
    <w:rsid w:val="5C7132A7"/>
    <w:rsid w:val="5C747F8A"/>
    <w:rsid w:val="5C780ED2"/>
    <w:rsid w:val="5C7B2657"/>
    <w:rsid w:val="5CB36078"/>
    <w:rsid w:val="5CE04132"/>
    <w:rsid w:val="5CE4251D"/>
    <w:rsid w:val="5CEF2FB3"/>
    <w:rsid w:val="5CF12A47"/>
    <w:rsid w:val="5CF3526A"/>
    <w:rsid w:val="5CFF4263"/>
    <w:rsid w:val="5D1738F6"/>
    <w:rsid w:val="5D187BE0"/>
    <w:rsid w:val="5D694BD5"/>
    <w:rsid w:val="5D9B595A"/>
    <w:rsid w:val="5D9C3EAD"/>
    <w:rsid w:val="5DC42DB8"/>
    <w:rsid w:val="5DCA752B"/>
    <w:rsid w:val="5E167D18"/>
    <w:rsid w:val="5E470F1A"/>
    <w:rsid w:val="5E8240E0"/>
    <w:rsid w:val="5E882F51"/>
    <w:rsid w:val="5EA61F8B"/>
    <w:rsid w:val="5EAB2BC2"/>
    <w:rsid w:val="5F124901"/>
    <w:rsid w:val="5F290AD3"/>
    <w:rsid w:val="5F304919"/>
    <w:rsid w:val="5F705E0F"/>
    <w:rsid w:val="5FC52406"/>
    <w:rsid w:val="60155DB7"/>
    <w:rsid w:val="60297966"/>
    <w:rsid w:val="609F014A"/>
    <w:rsid w:val="609F13E9"/>
    <w:rsid w:val="60AD31B8"/>
    <w:rsid w:val="60BC49FA"/>
    <w:rsid w:val="60C85A01"/>
    <w:rsid w:val="60D25AE7"/>
    <w:rsid w:val="60DB22D3"/>
    <w:rsid w:val="60E95F74"/>
    <w:rsid w:val="61351DF1"/>
    <w:rsid w:val="61450CBC"/>
    <w:rsid w:val="61514736"/>
    <w:rsid w:val="61553063"/>
    <w:rsid w:val="61AE1DC9"/>
    <w:rsid w:val="61C02365"/>
    <w:rsid w:val="62037693"/>
    <w:rsid w:val="6234493A"/>
    <w:rsid w:val="62574C0C"/>
    <w:rsid w:val="626B4AE7"/>
    <w:rsid w:val="62701C1A"/>
    <w:rsid w:val="6299798A"/>
    <w:rsid w:val="629A6DFA"/>
    <w:rsid w:val="62C42D0A"/>
    <w:rsid w:val="62C975D5"/>
    <w:rsid w:val="62CE69A8"/>
    <w:rsid w:val="62E47DE9"/>
    <w:rsid w:val="630A3A38"/>
    <w:rsid w:val="635D413C"/>
    <w:rsid w:val="63665225"/>
    <w:rsid w:val="636E2957"/>
    <w:rsid w:val="636F08A4"/>
    <w:rsid w:val="63BC366B"/>
    <w:rsid w:val="63C3573C"/>
    <w:rsid w:val="63C627C7"/>
    <w:rsid w:val="63E960A5"/>
    <w:rsid w:val="647B334E"/>
    <w:rsid w:val="64B34403"/>
    <w:rsid w:val="64D75DA7"/>
    <w:rsid w:val="64FD1903"/>
    <w:rsid w:val="65247C0E"/>
    <w:rsid w:val="654B2B2F"/>
    <w:rsid w:val="654D1FCB"/>
    <w:rsid w:val="65671BC7"/>
    <w:rsid w:val="657D736F"/>
    <w:rsid w:val="65D20B36"/>
    <w:rsid w:val="65DE0A33"/>
    <w:rsid w:val="65FD7B71"/>
    <w:rsid w:val="663665C4"/>
    <w:rsid w:val="66441C0C"/>
    <w:rsid w:val="664644C6"/>
    <w:rsid w:val="666B7BD8"/>
    <w:rsid w:val="666D2860"/>
    <w:rsid w:val="66AB2EBB"/>
    <w:rsid w:val="66EB23DC"/>
    <w:rsid w:val="671E1978"/>
    <w:rsid w:val="672D3DF4"/>
    <w:rsid w:val="67387E9E"/>
    <w:rsid w:val="679440C8"/>
    <w:rsid w:val="67A53831"/>
    <w:rsid w:val="67B93CC7"/>
    <w:rsid w:val="67D30A3C"/>
    <w:rsid w:val="67E754CF"/>
    <w:rsid w:val="67EF2D31"/>
    <w:rsid w:val="681311CC"/>
    <w:rsid w:val="682308A0"/>
    <w:rsid w:val="684B64C8"/>
    <w:rsid w:val="68583FAB"/>
    <w:rsid w:val="686B4E29"/>
    <w:rsid w:val="68713816"/>
    <w:rsid w:val="68BB28B5"/>
    <w:rsid w:val="68D71B69"/>
    <w:rsid w:val="68D87A95"/>
    <w:rsid w:val="68DC3E23"/>
    <w:rsid w:val="68EB01D5"/>
    <w:rsid w:val="69412EB7"/>
    <w:rsid w:val="69601EAB"/>
    <w:rsid w:val="698C19E6"/>
    <w:rsid w:val="69B07302"/>
    <w:rsid w:val="69C2719C"/>
    <w:rsid w:val="69D81099"/>
    <w:rsid w:val="69D84DB9"/>
    <w:rsid w:val="6A0E252F"/>
    <w:rsid w:val="6A211C6D"/>
    <w:rsid w:val="6A2E7413"/>
    <w:rsid w:val="6A3E19DA"/>
    <w:rsid w:val="6A6A41E6"/>
    <w:rsid w:val="6A6F7974"/>
    <w:rsid w:val="6A8B7C47"/>
    <w:rsid w:val="6ABD6E95"/>
    <w:rsid w:val="6ACD2744"/>
    <w:rsid w:val="6ADF5806"/>
    <w:rsid w:val="6AE178C9"/>
    <w:rsid w:val="6B061347"/>
    <w:rsid w:val="6B1F558A"/>
    <w:rsid w:val="6B2726BA"/>
    <w:rsid w:val="6B2A59FA"/>
    <w:rsid w:val="6B583669"/>
    <w:rsid w:val="6B6C3593"/>
    <w:rsid w:val="6B796E09"/>
    <w:rsid w:val="6BBB70FE"/>
    <w:rsid w:val="6BC47736"/>
    <w:rsid w:val="6BE364F4"/>
    <w:rsid w:val="6C1437C5"/>
    <w:rsid w:val="6C2D7BCB"/>
    <w:rsid w:val="6C6538F2"/>
    <w:rsid w:val="6C825E5A"/>
    <w:rsid w:val="6C9F50BF"/>
    <w:rsid w:val="6CA1154E"/>
    <w:rsid w:val="6CEA6D91"/>
    <w:rsid w:val="6D2F018E"/>
    <w:rsid w:val="6D450272"/>
    <w:rsid w:val="6D533735"/>
    <w:rsid w:val="6D69434B"/>
    <w:rsid w:val="6D76304C"/>
    <w:rsid w:val="6D7B0DD4"/>
    <w:rsid w:val="6D8D6D62"/>
    <w:rsid w:val="6DA33983"/>
    <w:rsid w:val="6DA40F68"/>
    <w:rsid w:val="6DA43A3A"/>
    <w:rsid w:val="6DB43B3A"/>
    <w:rsid w:val="6DB936DE"/>
    <w:rsid w:val="6DBD2873"/>
    <w:rsid w:val="6DC343B2"/>
    <w:rsid w:val="6DCD6D36"/>
    <w:rsid w:val="6DD56ABC"/>
    <w:rsid w:val="6DD70CCA"/>
    <w:rsid w:val="6E293808"/>
    <w:rsid w:val="6E2D0741"/>
    <w:rsid w:val="6E3E2DDD"/>
    <w:rsid w:val="6E90605C"/>
    <w:rsid w:val="6E9B7D04"/>
    <w:rsid w:val="6EAB1577"/>
    <w:rsid w:val="6EBA6252"/>
    <w:rsid w:val="6EC94AFB"/>
    <w:rsid w:val="6ED43D64"/>
    <w:rsid w:val="6EE33DE2"/>
    <w:rsid w:val="6EEE5F4D"/>
    <w:rsid w:val="6EFD38EA"/>
    <w:rsid w:val="6F827350"/>
    <w:rsid w:val="6FEF0245"/>
    <w:rsid w:val="6FEF3C18"/>
    <w:rsid w:val="70031D9D"/>
    <w:rsid w:val="70130767"/>
    <w:rsid w:val="7040689C"/>
    <w:rsid w:val="705B4716"/>
    <w:rsid w:val="706D548D"/>
    <w:rsid w:val="70727B40"/>
    <w:rsid w:val="70AC4F2D"/>
    <w:rsid w:val="70D2464A"/>
    <w:rsid w:val="70D725E1"/>
    <w:rsid w:val="70E97A09"/>
    <w:rsid w:val="70F958CF"/>
    <w:rsid w:val="70FF13F6"/>
    <w:rsid w:val="71042CDD"/>
    <w:rsid w:val="7187273E"/>
    <w:rsid w:val="7198751E"/>
    <w:rsid w:val="71B00EE5"/>
    <w:rsid w:val="71B14B49"/>
    <w:rsid w:val="71DE7AC3"/>
    <w:rsid w:val="72283758"/>
    <w:rsid w:val="7229287D"/>
    <w:rsid w:val="725330C2"/>
    <w:rsid w:val="72546760"/>
    <w:rsid w:val="726D3DE6"/>
    <w:rsid w:val="72AE422F"/>
    <w:rsid w:val="72B41FC6"/>
    <w:rsid w:val="72CB3882"/>
    <w:rsid w:val="72DB677C"/>
    <w:rsid w:val="72DC16C3"/>
    <w:rsid w:val="72E83538"/>
    <w:rsid w:val="731519C7"/>
    <w:rsid w:val="7355246C"/>
    <w:rsid w:val="736F371E"/>
    <w:rsid w:val="73824FCB"/>
    <w:rsid w:val="73CD2786"/>
    <w:rsid w:val="73E46DB3"/>
    <w:rsid w:val="73E70DDC"/>
    <w:rsid w:val="73FC600D"/>
    <w:rsid w:val="74063545"/>
    <w:rsid w:val="742C4984"/>
    <w:rsid w:val="74396049"/>
    <w:rsid w:val="74423A3D"/>
    <w:rsid w:val="74810D6D"/>
    <w:rsid w:val="74B9430F"/>
    <w:rsid w:val="74C807AF"/>
    <w:rsid w:val="74D4244C"/>
    <w:rsid w:val="74EB13E5"/>
    <w:rsid w:val="74F11A5F"/>
    <w:rsid w:val="750F3153"/>
    <w:rsid w:val="75202F5A"/>
    <w:rsid w:val="754A44F5"/>
    <w:rsid w:val="75804C03"/>
    <w:rsid w:val="75DE5E06"/>
    <w:rsid w:val="76391FE3"/>
    <w:rsid w:val="76436305"/>
    <w:rsid w:val="765056C3"/>
    <w:rsid w:val="76671E93"/>
    <w:rsid w:val="768C46A1"/>
    <w:rsid w:val="76A91FDB"/>
    <w:rsid w:val="76B40FFD"/>
    <w:rsid w:val="76C674E0"/>
    <w:rsid w:val="76FE51A3"/>
    <w:rsid w:val="7708565E"/>
    <w:rsid w:val="772C4D09"/>
    <w:rsid w:val="773502BD"/>
    <w:rsid w:val="774A05FE"/>
    <w:rsid w:val="774D5C2D"/>
    <w:rsid w:val="777665BA"/>
    <w:rsid w:val="77BC5CC1"/>
    <w:rsid w:val="77C73977"/>
    <w:rsid w:val="77E769F5"/>
    <w:rsid w:val="77E95A63"/>
    <w:rsid w:val="780948F5"/>
    <w:rsid w:val="781A1899"/>
    <w:rsid w:val="78231B80"/>
    <w:rsid w:val="782D5B1B"/>
    <w:rsid w:val="78477412"/>
    <w:rsid w:val="78565837"/>
    <w:rsid w:val="788D7340"/>
    <w:rsid w:val="78971696"/>
    <w:rsid w:val="789B032A"/>
    <w:rsid w:val="78AA5455"/>
    <w:rsid w:val="78D22AB1"/>
    <w:rsid w:val="78DD4EBE"/>
    <w:rsid w:val="78E57A45"/>
    <w:rsid w:val="7967340D"/>
    <w:rsid w:val="797B05A6"/>
    <w:rsid w:val="79E230C7"/>
    <w:rsid w:val="79EF31F0"/>
    <w:rsid w:val="7A2D6DAE"/>
    <w:rsid w:val="7A5E77D4"/>
    <w:rsid w:val="7A7B4C6A"/>
    <w:rsid w:val="7A887403"/>
    <w:rsid w:val="7A924D1B"/>
    <w:rsid w:val="7AB37CA0"/>
    <w:rsid w:val="7ABE0441"/>
    <w:rsid w:val="7AD060F4"/>
    <w:rsid w:val="7B214672"/>
    <w:rsid w:val="7B220B50"/>
    <w:rsid w:val="7B260BFD"/>
    <w:rsid w:val="7B396B19"/>
    <w:rsid w:val="7B496DD7"/>
    <w:rsid w:val="7B521EB1"/>
    <w:rsid w:val="7B773D29"/>
    <w:rsid w:val="7BAC531A"/>
    <w:rsid w:val="7C41699B"/>
    <w:rsid w:val="7C486837"/>
    <w:rsid w:val="7C4E77F7"/>
    <w:rsid w:val="7C603AC6"/>
    <w:rsid w:val="7C6C6B5E"/>
    <w:rsid w:val="7C78212C"/>
    <w:rsid w:val="7C944836"/>
    <w:rsid w:val="7CD15868"/>
    <w:rsid w:val="7CDD355D"/>
    <w:rsid w:val="7D081126"/>
    <w:rsid w:val="7D0817DC"/>
    <w:rsid w:val="7D6B6C77"/>
    <w:rsid w:val="7D6D35B3"/>
    <w:rsid w:val="7D7A6246"/>
    <w:rsid w:val="7DB7450F"/>
    <w:rsid w:val="7DDC2B10"/>
    <w:rsid w:val="7DFF7C13"/>
    <w:rsid w:val="7E1F0C4F"/>
    <w:rsid w:val="7E3879A9"/>
    <w:rsid w:val="7E3A14F1"/>
    <w:rsid w:val="7E4A3034"/>
    <w:rsid w:val="7EA17625"/>
    <w:rsid w:val="7ECA7CB6"/>
    <w:rsid w:val="7ED13169"/>
    <w:rsid w:val="7F0569E2"/>
    <w:rsid w:val="7F1C7615"/>
    <w:rsid w:val="7F224EA1"/>
    <w:rsid w:val="7F551504"/>
    <w:rsid w:val="7F76156A"/>
    <w:rsid w:val="7F7F0A9E"/>
    <w:rsid w:val="7FA44E7A"/>
    <w:rsid w:val="7FAD3CEB"/>
    <w:rsid w:val="7FBD0017"/>
    <w:rsid w:val="7FBF71DE"/>
    <w:rsid w:val="7FF20E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iPriority="99"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0"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name="endnote reference"/>
    <w:lsdException w:qFormat="1" w:unhideWhenUsed="0" w:uiPriority="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7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2"/>
    <w:qFormat/>
    <w:uiPriority w:val="0"/>
    <w:pPr>
      <w:keepNext/>
      <w:keepLines/>
      <w:spacing w:before="260" w:after="260" w:line="416" w:lineRule="auto"/>
      <w:outlineLvl w:val="1"/>
    </w:pPr>
    <w:rPr>
      <w:rFonts w:ascii="等线 Light" w:hAnsi="等线 Light" w:eastAsia="等线 Light"/>
      <w:b/>
      <w:bCs/>
      <w:sz w:val="32"/>
      <w:szCs w:val="32"/>
    </w:rPr>
  </w:style>
  <w:style w:type="paragraph" w:styleId="4">
    <w:name w:val="heading 3"/>
    <w:basedOn w:val="1"/>
    <w:next w:val="1"/>
    <w:link w:val="59"/>
    <w:qFormat/>
    <w:uiPriority w:val="0"/>
    <w:pPr>
      <w:keepNext/>
      <w:keepLines/>
      <w:spacing w:before="260" w:after="260" w:line="416" w:lineRule="auto"/>
      <w:outlineLvl w:val="2"/>
    </w:pPr>
    <w:rPr>
      <w:b/>
      <w:bCs/>
      <w:sz w:val="32"/>
      <w:szCs w:val="32"/>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semiHidden/>
    <w:qFormat/>
    <w:uiPriority w:val="0"/>
    <w:pPr>
      <w:tabs>
        <w:tab w:val="right" w:leader="dot" w:pos="9241"/>
      </w:tabs>
      <w:ind w:firstLine="505" w:firstLineChars="500"/>
      <w:jc w:val="left"/>
    </w:pPr>
    <w:rPr>
      <w:rFonts w:ascii="宋体"/>
      <w:szCs w:val="21"/>
    </w:rPr>
  </w:style>
  <w:style w:type="paragraph" w:styleId="6">
    <w:name w:val="index 8"/>
    <w:basedOn w:val="1"/>
    <w:next w:val="1"/>
    <w:qFormat/>
    <w:uiPriority w:val="0"/>
    <w:pPr>
      <w:ind w:left="1680" w:hanging="210"/>
      <w:jc w:val="left"/>
    </w:pPr>
    <w:rPr>
      <w:rFonts w:ascii="Calibri" w:hAnsi="Calibri"/>
      <w:sz w:val="20"/>
      <w:szCs w:val="20"/>
    </w:rPr>
  </w:style>
  <w:style w:type="paragraph" w:styleId="7">
    <w:name w:val="caption"/>
    <w:basedOn w:val="1"/>
    <w:next w:val="1"/>
    <w:qFormat/>
    <w:uiPriority w:val="0"/>
    <w:pPr>
      <w:spacing w:before="152" w:after="160"/>
    </w:pPr>
    <w:rPr>
      <w:rFonts w:ascii="Arial" w:hAnsi="Arial" w:eastAsia="黑体" w:cs="Arial"/>
      <w:sz w:val="20"/>
      <w:szCs w:val="20"/>
    </w:rPr>
  </w:style>
  <w:style w:type="paragraph" w:styleId="8">
    <w:name w:val="index 5"/>
    <w:basedOn w:val="1"/>
    <w:next w:val="1"/>
    <w:qFormat/>
    <w:uiPriority w:val="0"/>
    <w:pPr>
      <w:ind w:left="1050" w:hanging="210"/>
      <w:jc w:val="left"/>
    </w:pPr>
    <w:rPr>
      <w:rFonts w:ascii="Calibri" w:hAnsi="Calibri"/>
      <w:sz w:val="20"/>
      <w:szCs w:val="20"/>
    </w:rPr>
  </w:style>
  <w:style w:type="paragraph" w:styleId="9">
    <w:name w:val="Document Map"/>
    <w:basedOn w:val="1"/>
    <w:link w:val="62"/>
    <w:semiHidden/>
    <w:qFormat/>
    <w:uiPriority w:val="0"/>
    <w:pPr>
      <w:shd w:val="clear" w:color="auto" w:fill="000080"/>
    </w:pPr>
    <w:rPr>
      <w:szCs w:val="24"/>
    </w:rPr>
  </w:style>
  <w:style w:type="paragraph" w:styleId="10">
    <w:name w:val="annotation text"/>
    <w:basedOn w:val="1"/>
    <w:link w:val="67"/>
    <w:qFormat/>
    <w:uiPriority w:val="0"/>
    <w:pPr>
      <w:jc w:val="left"/>
    </w:pPr>
    <w:rPr>
      <w:szCs w:val="24"/>
    </w:rPr>
  </w:style>
  <w:style w:type="paragraph" w:styleId="11">
    <w:name w:val="index 6"/>
    <w:basedOn w:val="1"/>
    <w:next w:val="1"/>
    <w:qFormat/>
    <w:uiPriority w:val="0"/>
    <w:pPr>
      <w:ind w:left="1260" w:hanging="210"/>
      <w:jc w:val="left"/>
    </w:pPr>
    <w:rPr>
      <w:rFonts w:ascii="Calibri" w:hAnsi="Calibri"/>
      <w:sz w:val="20"/>
      <w:szCs w:val="20"/>
    </w:rPr>
  </w:style>
  <w:style w:type="paragraph" w:styleId="12">
    <w:name w:val="Body Text"/>
    <w:basedOn w:val="1"/>
    <w:link w:val="58"/>
    <w:qFormat/>
    <w:uiPriority w:val="1"/>
    <w:pPr>
      <w:ind w:left="140"/>
      <w:jc w:val="left"/>
    </w:pPr>
    <w:rPr>
      <w:rFonts w:ascii="宋体" w:hAnsi="宋体"/>
      <w:kern w:val="0"/>
      <w:sz w:val="24"/>
      <w:szCs w:val="24"/>
      <w:lang w:eastAsia="en-US"/>
    </w:rPr>
  </w:style>
  <w:style w:type="paragraph" w:styleId="13">
    <w:name w:val="index 4"/>
    <w:basedOn w:val="1"/>
    <w:next w:val="1"/>
    <w:qFormat/>
    <w:uiPriority w:val="0"/>
    <w:pPr>
      <w:ind w:left="840" w:hanging="210"/>
      <w:jc w:val="left"/>
    </w:pPr>
    <w:rPr>
      <w:rFonts w:ascii="Calibri" w:hAnsi="Calibri"/>
      <w:sz w:val="20"/>
      <w:szCs w:val="20"/>
    </w:rPr>
  </w:style>
  <w:style w:type="paragraph" w:styleId="14">
    <w:name w:val="toc 5"/>
    <w:basedOn w:val="1"/>
    <w:next w:val="1"/>
    <w:semiHidden/>
    <w:qFormat/>
    <w:uiPriority w:val="0"/>
    <w:pPr>
      <w:tabs>
        <w:tab w:val="right" w:leader="dot" w:pos="9241"/>
      </w:tabs>
      <w:ind w:firstLine="300" w:firstLineChars="300"/>
      <w:jc w:val="left"/>
    </w:pPr>
    <w:rPr>
      <w:rFonts w:ascii="宋体"/>
      <w:szCs w:val="21"/>
    </w:rPr>
  </w:style>
  <w:style w:type="paragraph" w:styleId="15">
    <w:name w:val="toc 3"/>
    <w:basedOn w:val="1"/>
    <w:next w:val="1"/>
    <w:qFormat/>
    <w:uiPriority w:val="39"/>
    <w:pPr>
      <w:tabs>
        <w:tab w:val="right" w:leader="dot" w:pos="9241"/>
      </w:tabs>
      <w:ind w:firstLine="102" w:firstLineChars="100"/>
      <w:jc w:val="left"/>
    </w:pPr>
    <w:rPr>
      <w:rFonts w:ascii="宋体"/>
      <w:szCs w:val="21"/>
    </w:rPr>
  </w:style>
  <w:style w:type="paragraph" w:styleId="16">
    <w:name w:val="toc 8"/>
    <w:basedOn w:val="1"/>
    <w:next w:val="1"/>
    <w:semiHidden/>
    <w:qFormat/>
    <w:uiPriority w:val="0"/>
    <w:pPr>
      <w:tabs>
        <w:tab w:val="right" w:leader="dot" w:pos="9241"/>
      </w:tabs>
      <w:ind w:firstLine="607" w:firstLineChars="600"/>
      <w:jc w:val="left"/>
    </w:pPr>
    <w:rPr>
      <w:rFonts w:ascii="宋体"/>
      <w:szCs w:val="21"/>
    </w:rPr>
  </w:style>
  <w:style w:type="paragraph" w:styleId="17">
    <w:name w:val="index 3"/>
    <w:basedOn w:val="1"/>
    <w:next w:val="1"/>
    <w:qFormat/>
    <w:uiPriority w:val="0"/>
    <w:pPr>
      <w:ind w:left="630" w:hanging="210"/>
      <w:jc w:val="left"/>
    </w:pPr>
    <w:rPr>
      <w:rFonts w:ascii="Calibri" w:hAnsi="Calibri"/>
      <w:sz w:val="20"/>
      <w:szCs w:val="20"/>
    </w:rPr>
  </w:style>
  <w:style w:type="paragraph" w:styleId="18">
    <w:name w:val="endnote text"/>
    <w:basedOn w:val="1"/>
    <w:link w:val="69"/>
    <w:semiHidden/>
    <w:qFormat/>
    <w:uiPriority w:val="0"/>
    <w:pPr>
      <w:snapToGrid w:val="0"/>
      <w:jc w:val="left"/>
    </w:pPr>
    <w:rPr>
      <w:szCs w:val="24"/>
    </w:rPr>
  </w:style>
  <w:style w:type="paragraph" w:styleId="19">
    <w:name w:val="Balloon Text"/>
    <w:basedOn w:val="1"/>
    <w:link w:val="83"/>
    <w:qFormat/>
    <w:uiPriority w:val="0"/>
    <w:rPr>
      <w:sz w:val="18"/>
      <w:szCs w:val="18"/>
    </w:rPr>
  </w:style>
  <w:style w:type="paragraph" w:styleId="20">
    <w:name w:val="footer"/>
    <w:basedOn w:val="1"/>
    <w:link w:val="73"/>
    <w:unhideWhenUsed/>
    <w:qFormat/>
    <w:uiPriority w:val="0"/>
    <w:pPr>
      <w:tabs>
        <w:tab w:val="center" w:pos="4153"/>
        <w:tab w:val="right" w:pos="8306"/>
      </w:tabs>
      <w:snapToGrid w:val="0"/>
      <w:jc w:val="left"/>
    </w:pPr>
    <w:rPr>
      <w:sz w:val="18"/>
      <w:szCs w:val="18"/>
    </w:rPr>
  </w:style>
  <w:style w:type="paragraph" w:styleId="21">
    <w:name w:val="header"/>
    <w:basedOn w:val="1"/>
    <w:link w:val="74"/>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9241"/>
      </w:tabs>
      <w:spacing w:beforeLines="25" w:afterLines="25"/>
      <w:jc w:val="left"/>
    </w:pPr>
    <w:rPr>
      <w:rFonts w:ascii="宋体"/>
      <w:szCs w:val="21"/>
    </w:rPr>
  </w:style>
  <w:style w:type="paragraph" w:styleId="23">
    <w:name w:val="toc 4"/>
    <w:basedOn w:val="1"/>
    <w:next w:val="1"/>
    <w:qFormat/>
    <w:uiPriority w:val="39"/>
    <w:pPr>
      <w:tabs>
        <w:tab w:val="right" w:leader="dot" w:pos="9241"/>
      </w:tabs>
      <w:ind w:firstLine="198" w:firstLineChars="200"/>
      <w:jc w:val="left"/>
    </w:pPr>
    <w:rPr>
      <w:rFonts w:ascii="宋体"/>
      <w:szCs w:val="21"/>
    </w:rPr>
  </w:style>
  <w:style w:type="paragraph" w:styleId="24">
    <w:name w:val="index heading"/>
    <w:basedOn w:val="1"/>
    <w:next w:val="25"/>
    <w:qFormat/>
    <w:uiPriority w:val="0"/>
    <w:pPr>
      <w:spacing w:before="120" w:after="120"/>
      <w:jc w:val="center"/>
    </w:pPr>
    <w:rPr>
      <w:rFonts w:ascii="Calibri" w:hAnsi="Calibri"/>
      <w:b/>
      <w:bCs/>
      <w:iCs/>
      <w:szCs w:val="20"/>
    </w:rPr>
  </w:style>
  <w:style w:type="paragraph" w:styleId="25">
    <w:name w:val="index 1"/>
    <w:basedOn w:val="1"/>
    <w:next w:val="26"/>
    <w:qFormat/>
    <w:uiPriority w:val="0"/>
    <w:pPr>
      <w:tabs>
        <w:tab w:val="right" w:leader="dot" w:pos="9299"/>
      </w:tabs>
      <w:jc w:val="left"/>
    </w:pPr>
    <w:rPr>
      <w:rFonts w:ascii="宋体"/>
      <w:szCs w:val="21"/>
    </w:rPr>
  </w:style>
  <w:style w:type="paragraph" w:customStyle="1" w:styleId="26">
    <w:name w:val="段"/>
    <w:link w:val="54"/>
    <w:qFormat/>
    <w:uiPriority w:val="0"/>
    <w:pPr>
      <w:tabs>
        <w:tab w:val="center" w:pos="4201"/>
        <w:tab w:val="right" w:leader="dot" w:pos="9298"/>
      </w:tabs>
      <w:autoSpaceDE w:val="0"/>
      <w:autoSpaceDN w:val="0"/>
      <w:spacing w:line="360" w:lineRule="auto"/>
      <w:ind w:firstLine="420" w:firstLineChars="200"/>
      <w:jc w:val="both"/>
    </w:pPr>
    <w:rPr>
      <w:rFonts w:ascii="宋体" w:hAnsi="宋体" w:eastAsia="宋体" w:cs="Times New Roman"/>
      <w:kern w:val="2"/>
      <w:sz w:val="21"/>
      <w:szCs w:val="22"/>
      <w:lang w:val="en-US" w:eastAsia="zh-CN" w:bidi="ar-SA"/>
    </w:rPr>
  </w:style>
  <w:style w:type="paragraph" w:styleId="27">
    <w:name w:val="footnote text"/>
    <w:basedOn w:val="1"/>
    <w:link w:val="64"/>
    <w:qFormat/>
    <w:uiPriority w:val="0"/>
    <w:pPr>
      <w:numPr>
        <w:ilvl w:val="0"/>
        <w:numId w:val="1"/>
      </w:numPr>
      <w:snapToGrid w:val="0"/>
      <w:jc w:val="left"/>
    </w:pPr>
    <w:rPr>
      <w:rFonts w:ascii="宋体"/>
      <w:sz w:val="18"/>
      <w:szCs w:val="18"/>
    </w:rPr>
  </w:style>
  <w:style w:type="paragraph" w:styleId="28">
    <w:name w:val="toc 6"/>
    <w:basedOn w:val="1"/>
    <w:next w:val="1"/>
    <w:semiHidden/>
    <w:qFormat/>
    <w:uiPriority w:val="0"/>
    <w:pPr>
      <w:tabs>
        <w:tab w:val="right" w:leader="dot" w:pos="9241"/>
      </w:tabs>
      <w:ind w:firstLine="403" w:firstLineChars="400"/>
      <w:jc w:val="left"/>
    </w:pPr>
    <w:rPr>
      <w:rFonts w:ascii="宋体"/>
      <w:szCs w:val="21"/>
    </w:rPr>
  </w:style>
  <w:style w:type="paragraph" w:styleId="29">
    <w:name w:val="index 7"/>
    <w:basedOn w:val="1"/>
    <w:next w:val="1"/>
    <w:qFormat/>
    <w:uiPriority w:val="0"/>
    <w:pPr>
      <w:ind w:left="1470" w:hanging="210"/>
      <w:jc w:val="left"/>
    </w:pPr>
    <w:rPr>
      <w:rFonts w:ascii="Calibri" w:hAnsi="Calibri"/>
      <w:sz w:val="20"/>
      <w:szCs w:val="20"/>
    </w:rPr>
  </w:style>
  <w:style w:type="paragraph" w:styleId="30">
    <w:name w:val="index 9"/>
    <w:basedOn w:val="1"/>
    <w:next w:val="1"/>
    <w:qFormat/>
    <w:uiPriority w:val="0"/>
    <w:pPr>
      <w:ind w:left="1890" w:hanging="210"/>
      <w:jc w:val="left"/>
    </w:pPr>
    <w:rPr>
      <w:rFonts w:ascii="Calibri" w:hAnsi="Calibri"/>
      <w:sz w:val="20"/>
      <w:szCs w:val="20"/>
    </w:rPr>
  </w:style>
  <w:style w:type="paragraph" w:styleId="31">
    <w:name w:val="toc 2"/>
    <w:basedOn w:val="1"/>
    <w:next w:val="1"/>
    <w:qFormat/>
    <w:uiPriority w:val="39"/>
    <w:pPr>
      <w:tabs>
        <w:tab w:val="right" w:leader="dot" w:pos="9241"/>
      </w:tabs>
    </w:pPr>
    <w:rPr>
      <w:rFonts w:ascii="宋体"/>
      <w:szCs w:val="21"/>
    </w:rPr>
  </w:style>
  <w:style w:type="paragraph" w:styleId="32">
    <w:name w:val="toc 9"/>
    <w:basedOn w:val="1"/>
    <w:next w:val="1"/>
    <w:semiHidden/>
    <w:qFormat/>
    <w:uiPriority w:val="0"/>
    <w:pPr>
      <w:ind w:left="1470"/>
      <w:jc w:val="left"/>
    </w:pPr>
    <w:rPr>
      <w:sz w:val="20"/>
      <w:szCs w:val="20"/>
    </w:rPr>
  </w:style>
  <w:style w:type="paragraph" w:styleId="33">
    <w:name w:val="HTML Preformatted"/>
    <w:basedOn w:val="1"/>
    <w:link w:val="63"/>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34">
    <w:name w:val="Normal (Web)"/>
    <w:basedOn w:val="1"/>
    <w:unhideWhenUsed/>
    <w:qFormat/>
    <w:uiPriority w:val="99"/>
    <w:rPr>
      <w:sz w:val="24"/>
    </w:rPr>
  </w:style>
  <w:style w:type="paragraph" w:styleId="35">
    <w:name w:val="index 2"/>
    <w:basedOn w:val="1"/>
    <w:next w:val="1"/>
    <w:qFormat/>
    <w:uiPriority w:val="0"/>
    <w:pPr>
      <w:ind w:left="420" w:hanging="210"/>
      <w:jc w:val="left"/>
    </w:pPr>
    <w:rPr>
      <w:rFonts w:ascii="Calibri" w:hAnsi="Calibri"/>
      <w:sz w:val="20"/>
      <w:szCs w:val="20"/>
    </w:rPr>
  </w:style>
  <w:style w:type="paragraph" w:styleId="36">
    <w:name w:val="annotation subject"/>
    <w:basedOn w:val="10"/>
    <w:next w:val="10"/>
    <w:link w:val="55"/>
    <w:qFormat/>
    <w:uiPriority w:val="0"/>
    <w:rPr>
      <w:b/>
      <w:bCs/>
    </w:rPr>
  </w:style>
  <w:style w:type="table" w:styleId="38">
    <w:name w:val="Table Grid"/>
    <w:basedOn w:val="37"/>
    <w:qFormat/>
    <w:uiPriority w:val="0"/>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0">
    <w:name w:val="Strong"/>
    <w:qFormat/>
    <w:uiPriority w:val="22"/>
    <w:rPr>
      <w:b/>
      <w:bCs/>
    </w:rPr>
  </w:style>
  <w:style w:type="character" w:styleId="41">
    <w:name w:val="endnote reference"/>
    <w:semiHidden/>
    <w:qFormat/>
    <w:uiPriority w:val="0"/>
    <w:rPr>
      <w:vertAlign w:val="superscript"/>
    </w:rPr>
  </w:style>
  <w:style w:type="character" w:styleId="42">
    <w:name w:val="page number"/>
    <w:qFormat/>
    <w:uiPriority w:val="0"/>
    <w:rPr>
      <w:rFonts w:ascii="Times New Roman" w:hAnsi="Times New Roman" w:eastAsia="宋体"/>
      <w:sz w:val="18"/>
    </w:rPr>
  </w:style>
  <w:style w:type="character" w:styleId="43">
    <w:name w:val="FollowedHyperlink"/>
    <w:qFormat/>
    <w:uiPriority w:val="0"/>
    <w:rPr>
      <w:color w:val="800080"/>
      <w:u w:val="single"/>
    </w:rPr>
  </w:style>
  <w:style w:type="character" w:styleId="44">
    <w:name w:val="Emphasis"/>
    <w:qFormat/>
    <w:uiPriority w:val="20"/>
    <w:rPr>
      <w:i/>
      <w:iCs/>
    </w:rPr>
  </w:style>
  <w:style w:type="character" w:styleId="45">
    <w:name w:val="line number"/>
    <w:basedOn w:val="39"/>
    <w:qFormat/>
    <w:uiPriority w:val="0"/>
  </w:style>
  <w:style w:type="character" w:styleId="46">
    <w:name w:val="Hyperlink"/>
    <w:qFormat/>
    <w:uiPriority w:val="99"/>
    <w:rPr>
      <w:color w:val="0000FF"/>
      <w:spacing w:val="0"/>
      <w:w w:val="100"/>
      <w:szCs w:val="21"/>
      <w:u w:val="single"/>
      <w:lang w:val="en-US" w:eastAsia="zh-CN"/>
    </w:rPr>
  </w:style>
  <w:style w:type="character" w:styleId="47">
    <w:name w:val="annotation reference"/>
    <w:qFormat/>
    <w:uiPriority w:val="0"/>
    <w:rPr>
      <w:sz w:val="21"/>
      <w:szCs w:val="21"/>
    </w:rPr>
  </w:style>
  <w:style w:type="character" w:styleId="48">
    <w:name w:val="footnote reference"/>
    <w:semiHidden/>
    <w:qFormat/>
    <w:uiPriority w:val="0"/>
    <w:rPr>
      <w:vertAlign w:val="superscript"/>
    </w:rPr>
  </w:style>
  <w:style w:type="paragraph" w:customStyle="1" w:styleId="49">
    <w:name w:val="正文条文"/>
    <w:basedOn w:val="26"/>
    <w:qFormat/>
    <w:uiPriority w:val="0"/>
    <w:pPr>
      <w:numPr>
        <w:ilvl w:val="2"/>
        <w:numId w:val="2"/>
      </w:numPr>
      <w:tabs>
        <w:tab w:val="clear" w:pos="4201"/>
        <w:tab w:val="clear" w:pos="9298"/>
      </w:tabs>
      <w:ind w:firstLineChars="0"/>
    </w:pPr>
  </w:style>
  <w:style w:type="character" w:customStyle="1" w:styleId="50">
    <w:name w:val="三级条标题 Char"/>
    <w:link w:val="51"/>
    <w:qFormat/>
    <w:uiPriority w:val="0"/>
  </w:style>
  <w:style w:type="paragraph" w:customStyle="1" w:styleId="51">
    <w:name w:val="三级条标题"/>
    <w:basedOn w:val="52"/>
    <w:next w:val="26"/>
    <w:link w:val="50"/>
    <w:qFormat/>
    <w:uiPriority w:val="0"/>
    <w:pPr>
      <w:numPr>
        <w:ilvl w:val="3"/>
        <w:numId w:val="3"/>
      </w:numPr>
      <w:tabs>
        <w:tab w:val="left" w:pos="0"/>
      </w:tabs>
      <w:outlineLvl w:val="4"/>
    </w:pPr>
  </w:style>
  <w:style w:type="paragraph" w:customStyle="1" w:styleId="52">
    <w:name w:val="二级条标题"/>
    <w:basedOn w:val="53"/>
    <w:next w:val="26"/>
    <w:qFormat/>
    <w:uiPriority w:val="0"/>
    <w:pPr>
      <w:numPr>
        <w:ilvl w:val="2"/>
      </w:numPr>
      <w:tabs>
        <w:tab w:val="left" w:pos="0"/>
      </w:tabs>
      <w:outlineLvl w:val="3"/>
    </w:pPr>
  </w:style>
  <w:style w:type="paragraph" w:customStyle="1" w:styleId="53">
    <w:name w:val="一级条标题"/>
    <w:next w:val="26"/>
    <w:qFormat/>
    <w:uiPriority w:val="0"/>
    <w:pPr>
      <w:numPr>
        <w:ilvl w:val="1"/>
        <w:numId w:val="4"/>
      </w:numPr>
      <w:spacing w:beforeLines="50" w:afterLines="50" w:line="360" w:lineRule="auto"/>
      <w:jc w:val="center"/>
      <w:outlineLvl w:val="2"/>
    </w:pPr>
    <w:rPr>
      <w:rFonts w:ascii="黑体" w:hAnsi="黑体" w:eastAsia="黑体" w:cs="Times New Roman"/>
      <w:b/>
      <w:sz w:val="21"/>
      <w:szCs w:val="21"/>
      <w:lang w:val="en-US" w:eastAsia="zh-CN" w:bidi="ar-SA"/>
    </w:rPr>
  </w:style>
  <w:style w:type="character" w:customStyle="1" w:styleId="54">
    <w:name w:val="段 Char"/>
    <w:link w:val="26"/>
    <w:qFormat/>
    <w:uiPriority w:val="0"/>
    <w:rPr>
      <w:rFonts w:ascii="宋体" w:hAnsi="宋体" w:eastAsia="宋体" w:cs="Times New Roman"/>
      <w:kern w:val="2"/>
      <w:sz w:val="21"/>
      <w:szCs w:val="22"/>
      <w:lang w:val="en-US" w:eastAsia="zh-CN" w:bidi="ar-SA"/>
    </w:rPr>
  </w:style>
  <w:style w:type="character" w:customStyle="1" w:styleId="55">
    <w:name w:val="批注主题 字符"/>
    <w:link w:val="36"/>
    <w:qFormat/>
    <w:uiPriority w:val="0"/>
    <w:rPr>
      <w:rFonts w:ascii="Times New Roman" w:hAnsi="Times New Roman" w:eastAsia="宋体" w:cs="Times New Roman"/>
      <w:b/>
      <w:bCs/>
      <w:szCs w:val="24"/>
    </w:rPr>
  </w:style>
  <w:style w:type="character" w:customStyle="1" w:styleId="56">
    <w:name w:val="四级条标题 Char"/>
    <w:link w:val="57"/>
    <w:qFormat/>
    <w:uiPriority w:val="0"/>
  </w:style>
  <w:style w:type="paragraph" w:customStyle="1" w:styleId="57">
    <w:name w:val="四级条标题"/>
    <w:basedOn w:val="51"/>
    <w:next w:val="26"/>
    <w:link w:val="56"/>
    <w:qFormat/>
    <w:uiPriority w:val="0"/>
    <w:pPr>
      <w:numPr>
        <w:ilvl w:val="4"/>
        <w:numId w:val="5"/>
      </w:numPr>
      <w:outlineLvl w:val="5"/>
    </w:pPr>
  </w:style>
  <w:style w:type="character" w:customStyle="1" w:styleId="58">
    <w:name w:val="正文文本 字符"/>
    <w:link w:val="12"/>
    <w:qFormat/>
    <w:uiPriority w:val="1"/>
    <w:rPr>
      <w:rFonts w:ascii="宋体" w:hAnsi="宋体" w:eastAsia="宋体"/>
      <w:kern w:val="0"/>
      <w:sz w:val="24"/>
      <w:szCs w:val="24"/>
      <w:lang w:eastAsia="en-US"/>
    </w:rPr>
  </w:style>
  <w:style w:type="character" w:customStyle="1" w:styleId="59">
    <w:name w:val="标题 3 字符"/>
    <w:link w:val="4"/>
    <w:qFormat/>
    <w:uiPriority w:val="0"/>
    <w:rPr>
      <w:rFonts w:ascii="Times New Roman" w:hAnsi="Times New Roman" w:eastAsia="宋体" w:cs="Times New Roman"/>
      <w:b/>
      <w:bCs/>
      <w:sz w:val="32"/>
      <w:szCs w:val="32"/>
    </w:rPr>
  </w:style>
  <w:style w:type="character" w:customStyle="1" w:styleId="60">
    <w:name w:val="发布"/>
    <w:qFormat/>
    <w:uiPriority w:val="0"/>
    <w:rPr>
      <w:rFonts w:ascii="黑体" w:eastAsia="黑体"/>
      <w:spacing w:val="85"/>
      <w:w w:val="100"/>
      <w:position w:val="3"/>
      <w:sz w:val="28"/>
      <w:szCs w:val="28"/>
    </w:rPr>
  </w:style>
  <w:style w:type="character" w:customStyle="1" w:styleId="61">
    <w:name w:val="标题 2 Char"/>
    <w:basedOn w:val="39"/>
    <w:qFormat/>
    <w:uiPriority w:val="0"/>
    <w:rPr>
      <w:rFonts w:ascii="Cambria" w:hAnsi="Cambria" w:eastAsia="仿宋" w:cs="Times New Roman"/>
      <w:b/>
      <w:bCs/>
      <w:sz w:val="28"/>
      <w:szCs w:val="32"/>
    </w:rPr>
  </w:style>
  <w:style w:type="character" w:customStyle="1" w:styleId="62">
    <w:name w:val="文档结构图 字符"/>
    <w:link w:val="9"/>
    <w:semiHidden/>
    <w:qFormat/>
    <w:uiPriority w:val="0"/>
    <w:rPr>
      <w:rFonts w:ascii="Times New Roman" w:hAnsi="Times New Roman" w:eastAsia="宋体" w:cs="Times New Roman"/>
      <w:szCs w:val="24"/>
      <w:shd w:val="clear" w:color="auto" w:fill="000080"/>
    </w:rPr>
  </w:style>
  <w:style w:type="character" w:customStyle="1" w:styleId="63">
    <w:name w:val="HTML 预设格式 字符"/>
    <w:link w:val="33"/>
    <w:qFormat/>
    <w:uiPriority w:val="99"/>
    <w:rPr>
      <w:rFonts w:ascii="宋体" w:hAnsi="宋体" w:eastAsia="宋体" w:cs="宋体"/>
      <w:kern w:val="0"/>
      <w:sz w:val="24"/>
      <w:szCs w:val="24"/>
    </w:rPr>
  </w:style>
  <w:style w:type="character" w:customStyle="1" w:styleId="64">
    <w:name w:val="脚注文本 字符"/>
    <w:link w:val="27"/>
    <w:qFormat/>
    <w:uiPriority w:val="0"/>
    <w:rPr>
      <w:rFonts w:ascii="宋体" w:hAnsi="Times New Roman" w:eastAsia="宋体" w:cs="Times New Roman"/>
      <w:sz w:val="18"/>
      <w:szCs w:val="18"/>
    </w:rPr>
  </w:style>
  <w:style w:type="character" w:customStyle="1" w:styleId="65">
    <w:name w:val="首示例 Char"/>
    <w:link w:val="66"/>
    <w:qFormat/>
    <w:uiPriority w:val="0"/>
    <w:rPr>
      <w:rFonts w:ascii="宋体" w:hAnsi="宋体" w:eastAsia="宋体" w:cs="Times New Roman"/>
      <w:sz w:val="18"/>
      <w:szCs w:val="18"/>
      <w:lang w:bidi="ar-SA"/>
    </w:rPr>
  </w:style>
  <w:style w:type="paragraph" w:customStyle="1" w:styleId="66">
    <w:name w:val="首示例"/>
    <w:next w:val="26"/>
    <w:link w:val="65"/>
    <w:qFormat/>
    <w:uiPriority w:val="0"/>
    <w:pPr>
      <w:numPr>
        <w:ilvl w:val="0"/>
        <w:numId w:val="6"/>
      </w:numPr>
      <w:tabs>
        <w:tab w:val="left" w:pos="360"/>
      </w:tabs>
      <w:ind w:firstLine="0"/>
    </w:pPr>
    <w:rPr>
      <w:rFonts w:ascii="宋体" w:hAnsi="宋体" w:eastAsia="宋体" w:cs="Times New Roman"/>
      <w:sz w:val="18"/>
      <w:szCs w:val="18"/>
      <w:lang w:val="en-US" w:eastAsia="zh-CN" w:bidi="ar-SA"/>
    </w:rPr>
  </w:style>
  <w:style w:type="character" w:customStyle="1" w:styleId="67">
    <w:name w:val="批注文字 字符"/>
    <w:link w:val="10"/>
    <w:qFormat/>
    <w:uiPriority w:val="0"/>
    <w:rPr>
      <w:rFonts w:ascii="Times New Roman" w:hAnsi="Times New Roman" w:eastAsia="宋体" w:cs="Times New Roman"/>
      <w:szCs w:val="24"/>
    </w:rPr>
  </w:style>
  <w:style w:type="character" w:customStyle="1" w:styleId="68">
    <w:name w:val="未处理的提及11"/>
    <w:unhideWhenUsed/>
    <w:qFormat/>
    <w:uiPriority w:val="99"/>
    <w:rPr>
      <w:color w:val="808080"/>
      <w:shd w:val="clear" w:color="auto" w:fill="E6E6E6"/>
    </w:rPr>
  </w:style>
  <w:style w:type="character" w:customStyle="1" w:styleId="69">
    <w:name w:val="尾注文本 字符"/>
    <w:link w:val="18"/>
    <w:semiHidden/>
    <w:qFormat/>
    <w:uiPriority w:val="0"/>
    <w:rPr>
      <w:rFonts w:ascii="Times New Roman" w:hAnsi="Times New Roman" w:eastAsia="宋体" w:cs="Times New Roman"/>
      <w:szCs w:val="24"/>
    </w:rPr>
  </w:style>
  <w:style w:type="character" w:customStyle="1" w:styleId="70">
    <w:name w:val="未处理的提及1"/>
    <w:unhideWhenUsed/>
    <w:qFormat/>
    <w:uiPriority w:val="99"/>
    <w:rPr>
      <w:color w:val="808080"/>
      <w:shd w:val="clear" w:color="auto" w:fill="E6E6E6"/>
    </w:rPr>
  </w:style>
  <w:style w:type="character" w:customStyle="1" w:styleId="71">
    <w:name w:val="font21"/>
    <w:qFormat/>
    <w:uiPriority w:val="0"/>
    <w:rPr>
      <w:rFonts w:hint="eastAsia" w:ascii="宋体" w:hAnsi="宋体" w:eastAsia="宋体" w:cs="宋体"/>
      <w:color w:val="000000"/>
      <w:sz w:val="21"/>
      <w:szCs w:val="21"/>
      <w:u w:val="none"/>
    </w:rPr>
  </w:style>
  <w:style w:type="character" w:customStyle="1" w:styleId="72">
    <w:name w:val="标题 2 字符"/>
    <w:link w:val="3"/>
    <w:semiHidden/>
    <w:qFormat/>
    <w:uiPriority w:val="0"/>
    <w:rPr>
      <w:rFonts w:ascii="等线 Light" w:hAnsi="等线 Light" w:eastAsia="等线 Light" w:cs="Times New Roman"/>
      <w:b/>
      <w:bCs/>
      <w:sz w:val="32"/>
      <w:szCs w:val="32"/>
    </w:rPr>
  </w:style>
  <w:style w:type="character" w:customStyle="1" w:styleId="73">
    <w:name w:val="页脚 字符"/>
    <w:link w:val="20"/>
    <w:qFormat/>
    <w:uiPriority w:val="99"/>
    <w:rPr>
      <w:sz w:val="18"/>
      <w:szCs w:val="18"/>
    </w:rPr>
  </w:style>
  <w:style w:type="character" w:customStyle="1" w:styleId="74">
    <w:name w:val="页眉 字符"/>
    <w:link w:val="21"/>
    <w:qFormat/>
    <w:uiPriority w:val="99"/>
    <w:rPr>
      <w:sz w:val="18"/>
      <w:szCs w:val="18"/>
    </w:rPr>
  </w:style>
  <w:style w:type="character" w:customStyle="1" w:styleId="75">
    <w:name w:val="标题 1 字符"/>
    <w:link w:val="2"/>
    <w:qFormat/>
    <w:uiPriority w:val="0"/>
    <w:rPr>
      <w:rFonts w:ascii="Times New Roman" w:hAnsi="Times New Roman" w:eastAsia="宋体" w:cs="Times New Roman"/>
      <w:b/>
      <w:bCs/>
      <w:kern w:val="44"/>
      <w:sz w:val="44"/>
      <w:szCs w:val="44"/>
    </w:rPr>
  </w:style>
  <w:style w:type="character" w:customStyle="1" w:styleId="76">
    <w:name w:val="font01"/>
    <w:qFormat/>
    <w:uiPriority w:val="0"/>
    <w:rPr>
      <w:rFonts w:hint="default" w:ascii="Times New Roman" w:hAnsi="Times New Roman" w:cs="Times New Roman"/>
      <w:color w:val="000000"/>
      <w:sz w:val="21"/>
      <w:szCs w:val="21"/>
      <w:u w:val="none"/>
    </w:rPr>
  </w:style>
  <w:style w:type="character" w:customStyle="1" w:styleId="77">
    <w:name w:val="附录公式 Char"/>
    <w:link w:val="78"/>
    <w:qFormat/>
    <w:uiPriority w:val="0"/>
    <w:rPr>
      <w:rFonts w:ascii="宋体" w:hAnsi="Times New Roman" w:eastAsia="宋体" w:cs="Times New Roman"/>
      <w:kern w:val="0"/>
      <w:sz w:val="21"/>
      <w:szCs w:val="20"/>
      <w:lang w:val="en-US" w:eastAsia="zh-CN" w:bidi="ar-SA"/>
    </w:rPr>
  </w:style>
  <w:style w:type="paragraph" w:customStyle="1" w:styleId="78">
    <w:name w:val="附录公式"/>
    <w:basedOn w:val="26"/>
    <w:next w:val="26"/>
    <w:link w:val="77"/>
    <w:qFormat/>
    <w:uiPriority w:val="0"/>
  </w:style>
  <w:style w:type="character" w:customStyle="1" w:styleId="79">
    <w:name w:val="op_dict_text22"/>
    <w:basedOn w:val="39"/>
    <w:qFormat/>
    <w:uiPriority w:val="0"/>
  </w:style>
  <w:style w:type="character" w:customStyle="1" w:styleId="80">
    <w:name w:val="五级条标题 Char"/>
    <w:link w:val="81"/>
    <w:qFormat/>
    <w:uiPriority w:val="0"/>
  </w:style>
  <w:style w:type="paragraph" w:customStyle="1" w:styleId="81">
    <w:name w:val="五级条标题"/>
    <w:basedOn w:val="57"/>
    <w:next w:val="26"/>
    <w:link w:val="80"/>
    <w:qFormat/>
    <w:uiPriority w:val="0"/>
    <w:pPr>
      <w:numPr>
        <w:ilvl w:val="5"/>
        <w:numId w:val="7"/>
      </w:numPr>
      <w:outlineLvl w:val="6"/>
    </w:pPr>
  </w:style>
  <w:style w:type="character" w:customStyle="1" w:styleId="82">
    <w:name w:val="font11"/>
    <w:qFormat/>
    <w:uiPriority w:val="0"/>
    <w:rPr>
      <w:rFonts w:hint="default" w:ascii="Times New Roman" w:hAnsi="Times New Roman" w:cs="Times New Roman"/>
      <w:color w:val="000000"/>
      <w:sz w:val="21"/>
      <w:szCs w:val="21"/>
      <w:u w:val="none"/>
    </w:rPr>
  </w:style>
  <w:style w:type="character" w:customStyle="1" w:styleId="83">
    <w:name w:val="批注框文本 字符"/>
    <w:link w:val="19"/>
    <w:qFormat/>
    <w:uiPriority w:val="0"/>
    <w:rPr>
      <w:rFonts w:ascii="Times New Roman" w:hAnsi="Times New Roman" w:eastAsia="宋体" w:cs="Times New Roman"/>
      <w:sz w:val="18"/>
      <w:szCs w:val="18"/>
    </w:rPr>
  </w:style>
  <w:style w:type="character" w:customStyle="1" w:styleId="84">
    <w:name w:val="章标题 Char"/>
    <w:link w:val="85"/>
    <w:qFormat/>
    <w:uiPriority w:val="0"/>
    <w:rPr>
      <w:rFonts w:ascii="黑体" w:hAnsi="黑体" w:eastAsia="黑体"/>
      <w:b/>
      <w:sz w:val="28"/>
      <w:szCs w:val="28"/>
      <w:lang w:val="en-US" w:eastAsia="zh-CN" w:bidi="ar-SA"/>
    </w:rPr>
  </w:style>
  <w:style w:type="paragraph" w:customStyle="1" w:styleId="85">
    <w:name w:val="章标题"/>
    <w:next w:val="26"/>
    <w:link w:val="84"/>
    <w:qFormat/>
    <w:uiPriority w:val="0"/>
    <w:pPr>
      <w:numPr>
        <w:ilvl w:val="0"/>
        <w:numId w:val="5"/>
      </w:numPr>
      <w:spacing w:beforeLines="100" w:afterLines="100" w:line="360" w:lineRule="auto"/>
      <w:jc w:val="center"/>
      <w:outlineLvl w:val="1"/>
    </w:pPr>
    <w:rPr>
      <w:rFonts w:ascii="黑体" w:hAnsi="黑体" w:eastAsia="黑体" w:cs="Times New Roman"/>
      <w:b/>
      <w:sz w:val="28"/>
      <w:szCs w:val="28"/>
      <w:lang w:val="en-US" w:eastAsia="zh-CN" w:bidi="ar-SA"/>
    </w:rPr>
  </w:style>
  <w:style w:type="paragraph" w:customStyle="1" w:styleId="86">
    <w:name w:val="编号列项（三级）"/>
    <w:qFormat/>
    <w:uiPriority w:val="0"/>
    <w:pPr>
      <w:numPr>
        <w:ilvl w:val="2"/>
        <w:numId w:val="8"/>
      </w:numPr>
    </w:pPr>
    <w:rPr>
      <w:rFonts w:ascii="宋体" w:hAnsi="Times New Roman" w:eastAsia="宋体" w:cs="Times New Roman"/>
      <w:sz w:val="21"/>
      <w:lang w:val="en-US" w:eastAsia="zh-CN" w:bidi="ar-SA"/>
    </w:rPr>
  </w:style>
  <w:style w:type="paragraph" w:customStyle="1" w:styleId="87">
    <w:name w:val="字母编号列项（一级）"/>
    <w:qFormat/>
    <w:uiPriority w:val="0"/>
    <w:pPr>
      <w:numPr>
        <w:ilvl w:val="0"/>
        <w:numId w:val="8"/>
      </w:numPr>
      <w:jc w:val="both"/>
    </w:pPr>
    <w:rPr>
      <w:rFonts w:ascii="宋体" w:hAnsi="Times New Roman" w:eastAsia="宋体" w:cs="Times New Roman"/>
      <w:sz w:val="21"/>
      <w:lang w:val="en-US" w:eastAsia="zh-CN" w:bidi="ar-SA"/>
    </w:rPr>
  </w:style>
  <w:style w:type="paragraph" w:customStyle="1" w:styleId="88">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89">
    <w:name w:val="附录五级无"/>
    <w:basedOn w:val="90"/>
    <w:qFormat/>
    <w:uiPriority w:val="0"/>
    <w:pPr>
      <w:tabs>
        <w:tab w:val="left" w:pos="360"/>
      </w:tabs>
      <w:spacing w:beforeLines="0" w:afterLines="0"/>
    </w:pPr>
    <w:rPr>
      <w:rFonts w:ascii="宋体" w:eastAsia="宋体"/>
      <w:szCs w:val="21"/>
    </w:rPr>
  </w:style>
  <w:style w:type="paragraph" w:customStyle="1" w:styleId="90">
    <w:name w:val="附录五级条标题"/>
    <w:basedOn w:val="91"/>
    <w:next w:val="26"/>
    <w:qFormat/>
    <w:uiPriority w:val="0"/>
    <w:pPr>
      <w:numPr>
        <w:ilvl w:val="6"/>
      </w:numPr>
      <w:tabs>
        <w:tab w:val="left" w:pos="360"/>
      </w:tabs>
      <w:outlineLvl w:val="6"/>
    </w:pPr>
  </w:style>
  <w:style w:type="paragraph" w:customStyle="1" w:styleId="91">
    <w:name w:val="附录四级条标题"/>
    <w:basedOn w:val="92"/>
    <w:next w:val="26"/>
    <w:qFormat/>
    <w:uiPriority w:val="0"/>
    <w:pPr>
      <w:numPr>
        <w:ilvl w:val="5"/>
      </w:numPr>
      <w:tabs>
        <w:tab w:val="left" w:pos="360"/>
      </w:tabs>
      <w:outlineLvl w:val="5"/>
    </w:pPr>
  </w:style>
  <w:style w:type="paragraph" w:customStyle="1" w:styleId="92">
    <w:name w:val="附录三级条标题"/>
    <w:basedOn w:val="93"/>
    <w:next w:val="26"/>
    <w:qFormat/>
    <w:uiPriority w:val="0"/>
    <w:pPr>
      <w:numPr>
        <w:ilvl w:val="4"/>
      </w:numPr>
      <w:tabs>
        <w:tab w:val="left" w:pos="360"/>
      </w:tabs>
      <w:outlineLvl w:val="4"/>
    </w:pPr>
  </w:style>
  <w:style w:type="paragraph" w:customStyle="1" w:styleId="93">
    <w:name w:val="附录二级条标题"/>
    <w:basedOn w:val="1"/>
    <w:next w:val="26"/>
    <w:qFormat/>
    <w:uiPriority w:val="0"/>
    <w:pPr>
      <w:widowControl/>
      <w:numPr>
        <w:ilvl w:val="3"/>
        <w:numId w:val="9"/>
      </w:numPr>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94">
    <w:name w:val="TOC 标题1"/>
    <w:basedOn w:val="2"/>
    <w:next w:val="1"/>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paragraph" w:customStyle="1" w:styleId="95">
    <w:name w:val="附录数字编号列项（二级）"/>
    <w:qFormat/>
    <w:uiPriority w:val="0"/>
    <w:pPr>
      <w:numPr>
        <w:ilvl w:val="1"/>
        <w:numId w:val="10"/>
      </w:numPr>
    </w:pPr>
    <w:rPr>
      <w:rFonts w:ascii="宋体" w:hAnsi="Times New Roman" w:eastAsia="宋体" w:cs="Times New Roman"/>
      <w:sz w:val="21"/>
      <w:lang w:val="en-US" w:eastAsia="zh-CN" w:bidi="ar-SA"/>
    </w:rPr>
  </w:style>
  <w:style w:type="paragraph" w:customStyle="1" w:styleId="96">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97">
    <w:name w:val="Char1 Char Char Char Char Char Char Char Char Char Char Char"/>
    <w:basedOn w:val="1"/>
    <w:qFormat/>
    <w:uiPriority w:val="0"/>
    <w:pPr>
      <w:pageBreakBefore/>
      <w:tabs>
        <w:tab w:val="left" w:pos="432"/>
      </w:tabs>
      <w:ind w:left="432" w:hanging="432"/>
    </w:pPr>
    <w:rPr>
      <w:rFonts w:ascii="Tahoma" w:hAnsi="Tahoma"/>
      <w:sz w:val="24"/>
      <w:szCs w:val="20"/>
    </w:rPr>
  </w:style>
  <w:style w:type="paragraph" w:customStyle="1" w:styleId="98">
    <w:name w:val="列项——（一级）"/>
    <w:qFormat/>
    <w:uiPriority w:val="0"/>
    <w:pPr>
      <w:widowControl w:val="0"/>
      <w:numPr>
        <w:ilvl w:val="0"/>
        <w:numId w:val="11"/>
      </w:numPr>
      <w:jc w:val="both"/>
    </w:pPr>
    <w:rPr>
      <w:rFonts w:ascii="宋体" w:hAnsi="Times New Roman" w:eastAsia="宋体" w:cs="Times New Roman"/>
      <w:sz w:val="21"/>
      <w:lang w:val="en-US" w:eastAsia="zh-CN" w:bidi="ar-SA"/>
    </w:rPr>
  </w:style>
  <w:style w:type="paragraph" w:customStyle="1" w:styleId="99">
    <w:name w:val="参考文献、索引标题"/>
    <w:basedOn w:val="1"/>
    <w:next w:val="26"/>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100">
    <w:name w:val="前言、引言标题"/>
    <w:next w:val="26"/>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01">
    <w:name w:val="封面标准文稿编辑信息2"/>
    <w:basedOn w:val="102"/>
    <w:qFormat/>
    <w:uiPriority w:val="0"/>
    <w:pPr>
      <w:framePr w:y="4469"/>
    </w:pPr>
  </w:style>
  <w:style w:type="paragraph" w:customStyle="1" w:styleId="102">
    <w:name w:val="封面标准文稿编辑信息"/>
    <w:basedOn w:val="103"/>
    <w:qFormat/>
    <w:uiPriority w:val="0"/>
    <w:pPr>
      <w:spacing w:before="180" w:line="180" w:lineRule="exact"/>
    </w:pPr>
    <w:rPr>
      <w:sz w:val="21"/>
    </w:rPr>
  </w:style>
  <w:style w:type="paragraph" w:customStyle="1" w:styleId="103">
    <w:name w:val="封面标准文稿类别"/>
    <w:basedOn w:val="104"/>
    <w:qFormat/>
    <w:uiPriority w:val="0"/>
    <w:pPr>
      <w:spacing w:after="160" w:line="240" w:lineRule="auto"/>
    </w:pPr>
    <w:rPr>
      <w:sz w:val="24"/>
    </w:rPr>
  </w:style>
  <w:style w:type="paragraph" w:customStyle="1" w:styleId="104">
    <w:name w:val="封面一致性程度标识"/>
    <w:basedOn w:val="105"/>
    <w:qFormat/>
    <w:uiPriority w:val="0"/>
    <w:pPr>
      <w:spacing w:before="440"/>
    </w:pPr>
    <w:rPr>
      <w:rFonts w:ascii="宋体" w:eastAsia="宋体"/>
    </w:rPr>
  </w:style>
  <w:style w:type="paragraph" w:customStyle="1" w:styleId="105">
    <w:name w:val="封面标准英文名称"/>
    <w:basedOn w:val="106"/>
    <w:qFormat/>
    <w:uiPriority w:val="0"/>
    <w:pPr>
      <w:spacing w:before="370" w:line="400" w:lineRule="exact"/>
    </w:pPr>
    <w:rPr>
      <w:rFonts w:ascii="Times New Roman"/>
      <w:sz w:val="28"/>
      <w:szCs w:val="28"/>
    </w:rPr>
  </w:style>
  <w:style w:type="paragraph" w:customStyle="1" w:styleId="106">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07">
    <w:name w:val="条文脚注"/>
    <w:basedOn w:val="27"/>
    <w:qFormat/>
    <w:uiPriority w:val="0"/>
    <w:pPr>
      <w:numPr>
        <w:numId w:val="0"/>
      </w:numPr>
      <w:jc w:val="both"/>
    </w:pPr>
  </w:style>
  <w:style w:type="paragraph" w:customStyle="1" w:styleId="108">
    <w:name w:val="附录表标题"/>
    <w:basedOn w:val="1"/>
    <w:next w:val="26"/>
    <w:qFormat/>
    <w:uiPriority w:val="0"/>
    <w:pPr>
      <w:numPr>
        <w:ilvl w:val="1"/>
        <w:numId w:val="12"/>
      </w:numPr>
      <w:tabs>
        <w:tab w:val="left" w:pos="180"/>
      </w:tabs>
      <w:spacing w:beforeLines="50" w:afterLines="50"/>
      <w:ind w:left="0" w:firstLine="0"/>
      <w:jc w:val="center"/>
    </w:pPr>
    <w:rPr>
      <w:rFonts w:ascii="黑体" w:eastAsia="黑体"/>
      <w:szCs w:val="21"/>
    </w:rPr>
  </w:style>
  <w:style w:type="paragraph" w:customStyle="1" w:styleId="109">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110">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111">
    <w:name w:val="正文公式编号制表符"/>
    <w:basedOn w:val="26"/>
    <w:next w:val="26"/>
    <w:qFormat/>
    <w:uiPriority w:val="0"/>
    <w:pPr>
      <w:ind w:firstLine="0" w:firstLineChars="0"/>
    </w:pPr>
  </w:style>
  <w:style w:type="paragraph" w:customStyle="1" w:styleId="112">
    <w:name w:val="四级无"/>
    <w:basedOn w:val="57"/>
    <w:qFormat/>
    <w:uiPriority w:val="0"/>
    <w:pPr>
      <w:spacing w:beforeLines="0" w:afterLines="0"/>
    </w:pPr>
    <w:rPr>
      <w:rFonts w:ascii="宋体" w:eastAsia="宋体"/>
    </w:rPr>
  </w:style>
  <w:style w:type="paragraph" w:customStyle="1" w:styleId="113">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114">
    <w:name w:val="注×："/>
    <w:qFormat/>
    <w:uiPriority w:val="0"/>
    <w:pPr>
      <w:widowControl w:val="0"/>
      <w:numPr>
        <w:ilvl w:val="0"/>
        <w:numId w:val="13"/>
      </w:numPr>
      <w:autoSpaceDE w:val="0"/>
      <w:autoSpaceDN w:val="0"/>
      <w:jc w:val="both"/>
    </w:pPr>
    <w:rPr>
      <w:rFonts w:ascii="宋体" w:hAnsi="Times New Roman" w:eastAsia="宋体" w:cs="Times New Roman"/>
      <w:sz w:val="18"/>
      <w:szCs w:val="18"/>
      <w:lang w:val="en-US" w:eastAsia="zh-CN" w:bidi="ar-SA"/>
    </w:rPr>
  </w:style>
  <w:style w:type="paragraph" w:customStyle="1" w:styleId="115">
    <w:name w:val="封面正文"/>
    <w:qFormat/>
    <w:uiPriority w:val="0"/>
    <w:pPr>
      <w:jc w:val="both"/>
    </w:pPr>
    <w:rPr>
      <w:rFonts w:ascii="Times New Roman" w:hAnsi="Times New Roman" w:eastAsia="宋体" w:cs="Times New Roman"/>
      <w:lang w:val="en-US" w:eastAsia="zh-CN" w:bidi="ar-SA"/>
    </w:rPr>
  </w:style>
  <w:style w:type="paragraph" w:customStyle="1" w:styleId="116">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17">
    <w:name w:val="图表脚注说明"/>
    <w:basedOn w:val="1"/>
    <w:qFormat/>
    <w:uiPriority w:val="0"/>
    <w:pPr>
      <w:numPr>
        <w:ilvl w:val="0"/>
        <w:numId w:val="14"/>
      </w:numPr>
    </w:pPr>
    <w:rPr>
      <w:rFonts w:ascii="宋体"/>
      <w:sz w:val="18"/>
      <w:szCs w:val="18"/>
    </w:rPr>
  </w:style>
  <w:style w:type="paragraph" w:customStyle="1" w:styleId="118">
    <w:name w:val="其他发布日期"/>
    <w:basedOn w:val="110"/>
    <w:qFormat/>
    <w:uiPriority w:val="0"/>
    <w:pPr>
      <w:framePr w:vAnchor="page" w:hAnchor="text" w:x="1419"/>
    </w:pPr>
  </w:style>
  <w:style w:type="paragraph" w:customStyle="1" w:styleId="119">
    <w:name w:val="列项◆（三级）"/>
    <w:basedOn w:val="1"/>
    <w:qFormat/>
    <w:uiPriority w:val="0"/>
    <w:pPr>
      <w:numPr>
        <w:ilvl w:val="2"/>
        <w:numId w:val="11"/>
      </w:numPr>
    </w:pPr>
    <w:rPr>
      <w:rFonts w:ascii="宋体"/>
      <w:szCs w:val="21"/>
    </w:rPr>
  </w:style>
  <w:style w:type="paragraph" w:customStyle="1" w:styleId="120">
    <w:name w:val="附录三级无"/>
    <w:basedOn w:val="92"/>
    <w:qFormat/>
    <w:uiPriority w:val="0"/>
    <w:pPr>
      <w:tabs>
        <w:tab w:val="clear" w:pos="360"/>
      </w:tabs>
      <w:spacing w:beforeLines="0" w:afterLines="0"/>
    </w:pPr>
    <w:rPr>
      <w:rFonts w:ascii="宋体" w:eastAsia="宋体"/>
      <w:szCs w:val="21"/>
    </w:rPr>
  </w:style>
  <w:style w:type="paragraph" w:customStyle="1" w:styleId="121">
    <w:name w:val="示例"/>
    <w:next w:val="109"/>
    <w:qFormat/>
    <w:uiPriority w:val="0"/>
    <w:pPr>
      <w:widowControl w:val="0"/>
      <w:numPr>
        <w:ilvl w:val="0"/>
        <w:numId w:val="15"/>
      </w:numPr>
      <w:jc w:val="both"/>
    </w:pPr>
    <w:rPr>
      <w:rFonts w:ascii="宋体" w:hAnsi="Times New Roman" w:eastAsia="宋体" w:cs="Times New Roman"/>
      <w:sz w:val="18"/>
      <w:szCs w:val="18"/>
      <w:lang w:val="en-US" w:eastAsia="zh-CN" w:bidi="ar-SA"/>
    </w:rPr>
  </w:style>
  <w:style w:type="paragraph" w:customStyle="1" w:styleId="122">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123">
    <w:name w:val="其他发布部门"/>
    <w:basedOn w:val="124"/>
    <w:qFormat/>
    <w:uiPriority w:val="0"/>
    <w:pPr>
      <w:framePr w:y="15310"/>
      <w:spacing w:line="0" w:lineRule="atLeast"/>
    </w:pPr>
    <w:rPr>
      <w:rFonts w:ascii="黑体" w:eastAsia="黑体"/>
      <w:b w:val="0"/>
    </w:rPr>
  </w:style>
  <w:style w:type="paragraph" w:customStyle="1" w:styleId="124">
    <w:name w:val="发布部门"/>
    <w:next w:val="26"/>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125">
    <w:name w:val="封面标准英文名称2"/>
    <w:basedOn w:val="105"/>
    <w:qFormat/>
    <w:uiPriority w:val="0"/>
    <w:pPr>
      <w:framePr w:y="4469"/>
    </w:pPr>
  </w:style>
  <w:style w:type="paragraph" w:customStyle="1" w:styleId="126">
    <w:name w:val="Table Paragraph"/>
    <w:basedOn w:val="1"/>
    <w:qFormat/>
    <w:uiPriority w:val="1"/>
    <w:pPr>
      <w:autoSpaceDE w:val="0"/>
      <w:autoSpaceDN w:val="0"/>
      <w:adjustRightInd w:val="0"/>
      <w:jc w:val="left"/>
    </w:pPr>
    <w:rPr>
      <w:kern w:val="0"/>
      <w:sz w:val="24"/>
      <w:szCs w:val="24"/>
    </w:rPr>
  </w:style>
  <w:style w:type="paragraph" w:customStyle="1" w:styleId="127">
    <w:name w:val="列项说明"/>
    <w:basedOn w:val="1"/>
    <w:qFormat/>
    <w:uiPriority w:val="0"/>
    <w:pPr>
      <w:adjustRightInd w:val="0"/>
      <w:spacing w:line="320" w:lineRule="exact"/>
      <w:ind w:left="400" w:leftChars="200" w:hanging="200" w:hangingChars="200"/>
      <w:jc w:val="left"/>
      <w:textAlignment w:val="baseline"/>
    </w:pPr>
    <w:rPr>
      <w:rFonts w:ascii="宋体"/>
      <w:kern w:val="0"/>
      <w:szCs w:val="20"/>
    </w:rPr>
  </w:style>
  <w:style w:type="paragraph" w:customStyle="1" w:styleId="128">
    <w:name w:val="五级无"/>
    <w:basedOn w:val="81"/>
    <w:qFormat/>
    <w:uiPriority w:val="0"/>
    <w:pPr>
      <w:spacing w:beforeLines="0" w:afterLines="0"/>
    </w:pPr>
    <w:rPr>
      <w:rFonts w:ascii="宋体" w:eastAsia="宋体"/>
    </w:rPr>
  </w:style>
  <w:style w:type="paragraph" w:customStyle="1" w:styleId="129">
    <w:name w:val="附录公式编号制表符"/>
    <w:basedOn w:val="1"/>
    <w:next w:val="26"/>
    <w:qFormat/>
    <w:uiPriority w:val="0"/>
    <w:pPr>
      <w:widowControl/>
      <w:tabs>
        <w:tab w:val="center" w:pos="4201"/>
        <w:tab w:val="right" w:leader="dot" w:pos="9298"/>
      </w:tabs>
      <w:autoSpaceDE w:val="0"/>
      <w:autoSpaceDN w:val="0"/>
    </w:pPr>
    <w:rPr>
      <w:rFonts w:ascii="宋体"/>
      <w:kern w:val="0"/>
      <w:szCs w:val="20"/>
    </w:rPr>
  </w:style>
  <w:style w:type="paragraph" w:customStyle="1" w:styleId="130">
    <w:name w:val="其他实施日期"/>
    <w:basedOn w:val="131"/>
    <w:qFormat/>
    <w:uiPriority w:val="0"/>
  </w:style>
  <w:style w:type="paragraph" w:customStyle="1" w:styleId="131">
    <w:name w:val="实施日期"/>
    <w:basedOn w:val="110"/>
    <w:qFormat/>
    <w:uiPriority w:val="0"/>
    <w:pPr>
      <w:framePr w:vAnchor="page" w:hAnchor="text"/>
      <w:jc w:val="right"/>
    </w:pPr>
  </w:style>
  <w:style w:type="paragraph" w:customStyle="1" w:styleId="132">
    <w:name w:val="其他标准标志"/>
    <w:basedOn w:val="133"/>
    <w:qFormat/>
    <w:uiPriority w:val="0"/>
    <w:pPr>
      <w:framePr w:w="6101" w:vAnchor="page" w:hAnchor="page" w:x="4673" w:y="942"/>
    </w:pPr>
    <w:rPr>
      <w:w w:val="130"/>
    </w:rPr>
  </w:style>
  <w:style w:type="paragraph" w:customStyle="1" w:styleId="133">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134">
    <w:name w:val="附录一级无"/>
    <w:basedOn w:val="135"/>
    <w:qFormat/>
    <w:uiPriority w:val="0"/>
    <w:pPr>
      <w:tabs>
        <w:tab w:val="left" w:pos="360"/>
      </w:tabs>
      <w:spacing w:beforeLines="0" w:afterLines="0"/>
    </w:pPr>
    <w:rPr>
      <w:rFonts w:ascii="宋体" w:eastAsia="宋体"/>
      <w:szCs w:val="21"/>
    </w:rPr>
  </w:style>
  <w:style w:type="paragraph" w:customStyle="1" w:styleId="135">
    <w:name w:val="附录一级条标题"/>
    <w:basedOn w:val="136"/>
    <w:next w:val="26"/>
    <w:qFormat/>
    <w:uiPriority w:val="0"/>
    <w:pPr>
      <w:numPr>
        <w:ilvl w:val="2"/>
      </w:numPr>
      <w:tabs>
        <w:tab w:val="left" w:pos="360"/>
      </w:tabs>
      <w:autoSpaceDN w:val="0"/>
      <w:spacing w:beforeLines="50" w:afterLines="50"/>
      <w:outlineLvl w:val="2"/>
    </w:pPr>
  </w:style>
  <w:style w:type="paragraph" w:customStyle="1" w:styleId="136">
    <w:name w:val="附录章标题"/>
    <w:next w:val="26"/>
    <w:qFormat/>
    <w:uiPriority w:val="0"/>
    <w:pPr>
      <w:numPr>
        <w:ilvl w:val="1"/>
        <w:numId w:val="9"/>
      </w:numPr>
      <w:wordWrap w:val="0"/>
      <w:overflowPunct w:val="0"/>
      <w:autoSpaceDE w:val="0"/>
      <w:spacing w:beforeLines="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137">
    <w:name w:val="标准书眉_偶数页"/>
    <w:basedOn w:val="122"/>
    <w:next w:val="1"/>
    <w:qFormat/>
    <w:uiPriority w:val="0"/>
    <w:pPr>
      <w:jc w:val="left"/>
    </w:pPr>
  </w:style>
  <w:style w:type="paragraph" w:customStyle="1" w:styleId="138">
    <w:name w:val="封面标准名称2"/>
    <w:basedOn w:val="106"/>
    <w:qFormat/>
    <w:uiPriority w:val="0"/>
    <w:pPr>
      <w:framePr w:y="4469"/>
      <w:spacing w:beforeLines="630"/>
    </w:pPr>
  </w:style>
  <w:style w:type="paragraph" w:customStyle="1" w:styleId="139">
    <w:name w:val="附录标识"/>
    <w:basedOn w:val="1"/>
    <w:next w:val="26"/>
    <w:qFormat/>
    <w:uiPriority w:val="0"/>
    <w:pPr>
      <w:keepNext/>
      <w:widowControl/>
      <w:numPr>
        <w:ilvl w:val="0"/>
        <w:numId w:val="9"/>
      </w:numPr>
      <w:shd w:val="clear" w:color="FFFFFF" w:fill="FFFFFF"/>
      <w:tabs>
        <w:tab w:val="left" w:pos="6405"/>
      </w:tabs>
      <w:spacing w:before="640" w:after="280"/>
      <w:jc w:val="center"/>
      <w:outlineLvl w:val="0"/>
    </w:pPr>
    <w:rPr>
      <w:rFonts w:ascii="黑体" w:eastAsia="黑体"/>
      <w:kern w:val="0"/>
      <w:szCs w:val="20"/>
    </w:rPr>
  </w:style>
  <w:style w:type="paragraph" w:customStyle="1" w:styleId="140">
    <w:name w:val="附录四级无"/>
    <w:basedOn w:val="91"/>
    <w:qFormat/>
    <w:uiPriority w:val="0"/>
    <w:pPr>
      <w:tabs>
        <w:tab w:val="clear" w:pos="360"/>
      </w:tabs>
      <w:spacing w:beforeLines="0" w:afterLines="0"/>
    </w:pPr>
    <w:rPr>
      <w:rFonts w:ascii="宋体" w:eastAsia="宋体"/>
      <w:szCs w:val="21"/>
    </w:rPr>
  </w:style>
  <w:style w:type="paragraph" w:customStyle="1" w:styleId="141">
    <w:name w:val="终结线"/>
    <w:basedOn w:val="1"/>
    <w:qFormat/>
    <w:uiPriority w:val="0"/>
    <w:pPr>
      <w:framePr w:hSpace="181" w:vSpace="181" w:wrap="around" w:vAnchor="text" w:hAnchor="margin" w:xAlign="center" w:y="285"/>
    </w:pPr>
    <w:rPr>
      <w:szCs w:val="24"/>
    </w:rPr>
  </w:style>
  <w:style w:type="paragraph" w:customStyle="1" w:styleId="142">
    <w:name w:val="附录标题"/>
    <w:basedOn w:val="26"/>
    <w:next w:val="26"/>
    <w:qFormat/>
    <w:uiPriority w:val="0"/>
    <w:pPr>
      <w:ind w:firstLine="0" w:firstLineChars="0"/>
      <w:jc w:val="center"/>
    </w:pPr>
    <w:rPr>
      <w:rFonts w:ascii="黑体" w:eastAsia="黑体"/>
    </w:rPr>
  </w:style>
  <w:style w:type="paragraph" w:customStyle="1" w:styleId="143">
    <w:name w:val="封面一致性程度标识2"/>
    <w:basedOn w:val="104"/>
    <w:qFormat/>
    <w:uiPriority w:val="0"/>
    <w:pPr>
      <w:framePr w:y="4469"/>
    </w:pPr>
  </w:style>
  <w:style w:type="paragraph" w:customStyle="1" w:styleId="144">
    <w:name w:val="附录图标题"/>
    <w:basedOn w:val="1"/>
    <w:next w:val="26"/>
    <w:qFormat/>
    <w:uiPriority w:val="0"/>
    <w:pPr>
      <w:spacing w:beforeLines="50" w:afterLines="50"/>
      <w:jc w:val="center"/>
    </w:pPr>
    <w:rPr>
      <w:rFonts w:ascii="黑体" w:eastAsia="黑体"/>
      <w:szCs w:val="21"/>
    </w:rPr>
  </w:style>
  <w:style w:type="paragraph" w:customStyle="1" w:styleId="145">
    <w:name w:val="附录字母编号列项（一级）"/>
    <w:qFormat/>
    <w:uiPriority w:val="0"/>
    <w:pPr>
      <w:numPr>
        <w:ilvl w:val="0"/>
        <w:numId w:val="10"/>
      </w:numPr>
    </w:pPr>
    <w:rPr>
      <w:rFonts w:ascii="宋体" w:hAnsi="Times New Roman" w:eastAsia="宋体" w:cs="Times New Roman"/>
      <w:sz w:val="21"/>
      <w:lang w:val="en-US" w:eastAsia="zh-CN" w:bidi="ar-SA"/>
    </w:rPr>
  </w:style>
  <w:style w:type="paragraph" w:customStyle="1" w:styleId="146">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147">
    <w:name w:val="注："/>
    <w:next w:val="26"/>
    <w:qFormat/>
    <w:uiPriority w:val="0"/>
    <w:pPr>
      <w:widowControl w:val="0"/>
      <w:numPr>
        <w:ilvl w:val="0"/>
        <w:numId w:val="16"/>
      </w:numPr>
      <w:autoSpaceDE w:val="0"/>
      <w:autoSpaceDN w:val="0"/>
      <w:jc w:val="both"/>
    </w:pPr>
    <w:rPr>
      <w:rFonts w:ascii="宋体" w:hAnsi="Times New Roman" w:eastAsia="宋体" w:cs="Times New Roman"/>
      <w:sz w:val="18"/>
      <w:szCs w:val="18"/>
      <w:lang w:val="en-US" w:eastAsia="zh-CN" w:bidi="ar-SA"/>
    </w:rPr>
  </w:style>
  <w:style w:type="paragraph" w:customStyle="1" w:styleId="148">
    <w:name w:val="Default"/>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customStyle="1" w:styleId="149">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150">
    <w:name w:val="目次、标准名称标题"/>
    <w:basedOn w:val="1"/>
    <w:next w:val="26"/>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151">
    <w:name w:val="注：（正文）"/>
    <w:basedOn w:val="147"/>
    <w:next w:val="26"/>
    <w:qFormat/>
    <w:uiPriority w:val="0"/>
  </w:style>
  <w:style w:type="paragraph" w:customStyle="1" w:styleId="152">
    <w:name w:val="三级无"/>
    <w:basedOn w:val="51"/>
    <w:qFormat/>
    <w:uiPriority w:val="0"/>
    <w:pPr>
      <w:numPr>
        <w:numId w:val="5"/>
      </w:numPr>
      <w:spacing w:beforeLines="0" w:afterLines="0"/>
    </w:pPr>
    <w:rPr>
      <w:rFonts w:ascii="宋体" w:eastAsia="宋体"/>
    </w:rPr>
  </w:style>
  <w:style w:type="paragraph" w:customStyle="1" w:styleId="153">
    <w:name w:val="附录表标号"/>
    <w:basedOn w:val="1"/>
    <w:next w:val="26"/>
    <w:qFormat/>
    <w:uiPriority w:val="0"/>
    <w:pPr>
      <w:numPr>
        <w:ilvl w:val="0"/>
        <w:numId w:val="12"/>
      </w:numPr>
      <w:spacing w:line="14" w:lineRule="exact"/>
      <w:ind w:left="811" w:hanging="448"/>
      <w:jc w:val="center"/>
      <w:outlineLvl w:val="0"/>
    </w:pPr>
    <w:rPr>
      <w:color w:val="FFFFFF"/>
      <w:szCs w:val="24"/>
    </w:rPr>
  </w:style>
  <w:style w:type="paragraph" w:customStyle="1" w:styleId="154">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55">
    <w:name w:val="二级无"/>
    <w:basedOn w:val="52"/>
    <w:qFormat/>
    <w:uiPriority w:val="0"/>
    <w:pPr>
      <w:numPr>
        <w:numId w:val="5"/>
      </w:numPr>
      <w:spacing w:beforeLines="0" w:afterLines="0"/>
    </w:pPr>
    <w:rPr>
      <w:rFonts w:ascii="宋体" w:eastAsia="宋体"/>
    </w:rPr>
  </w:style>
  <w:style w:type="paragraph" w:customStyle="1" w:styleId="156">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57">
    <w:name w:val="列项●（二级）"/>
    <w:qFormat/>
    <w:uiPriority w:val="0"/>
    <w:pPr>
      <w:numPr>
        <w:ilvl w:val="1"/>
        <w:numId w:val="11"/>
      </w:numPr>
      <w:tabs>
        <w:tab w:val="left" w:pos="840"/>
      </w:tabs>
      <w:jc w:val="both"/>
    </w:pPr>
    <w:rPr>
      <w:rFonts w:ascii="宋体" w:hAnsi="Times New Roman" w:eastAsia="宋体" w:cs="Times New Roman"/>
      <w:sz w:val="21"/>
      <w:lang w:val="en-US" w:eastAsia="zh-CN" w:bidi="ar-SA"/>
    </w:rPr>
  </w:style>
  <w:style w:type="paragraph" w:customStyle="1" w:styleId="158">
    <w:name w:val="注×：（正文）"/>
    <w:qFormat/>
    <w:uiPriority w:val="0"/>
    <w:pPr>
      <w:numPr>
        <w:ilvl w:val="0"/>
        <w:numId w:val="17"/>
      </w:numPr>
      <w:jc w:val="both"/>
    </w:pPr>
    <w:rPr>
      <w:rFonts w:ascii="宋体" w:hAnsi="Times New Roman" w:eastAsia="宋体" w:cs="Times New Roman"/>
      <w:sz w:val="18"/>
      <w:szCs w:val="18"/>
      <w:lang w:val="en-US" w:eastAsia="zh-CN" w:bidi="ar-SA"/>
    </w:rPr>
  </w:style>
  <w:style w:type="paragraph" w:customStyle="1" w:styleId="159">
    <w:name w:val="示例后文字"/>
    <w:basedOn w:val="26"/>
    <w:next w:val="26"/>
    <w:qFormat/>
    <w:uiPriority w:val="0"/>
    <w:pPr>
      <w:ind w:firstLine="360"/>
    </w:pPr>
    <w:rPr>
      <w:sz w:val="18"/>
    </w:rPr>
  </w:style>
  <w:style w:type="paragraph" w:customStyle="1" w:styleId="160">
    <w:name w:val="示例×："/>
    <w:basedOn w:val="85"/>
    <w:qFormat/>
    <w:uiPriority w:val="0"/>
    <w:pPr>
      <w:numPr>
        <w:ilvl w:val="0"/>
        <w:numId w:val="18"/>
      </w:numPr>
      <w:spacing w:beforeLines="0" w:afterLines="0"/>
      <w:outlineLvl w:val="9"/>
    </w:pPr>
    <w:rPr>
      <w:rFonts w:ascii="宋体" w:eastAsia="宋体"/>
      <w:sz w:val="18"/>
      <w:szCs w:val="18"/>
    </w:rPr>
  </w:style>
  <w:style w:type="paragraph" w:customStyle="1" w:styleId="161">
    <w:name w:val="图标脚注说明"/>
    <w:basedOn w:val="26"/>
    <w:qFormat/>
    <w:uiPriority w:val="0"/>
    <w:pPr>
      <w:ind w:left="840" w:hanging="420" w:firstLineChars="0"/>
    </w:pPr>
    <w:rPr>
      <w:sz w:val="18"/>
      <w:szCs w:val="18"/>
    </w:rPr>
  </w:style>
  <w:style w:type="paragraph" w:customStyle="1" w:styleId="162">
    <w:name w:val="附录图标号"/>
    <w:basedOn w:val="1"/>
    <w:qFormat/>
    <w:uiPriority w:val="0"/>
    <w:pPr>
      <w:keepNext/>
      <w:pageBreakBefore/>
      <w:widowControl/>
      <w:spacing w:line="14" w:lineRule="exact"/>
      <w:jc w:val="center"/>
      <w:outlineLvl w:val="0"/>
    </w:pPr>
    <w:rPr>
      <w:color w:val="FFFFFF"/>
      <w:szCs w:val="24"/>
    </w:rPr>
  </w:style>
  <w:style w:type="paragraph" w:customStyle="1" w:styleId="163">
    <w:name w:val="一级无"/>
    <w:basedOn w:val="53"/>
    <w:qFormat/>
    <w:uiPriority w:val="0"/>
    <w:pPr>
      <w:numPr>
        <w:numId w:val="5"/>
      </w:numPr>
      <w:spacing w:beforeLines="0" w:afterLines="0"/>
    </w:pPr>
    <w:rPr>
      <w:rFonts w:ascii="宋体" w:eastAsia="宋体"/>
    </w:rPr>
  </w:style>
  <w:style w:type="paragraph" w:customStyle="1" w:styleId="164">
    <w:name w:val="图的脚注"/>
    <w:next w:val="26"/>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165">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166">
    <w:name w:val="参考文献"/>
    <w:basedOn w:val="1"/>
    <w:next w:val="26"/>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167">
    <w:name w:val="正文表标题"/>
    <w:next w:val="26"/>
    <w:qFormat/>
    <w:uiPriority w:val="0"/>
    <w:pPr>
      <w:numPr>
        <w:ilvl w:val="0"/>
        <w:numId w:val="19"/>
      </w:num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168">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169">
    <w:name w:val="附录二级无"/>
    <w:basedOn w:val="93"/>
    <w:qFormat/>
    <w:uiPriority w:val="0"/>
    <w:pPr>
      <w:spacing w:beforeLines="0" w:afterLines="0"/>
    </w:pPr>
    <w:rPr>
      <w:rFonts w:ascii="宋体" w:eastAsia="宋体"/>
      <w:szCs w:val="21"/>
    </w:rPr>
  </w:style>
  <w:style w:type="paragraph" w:styleId="170">
    <w:name w:val="List Paragraph"/>
    <w:basedOn w:val="1"/>
    <w:qFormat/>
    <w:uiPriority w:val="34"/>
    <w:pPr>
      <w:ind w:firstLine="420" w:firstLineChars="200"/>
    </w:pPr>
    <w:rPr>
      <w:szCs w:val="24"/>
    </w:rPr>
  </w:style>
  <w:style w:type="paragraph" w:customStyle="1" w:styleId="171">
    <w:name w:val="标准书眉一"/>
    <w:qFormat/>
    <w:uiPriority w:val="0"/>
    <w:pPr>
      <w:jc w:val="both"/>
    </w:pPr>
    <w:rPr>
      <w:rFonts w:ascii="Times New Roman" w:hAnsi="Times New Roman" w:eastAsia="宋体" w:cs="Times New Roman"/>
      <w:lang w:val="en-US" w:eastAsia="zh-CN" w:bidi="ar-SA"/>
    </w:rPr>
  </w:style>
  <w:style w:type="paragraph" w:customStyle="1" w:styleId="172">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173">
    <w:name w:val="封面标准文稿类别2"/>
    <w:basedOn w:val="103"/>
    <w:qFormat/>
    <w:uiPriority w:val="0"/>
    <w:pPr>
      <w:framePr w:y="4469"/>
    </w:pPr>
  </w:style>
  <w:style w:type="paragraph" w:customStyle="1" w:styleId="174">
    <w:name w:val="正文图标题"/>
    <w:next w:val="26"/>
    <w:qFormat/>
    <w:uiPriority w:val="0"/>
    <w:pPr>
      <w:spacing w:beforeLines="50" w:afterLines="50"/>
      <w:jc w:val="center"/>
    </w:pPr>
    <w:rPr>
      <w:rFonts w:ascii="黑体" w:hAnsi="Times New Roman" w:eastAsia="黑体" w:cs="Times New Roman"/>
      <w:sz w:val="21"/>
      <w:lang w:val="en-US" w:eastAsia="zh-CN" w:bidi="ar-SA"/>
    </w:rPr>
  </w:style>
  <w:style w:type="paragraph" w:customStyle="1" w:styleId="175">
    <w:name w:val="数字编号列项（二级）"/>
    <w:qFormat/>
    <w:uiPriority w:val="0"/>
    <w:pPr>
      <w:numPr>
        <w:ilvl w:val="1"/>
        <w:numId w:val="8"/>
      </w:numPr>
      <w:jc w:val="both"/>
    </w:pPr>
    <w:rPr>
      <w:rFonts w:ascii="宋体" w:hAnsi="Times New Roman" w:eastAsia="宋体" w:cs="Times New Roman"/>
      <w:sz w:val="21"/>
      <w:lang w:val="en-US" w:eastAsia="zh-CN" w:bidi="ar-SA"/>
    </w:rPr>
  </w:style>
  <w:style w:type="paragraph" w:customStyle="1" w:styleId="176">
    <w:name w:val="WPSOffice手动目录 1"/>
    <w:qFormat/>
    <w:uiPriority w:val="0"/>
    <w:rPr>
      <w:rFonts w:ascii="Times New Roman" w:hAnsi="Times New Roman" w:eastAsia="宋体" w:cs="Times New Roman"/>
      <w:lang w:val="en-US" w:eastAsia="zh-CN" w:bidi="ar-SA"/>
    </w:rPr>
  </w:style>
  <w:style w:type="paragraph" w:customStyle="1" w:styleId="17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78">
    <w:name w:val="WPSOffice手动目录 3"/>
    <w:qFormat/>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jpe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999B25-08BF-407F-94B4-F2471DA75DC3}">
  <ds:schemaRefs/>
</ds:datastoreItem>
</file>

<file path=docProps/app.xml><?xml version="1.0" encoding="utf-8"?>
<Properties xmlns="http://schemas.openxmlformats.org/officeDocument/2006/extended-properties" xmlns:vt="http://schemas.openxmlformats.org/officeDocument/2006/docPropsVTypes">
  <Template>Normal</Template>
  <Pages>72</Pages>
  <Words>30661</Words>
  <Characters>34817</Characters>
  <Lines>314</Lines>
  <Paragraphs>88</Paragraphs>
  <TotalTime>0</TotalTime>
  <ScaleCrop>false</ScaleCrop>
  <LinksUpToDate>false</LinksUpToDate>
  <CharactersWithSpaces>36608</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2020-09-22T03:36:00Z</dcterms:created>
  <dc:creator>李鹏鸽</dc:creator>
  <cp:lastModifiedBy>Incomplete</cp:lastModifiedBy>
  <cp:lastPrinted>2020-10-10T07:20:00Z</cp:lastPrinted>
  <dcterms:modified xsi:type="dcterms:W3CDTF">2020-11-12T09:04:09Z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