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宋体" w:hAnsi="宋体" w:cs="方正小标宋简体"/>
          <w:b/>
          <w:color w:val="auto"/>
          <w:sz w:val="44"/>
          <w:szCs w:val="44"/>
        </w:rPr>
      </w:pPr>
    </w:p>
    <w:p>
      <w:pPr>
        <w:spacing w:line="620" w:lineRule="exact"/>
        <w:jc w:val="center"/>
        <w:rPr>
          <w:rFonts w:ascii="宋体" w:hAnsi="宋体" w:cs="方正小标宋简体"/>
          <w:b/>
          <w:color w:val="auto"/>
          <w:sz w:val="44"/>
          <w:szCs w:val="44"/>
        </w:rPr>
      </w:pPr>
      <w:r>
        <w:rPr>
          <w:rFonts w:hint="eastAsia" w:ascii="宋体" w:hAnsi="宋体" w:cs="方正小标宋简体"/>
          <w:b/>
          <w:color w:val="auto"/>
          <w:sz w:val="44"/>
          <w:szCs w:val="44"/>
        </w:rPr>
        <w:t>山东省装配式建筑产业基地管理办法</w:t>
      </w:r>
    </w:p>
    <w:p>
      <w:pPr>
        <w:spacing w:line="400" w:lineRule="exact"/>
        <w:jc w:val="center"/>
        <w:rPr>
          <w:rFonts w:ascii="楷体_GB2312" w:hAnsi="宋体" w:eastAsia="楷体_GB2312" w:cs="方正小标宋简体"/>
          <w:color w:val="auto"/>
          <w:sz w:val="32"/>
          <w:szCs w:val="32"/>
        </w:rPr>
      </w:pPr>
    </w:p>
    <w:p>
      <w:pPr>
        <w:spacing w:line="400" w:lineRule="exact"/>
        <w:jc w:val="center"/>
        <w:rPr>
          <w:rFonts w:ascii="楷体_GB2312" w:hAnsi="宋体" w:eastAsia="楷体_GB2312" w:cs="方正小标宋简体"/>
          <w:color w:val="auto"/>
          <w:sz w:val="32"/>
          <w:szCs w:val="32"/>
        </w:rPr>
      </w:pPr>
    </w:p>
    <w:p>
      <w:pPr>
        <w:pStyle w:val="9"/>
        <w:spacing w:line="620" w:lineRule="exact"/>
        <w:ind w:firstLine="0" w:firstLineChars="0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 xml:space="preserve">第一章　总 </w:t>
      </w:r>
      <w:r>
        <w:rPr>
          <w:rFonts w:ascii="黑体" w:hAnsi="黑体" w:eastAsia="黑体" w:cs="黑体"/>
          <w:bCs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则</w:t>
      </w:r>
    </w:p>
    <w:p>
      <w:pPr>
        <w:pStyle w:val="9"/>
        <w:spacing w:line="240" w:lineRule="exact"/>
        <w:ind w:firstLine="0" w:firstLineChars="0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黑体" w:hAnsi="黑体" w:eastAsia="黑体" w:cs="仿宋_GB2312"/>
          <w:color w:val="auto"/>
          <w:kern w:val="0"/>
          <w:sz w:val="32"/>
          <w:szCs w:val="32"/>
        </w:rPr>
        <w:t>第一条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为贯彻落实国家和省关于大力发展装配式建筑的部署要求，规范完善省级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装配式建筑产业基地管理，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依据国家、省有关规定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，制定本办法。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黑体" w:hAnsi="黑体" w:eastAsia="黑体" w:cs="仿宋_GB2312"/>
          <w:color w:val="auto"/>
          <w:kern w:val="0"/>
          <w:sz w:val="32"/>
          <w:szCs w:val="32"/>
        </w:rPr>
        <w:t>第二条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本办法所称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装配式建筑产业基地（以下简称产业基地）是指具有明确的发展目标、较好的产业基础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技术先进成熟、研发创新能力强、产业关联度大、注重装配式建筑相关人才培养培训，能够发挥示范引领和带动作用的装配式建筑相关企业。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第三条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产业基地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的申请、评审、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认定、公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布和监督管理，适用本办法。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第四条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产业基地应符合省、市装配式建筑产业发展规划，遵循产能适度、布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合理、规范有序、良性发展的原则。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鼓励各市结合当地实际，以产业基地为龙头建立装配式建筑产业园区。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黑体" w:hAnsi="黑体" w:eastAsia="黑体" w:cs="仿宋_GB2312"/>
          <w:color w:val="auto"/>
          <w:kern w:val="0"/>
          <w:sz w:val="32"/>
          <w:szCs w:val="32"/>
        </w:rPr>
        <w:t>第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eastAsia="zh-CN"/>
        </w:rPr>
        <w:t>五</w:t>
      </w:r>
      <w:r>
        <w:rPr>
          <w:rFonts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产业基地优先享受国家、省、市相关支持政策，择优推荐申报国家装配式建筑产业基地。</w:t>
      </w:r>
    </w:p>
    <w:p>
      <w:pPr>
        <w:spacing w:line="240" w:lineRule="exact"/>
        <w:jc w:val="center"/>
        <w:rPr>
          <w:rFonts w:eastAsia="仿宋_GB2312"/>
          <w:b/>
          <w:bCs/>
          <w:color w:val="auto"/>
          <w:sz w:val="32"/>
          <w:szCs w:val="32"/>
        </w:rPr>
      </w:pPr>
    </w:p>
    <w:p>
      <w:pPr>
        <w:pStyle w:val="9"/>
        <w:spacing w:line="620" w:lineRule="exact"/>
        <w:ind w:firstLine="0" w:firstLineChars="0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第二章　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基地申请</w:t>
      </w:r>
    </w:p>
    <w:p>
      <w:pPr>
        <w:pStyle w:val="9"/>
        <w:spacing w:line="240" w:lineRule="exact"/>
        <w:ind w:firstLine="0" w:firstLineChars="0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第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产业基地分为部品生产、集成应用、科技研发等类型。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部品生产类企业为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具有一定产业化规模的预制混凝土、钢结构、木结构、整体厨卫、内装等部品部件生产企业或装备制造企业。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工程应用类企业指具有房地产开发、工程施工、建筑设计、一体化装修、工程总承包、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工程咨询管理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等有关能力的企业集团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或产业联盟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科技研发类企业为具有较强技术力量、科研能力和行业影响力的高等院校、科研院所、科技创新企业等。</w:t>
      </w: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产业基地应具备下列条件：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独立法人资格，具有完善的现代企业管理制度和服务体系，市场信誉良好，综合实力在行业发展中居领先地位。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（二）科技创新能力较强，技术研发团队素质高，研发投入费用占同期销售收入比例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1%以上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，拥有自主知识产权科技成果和技术标准体系，建筑信息模型（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BIM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）应用水平高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9"/>
        <w:spacing w:line="62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（三）具有完善的质量安全保证体系，生产、检测设备齐全，生产工艺、装备先进。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申请部品生产类产业基地的企业，产品先进成熟完善，预制混凝土部件、钢结构建筑部件、部品生产企业年生产能力分别在10万立方米、5万吨、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万台（套）以上，产品已累计在10万平方米以上装配式建筑工程项目中应用。</w:t>
      </w:r>
    </w:p>
    <w:p>
      <w:pPr>
        <w:pStyle w:val="9"/>
        <w:numPr>
          <w:ilvl w:val="0"/>
          <w:numId w:val="0"/>
        </w:numPr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申请集成应用类产业基地的企业，相应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房地产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开发一级资质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施工总承包资质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甲级资质、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以及与产业能力相适应的标准化水平和技术、资源整合能力，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以上装配式建筑工程项目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；建设的装配式建筑工程项目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近两年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安全生产事故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0"/>
        </w:numPr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（六）申请科技研发类产业基地的单位，承担过2项以上装配式建筑方面的省部级科研项目，主编或参编过2个以上国家、行业或地方标准，获得过省部级科技奖项。</w:t>
      </w: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鼓励拥有国家、省级技术研发中心的企业申报产业基地，并予以优先支持。</w:t>
      </w: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其他应具备的条件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第八条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申请产业基地的企业向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当地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设区市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住房城乡建设主管部门提出申请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提供以下材料：</w:t>
      </w: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产业基地申请表；</w:t>
      </w: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产业基地可行性研究报告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，应包含企业概况、申报产业基地的目的及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必要性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、企业核心技术和主要产品、工程实践情况、优势分析、工作目标、进度计划、保障措施等；</w:t>
      </w: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企业营业执照、资质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、科技成果鉴定、专利等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相关证书；</w:t>
      </w: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企业管理制度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质量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保证体系；</w:t>
      </w: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（五）技术标准体系；</w:t>
      </w: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（六）其他应提供的材料。</w:t>
      </w:r>
    </w:p>
    <w:p>
      <w:pPr>
        <w:pStyle w:val="9"/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同一申报单位只允许申报一种类型的产业基地，申报单位为基地的建设和运营单位。</w:t>
      </w:r>
    </w:p>
    <w:p>
      <w:pPr>
        <w:pStyle w:val="9"/>
        <w:spacing w:line="240" w:lineRule="exact"/>
        <w:ind w:firstLine="0" w:firstLineChars="0"/>
        <w:jc w:val="center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pStyle w:val="9"/>
        <w:spacing w:line="620" w:lineRule="exact"/>
        <w:ind w:firstLine="0" w:firstLineChars="0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第三章　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评审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认定</w:t>
      </w:r>
    </w:p>
    <w:p>
      <w:pPr>
        <w:numPr>
          <w:ilvl w:val="0"/>
          <w:numId w:val="0"/>
        </w:numPr>
        <w:spacing w:line="620" w:lineRule="exact"/>
        <w:rPr>
          <w:rFonts w:hint="eastAsia" w:ascii="仿宋_GB2312" w:hAnsi="仿宋" w:eastAsia="仿宋_GB2312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设区市住房城乡建设主管部门根据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当地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产业布局情况，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负责对本辖区内申请产业基地的企业进行初审，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择优推荐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第十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省住房城乡建设厅对各市推荐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产业基地的材料进行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必要时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组织专家进行现场核查。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第十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省住房城乡建设厅组织评审专家委员会，对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通过审查的企业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进行评审。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第十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评审专家委员会一般由5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7名专家组成，根据参评企业类型选择装配式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建筑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科研、部品部件生产、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装备制造、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开发、设计、施工、装修、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咨询、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管理等相关领域的专家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专家委员会应客观、公正，遵循回避原则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并对评审结果负责。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第十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仿宋" w:eastAsia="仿宋_GB2312" w:cs="仿宋_GB2312"/>
          <w:b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评审内容主要包括：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产业基地是否符合省、市产业布局；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产业基地的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基础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条件；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发展装配式建筑的目标和计划安排；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技术体系先进、成熟性，部品部件生产情况；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人才、技术和管理等方面的综合实力；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实际工程应用业绩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其他应评审的内容。</w:t>
      </w:r>
    </w:p>
    <w:p>
      <w:pPr>
        <w:spacing w:line="620" w:lineRule="exact"/>
        <w:ind w:firstLine="640" w:firstLineChars="200"/>
        <w:rPr>
          <w:rFonts w:hint="eastAsia" w:ascii="仿宋_GB2312" w:hAnsi="仿宋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" w:eastAsia="仿宋_GB2312" w:cs="仿宋_GB2312"/>
          <w:b/>
          <w:color w:val="auto"/>
          <w:kern w:val="0"/>
          <w:sz w:val="32"/>
          <w:szCs w:val="32"/>
        </w:rPr>
        <w:t>　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省住房城乡建设厅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对符合条件的，</w:t>
      </w:r>
      <w:r>
        <w:rPr>
          <w:rFonts w:hint="eastAsia" w:ascii="仿宋_GB2312" w:hAnsi="仿宋" w:eastAsia="仿宋_GB2312" w:cs="仿宋_GB2312"/>
          <w:bCs/>
          <w:color w:val="auto"/>
          <w:kern w:val="0"/>
          <w:sz w:val="32"/>
          <w:szCs w:val="32"/>
          <w:lang w:eastAsia="zh-CN"/>
        </w:rPr>
        <w:t>在山东省住房和城乡建设厅网站上公示</w:t>
      </w:r>
      <w:r>
        <w:rPr>
          <w:rFonts w:hint="eastAsia" w:ascii="仿宋_GB2312" w:hAnsi="仿宋" w:eastAsia="仿宋_GB2312" w:cs="仿宋_GB2312"/>
          <w:bCs/>
          <w:color w:val="auto"/>
          <w:kern w:val="0"/>
          <w:sz w:val="32"/>
          <w:szCs w:val="32"/>
          <w:lang w:val="en-US" w:eastAsia="zh-CN"/>
        </w:rPr>
        <w:t>5日；经公示无异议的，</w:t>
      </w:r>
      <w:r>
        <w:rPr>
          <w:rFonts w:hint="eastAsia" w:ascii="仿宋_GB2312" w:hAnsi="仿宋" w:eastAsia="仿宋_GB2312" w:cs="仿宋_GB2312"/>
          <w:bCs/>
          <w:color w:val="auto"/>
          <w:kern w:val="0"/>
          <w:sz w:val="32"/>
          <w:szCs w:val="32"/>
        </w:rPr>
        <w:t>予以认定和公布，</w:t>
      </w:r>
      <w:r>
        <w:rPr>
          <w:rFonts w:hint="eastAsia" w:ascii="仿宋_GB2312" w:hAnsi="仿宋" w:eastAsia="仿宋_GB2312" w:cs="仿宋_GB2312"/>
          <w:bCs/>
          <w:color w:val="auto"/>
          <w:kern w:val="0"/>
          <w:sz w:val="32"/>
          <w:szCs w:val="32"/>
          <w:lang w:eastAsia="zh-CN"/>
        </w:rPr>
        <w:t>颁发牌匾及证书，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并按规定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纳入省建筑节能与绿色建筑发展专项资金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eastAsia="zh-CN"/>
        </w:rPr>
        <w:t>奖励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计划</w:t>
      </w:r>
      <w:r>
        <w:rPr>
          <w:rFonts w:hint="eastAsia" w:ascii="仿宋_GB2312" w:hAnsi="仿宋" w:eastAsia="仿宋_GB2312" w:cs="仿宋_GB2312"/>
          <w:bCs/>
          <w:color w:val="auto"/>
          <w:kern w:val="0"/>
          <w:sz w:val="32"/>
          <w:szCs w:val="32"/>
        </w:rPr>
        <w:t>；不符合条件的不予认定。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对符合相关规定的产业基地一并纳入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省住房城乡建设厅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科技计划项目管理。</w:t>
      </w:r>
    </w:p>
    <w:p>
      <w:pPr>
        <w:spacing w:line="240" w:lineRule="exact"/>
        <w:jc w:val="center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9"/>
        <w:spacing w:line="620" w:lineRule="exact"/>
        <w:ind w:firstLine="0" w:firstLineChars="0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第四章　监督管理</w:t>
      </w:r>
    </w:p>
    <w:p>
      <w:pPr>
        <w:pStyle w:val="9"/>
        <w:spacing w:line="240" w:lineRule="exact"/>
        <w:ind w:firstLine="0" w:firstLineChars="0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第十六条</w:t>
      </w:r>
      <w:r>
        <w:rPr>
          <w:rFonts w:hint="eastAsia" w:ascii="仿宋_GB2312" w:hAnsi="仿宋" w:eastAsia="仿宋_GB2312" w:cs="仿宋_GB2312"/>
          <w:b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产业基地应制定详细的发展规划和实施计划，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有明确的发展目标，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并认真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实施。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规划期限原则上为三年。</w:t>
      </w:r>
    </w:p>
    <w:p>
      <w:pPr>
        <w:numPr>
          <w:ilvl w:val="0"/>
          <w:numId w:val="0"/>
        </w:numPr>
        <w:spacing w:line="620" w:lineRule="exact"/>
        <w:ind w:firstLine="642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" w:eastAsia="仿宋_GB2312" w:cs="仿宋_GB2312"/>
          <w:b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产业基地应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于每年的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15日前，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按规定向上级住房城乡建设主管部门报送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年度发展报告、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统计报表等相关情况，确保数据的真实性、准确性和连续性，并接受监督检查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。产业基地研发应用的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新技术、新产品、新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材料，没有省或国家技术标准的，应报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住房城乡建设厅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或住房城乡建设部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组织专家论证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20" w:lineRule="exact"/>
        <w:ind w:firstLine="64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第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eastAsia="zh-CN"/>
        </w:rPr>
        <w:t>十八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仿宋" w:eastAsia="仿宋_GB2312" w:cs="仿宋_GB2312"/>
          <w:b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市、县（市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）住房城乡建设主管部门负责本地区产业基地的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日常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监督管理，定期组织检查和考核。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第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eastAsia="zh-CN"/>
        </w:rPr>
        <w:t>十九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省住房城乡建设厅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或其委托单位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对产业基地工作目标、主要任务、实施计划完成情况，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质量保证体系、产品质量和工程应用情况等进行抽查，并通报抽查结果。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第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val="en-US" w:eastAsia="zh-CN"/>
        </w:rPr>
        <w:t>二十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未完成工作目标和主要任务的产业基地，省住房城乡建设厅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商当地住房城乡建设主管部门提出处理意见，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责令限期整改，情节严重的给予通报；整改期限内仍不能达到要求的，省住房城乡建设厅撤销其产业基地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62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第二十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省住房城乡建设厅组织专家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每三年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对产业基地进行评估，评估合格的继续认定为产业基地，评估不合格的撤销产业基地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spacing w:line="240" w:lineRule="exact"/>
        <w:jc w:val="center"/>
        <w:rPr>
          <w:rFonts w:ascii="仿宋_GB2312" w:hAnsi="仿宋" w:eastAsia="仿宋_GB2312" w:cs="Arial"/>
          <w:color w:val="auto"/>
          <w:kern w:val="0"/>
          <w:sz w:val="32"/>
          <w:szCs w:val="32"/>
        </w:rPr>
      </w:pPr>
    </w:p>
    <w:p>
      <w:pPr>
        <w:pStyle w:val="9"/>
        <w:spacing w:line="620" w:lineRule="exact"/>
        <w:ind w:firstLine="0" w:firstLineChars="0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 xml:space="preserve">第五章　附 </w:t>
      </w:r>
      <w:r>
        <w:rPr>
          <w:rFonts w:ascii="黑体" w:hAnsi="黑体" w:eastAsia="黑体" w:cs="黑体"/>
          <w:bCs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则</w:t>
      </w:r>
    </w:p>
    <w:p>
      <w:pPr>
        <w:pStyle w:val="9"/>
        <w:spacing w:line="240" w:lineRule="exact"/>
        <w:ind w:firstLine="0" w:firstLineChars="0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第二十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本办法施行后，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原山东省建筑产业现代化生产示范基地（产业园区）有关规定废止。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省住房城乡建设厅组织专家对原省建筑产业现代化生产示范基地（产业园区）进行全面评估。经评估，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符合要求的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，认定为产业基地；达不到要求的，撤销省建筑产业现代化生产示范基地（产业园区）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第二十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条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本办法由省住房城乡建设厅负责解释。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第二十四条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本办法自2017年9月11日施行，有效期至2022年9月10日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542" w:bottom="1440" w:left="1542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18030">
    <w:altName w:val="微软雅黑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roxima_nova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oxima_nova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erpetua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imes New Roman'''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汉仪书宋一简 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简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简大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yixiaom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文星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锐字云字库小标宋体1.0">
    <w:altName w:val="宋体"/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Heiti SC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̥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+mn-cs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閼恒儳鐝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宋体 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">
    <w:altName w:val="Lucida Sans Unicode"/>
    <w:panose1 w:val="020B0602020000020603"/>
    <w:charset w:val="00"/>
    <w:family w:val="swiss"/>
    <w:pitch w:val="default"/>
    <w:sig w:usb0="00000000" w:usb1="00000000" w:usb2="00000000" w:usb3="00000000" w:csb0="00000003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钟齐翰墨毛笔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-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書法家行書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Nirmala UI">
    <w:altName w:val="Vrinda"/>
    <w:panose1 w:val="020B0502040204020203"/>
    <w:charset w:val="00"/>
    <w:family w:val="swiss"/>
    <w:pitch w:val="default"/>
    <w:sig w:usb0="00000000" w:usb1="00000000" w:usb2="000002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FSJ-PK74820000008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-PK748348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Song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25A35"/>
    <w:rsid w:val="04124ECF"/>
    <w:rsid w:val="066F7FC7"/>
    <w:rsid w:val="06D5177E"/>
    <w:rsid w:val="0B07174D"/>
    <w:rsid w:val="0C1A10C1"/>
    <w:rsid w:val="0DD6745A"/>
    <w:rsid w:val="0E7A0C48"/>
    <w:rsid w:val="0F3647CB"/>
    <w:rsid w:val="10BD3B67"/>
    <w:rsid w:val="12CE2595"/>
    <w:rsid w:val="132232E0"/>
    <w:rsid w:val="1516574B"/>
    <w:rsid w:val="17DB5CB3"/>
    <w:rsid w:val="21AD3963"/>
    <w:rsid w:val="25A90C9E"/>
    <w:rsid w:val="28707C53"/>
    <w:rsid w:val="288B36AF"/>
    <w:rsid w:val="2FB25F8E"/>
    <w:rsid w:val="33A352D2"/>
    <w:rsid w:val="36EA23EA"/>
    <w:rsid w:val="3C761C60"/>
    <w:rsid w:val="3FDD267F"/>
    <w:rsid w:val="422E2E06"/>
    <w:rsid w:val="43097351"/>
    <w:rsid w:val="43D03843"/>
    <w:rsid w:val="43FE0B65"/>
    <w:rsid w:val="4D9758A9"/>
    <w:rsid w:val="4F4D56AC"/>
    <w:rsid w:val="52282128"/>
    <w:rsid w:val="52736E6F"/>
    <w:rsid w:val="565C4AD6"/>
    <w:rsid w:val="57E363A9"/>
    <w:rsid w:val="5C853C6D"/>
    <w:rsid w:val="601463F6"/>
    <w:rsid w:val="61526E12"/>
    <w:rsid w:val="624E534A"/>
    <w:rsid w:val="676D4527"/>
    <w:rsid w:val="682F5AAA"/>
    <w:rsid w:val="6C266F21"/>
    <w:rsid w:val="6E79211D"/>
    <w:rsid w:val="70725A35"/>
    <w:rsid w:val="73B620A2"/>
    <w:rsid w:val="767543FE"/>
    <w:rsid w:val="794D09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paragraph" w:customStyle="1" w:styleId="9">
    <w:name w:val="列出段落2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2016-11-03T05:46:00Z</dcterms:created>
  <dc:creator>803liyongkang</dc:creator>
  <cp:lastModifiedBy>admin</cp:lastModifiedBy>
  <cp:lastPrinted>2016-12-28T11:13:00Z</cp:lastPrinted>
  <dcterms:modified xsi:type="dcterms:W3CDTF">2017-09-19T08:04:52Z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