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  <w:t>附件3：</w:t>
      </w:r>
    </w:p>
    <w:bookmarkEnd w:id="0"/>
    <w:tbl>
      <w:tblPr>
        <w:tblStyle w:val="7"/>
        <w:tblpPr w:leftFromText="180" w:rightFromText="180" w:vertAnchor="page" w:horzAnchor="page" w:tblpX="1804" w:tblpY="2943"/>
        <w:tblOverlap w:val="never"/>
        <w:tblW w:w="823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3"/>
        <w:gridCol w:w="2268"/>
        <w:gridCol w:w="2410"/>
        <w:gridCol w:w="212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设区市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2018年任务指标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（万㎡）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已完工建筑面积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（万㎡）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占年度任务比例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（%）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济南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80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111.03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138.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青岛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130.16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130.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淄博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12.83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128.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枣庄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3.08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102.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东营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3.13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104.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烟台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27.5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229.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潍坊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19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.00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126.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济宁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27.4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27.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泰安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7.54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125.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威海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6.77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112.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日照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4.22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105.5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莱芜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1.38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138.0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临沂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16.48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109.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德州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4.13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103.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聊城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50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51.16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102.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滨州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3.8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126.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菏泽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7.4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148.0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417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437.01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104.8</w:t>
            </w:r>
          </w:p>
        </w:tc>
      </w:tr>
    </w:tbl>
    <w:p>
      <w:pPr>
        <w:adjustRightInd w:val="0"/>
        <w:jc w:val="center"/>
        <w:rPr>
          <w:rFonts w:ascii="宋体" w:hAnsi="宋体"/>
          <w:b/>
          <w:sz w:val="36"/>
          <w:szCs w:val="32"/>
        </w:rPr>
      </w:pPr>
      <w:r>
        <w:rPr>
          <w:rFonts w:hint="eastAsia" w:ascii="宋体" w:hAnsi="宋体"/>
          <w:b/>
          <w:sz w:val="36"/>
          <w:szCs w:val="32"/>
        </w:rPr>
        <w:t>既有公共建筑节能改造进展情况表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AE80F51"/>
    <w:rsid w:val="000C6D13"/>
    <w:rsid w:val="0011294F"/>
    <w:rsid w:val="00145D9E"/>
    <w:rsid w:val="00160029"/>
    <w:rsid w:val="007E0C0A"/>
    <w:rsid w:val="00A76F9B"/>
    <w:rsid w:val="00B97C63"/>
    <w:rsid w:val="00CF3317"/>
    <w:rsid w:val="00D24BA1"/>
    <w:rsid w:val="00F02F28"/>
    <w:rsid w:val="00F660C5"/>
    <w:rsid w:val="028E56DE"/>
    <w:rsid w:val="263176C4"/>
    <w:rsid w:val="3F746FAF"/>
    <w:rsid w:val="5BF32F77"/>
    <w:rsid w:val="6E8A6135"/>
    <w:rsid w:val="7AE80F51"/>
    <w:rsid w:val="7B4A230E"/>
    <w:rsid w:val="7BCA5E0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50" w:after="150" w:line="480" w:lineRule="auto"/>
      <w:jc w:val="left"/>
    </w:pPr>
    <w:rPr>
      <w:rFonts w:hint="eastAsia" w:ascii="宋体" w:hAnsi="宋体" w:eastAsia="宋体" w:cs="Times New Roman"/>
      <w:color w:val="000000"/>
      <w:kern w:val="0"/>
      <w:sz w:val="24"/>
    </w:rPr>
  </w:style>
  <w:style w:type="character" w:customStyle="1" w:styleId="8">
    <w:name w:val="font41"/>
    <w:basedOn w:val="6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0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62</Words>
  <Characters>360</Characters>
  <Lines>3</Lines>
  <Paragraphs>1</Paragraphs>
  <ScaleCrop>false</ScaleCrop>
  <LinksUpToDate>false</LinksUpToDate>
  <CharactersWithSpaces>421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2018-10-15T04:10:00Z</dcterms:created>
  <dc:creator>郭蕾</dc:creator>
  <cp:lastModifiedBy>郭蕾</cp:lastModifiedBy>
  <cp:lastPrinted>2019-01-09T01:05:14Z</cp:lastPrinted>
  <dcterms:modified xsi:type="dcterms:W3CDTF">2019-01-09T01:52:39Z</dcterms:modified>
  <dc:title>附件3：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