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仿宋_GB2312" w:hAnsi="宋体" w:cs="仿宋_GB2312"/>
          <w:kern w:val="0"/>
          <w:szCs w:val="32"/>
        </w:rPr>
      </w:pPr>
    </w:p>
    <w:p>
      <w:pPr>
        <w:spacing w:line="560" w:lineRule="exact"/>
        <w:jc w:val="center"/>
        <w:outlineLvl w:val="0"/>
        <w:rPr>
          <w:rFonts w:ascii="方正小标宋简体" w:hAnsi="宋体" w:eastAsia="方正小标宋简体"/>
          <w:sz w:val="44"/>
          <w:szCs w:val="44"/>
        </w:rPr>
      </w:pPr>
      <w:r>
        <w:rPr>
          <w:rFonts w:hint="eastAsia" w:ascii="方正小标宋简体" w:hAnsi="宋体" w:eastAsia="方正小标宋简体"/>
          <w:sz w:val="44"/>
          <w:szCs w:val="44"/>
        </w:rPr>
        <w:t>关于进一步发展装配式建筑的实施意见</w:t>
      </w:r>
    </w:p>
    <w:p>
      <w:pPr>
        <w:spacing w:line="560" w:lineRule="exact"/>
        <w:jc w:val="center"/>
        <w:outlineLvl w:val="0"/>
        <w:rPr>
          <w:rFonts w:ascii="仿宋_GB2312" w:hAnsi="宋体"/>
          <w:szCs w:val="32"/>
        </w:rPr>
      </w:pPr>
      <w:r>
        <w:rPr>
          <w:rFonts w:hint="eastAsia" w:ascii="仿宋_GB2312" w:hAnsi="宋体"/>
          <w:szCs w:val="32"/>
        </w:rPr>
        <w:t>（征求意见稿）</w:t>
      </w:r>
    </w:p>
    <w:p>
      <w:pPr>
        <w:pStyle w:val="21"/>
        <w:spacing w:line="560" w:lineRule="exact"/>
        <w:ind w:firstLine="880"/>
        <w:rPr>
          <w:rFonts w:ascii="方正小标宋简体" w:hAnsi="宋体" w:eastAsia="方正小标宋简体"/>
          <w:sz w:val="44"/>
          <w:szCs w:val="44"/>
        </w:rPr>
      </w:pPr>
    </w:p>
    <w:p>
      <w:pPr>
        <w:pStyle w:val="21"/>
        <w:spacing w:line="560" w:lineRule="exact"/>
        <w:ind w:firstLine="640"/>
        <w:rPr>
          <w:rFonts w:ascii="仿宋_GB2312"/>
          <w:szCs w:val="32"/>
        </w:rPr>
      </w:pPr>
      <w:r>
        <w:rPr>
          <w:rFonts w:hint="eastAsia" w:ascii="仿宋_GB2312"/>
          <w:szCs w:val="32"/>
        </w:rPr>
        <w:t>为进一步贯彻落实《国务院办公厅关于大力发展装配式建筑的指导意见》（国办发〔2016〕71号），结合《中华人民共和国国民经济和社会发展第十四个五年规划和2035年远景目标纲要》</w:t>
      </w:r>
      <w:r>
        <w:rPr>
          <w:rFonts w:hint="eastAsia" w:ascii="仿宋_GB2312" w:hAnsi="仿宋_GB2312" w:cs="仿宋_GB2312"/>
          <w:szCs w:val="32"/>
        </w:rPr>
        <w:t>《北京城市总体规划</w:t>
      </w:r>
      <w:r>
        <w:rPr>
          <w:rFonts w:ascii="仿宋_GB2312" w:hAnsi="仿宋_GB2312" w:cs="仿宋_GB2312"/>
          <w:szCs w:val="32"/>
        </w:rPr>
        <w:t>(2016年—2035年)》</w:t>
      </w:r>
      <w:r>
        <w:rPr>
          <w:rFonts w:hint="eastAsia" w:ascii="仿宋_GB2312"/>
          <w:szCs w:val="32"/>
        </w:rPr>
        <w:t>和首都建设高质量发展要求以及我市装配式建筑发展现状，“十四五”时期我市将紧紧围绕绿色发展理念，继续稳步推进装配式建筑发展，落实新型建筑工业化，进一步提升建造水平和建筑品质，带动建筑业转型升级，</w:t>
      </w:r>
      <w:r>
        <w:rPr>
          <w:rFonts w:hint="eastAsia" w:ascii="仿宋_GB2312" w:hAnsi="宋体"/>
          <w:szCs w:val="32"/>
        </w:rPr>
        <w:t>现提出以下</w:t>
      </w:r>
      <w:r>
        <w:rPr>
          <w:rFonts w:hint="eastAsia" w:ascii="仿宋_GB2312"/>
          <w:szCs w:val="32"/>
        </w:rPr>
        <w:t>意见。</w:t>
      </w:r>
    </w:p>
    <w:p>
      <w:pPr>
        <w:pStyle w:val="2"/>
        <w:numPr>
          <w:ilvl w:val="0"/>
          <w:numId w:val="1"/>
        </w:numPr>
        <w:spacing w:line="560" w:lineRule="exact"/>
        <w:outlineLvl w:val="0"/>
        <w:rPr>
          <w:rFonts w:ascii="黑体" w:hAnsi="黑体" w:eastAsia="黑体"/>
          <w:sz w:val="32"/>
          <w:szCs w:val="32"/>
        </w:rPr>
      </w:pPr>
      <w:r>
        <w:rPr>
          <w:rFonts w:hint="eastAsia" w:ascii="黑体" w:hAnsi="黑体" w:eastAsia="黑体"/>
          <w:sz w:val="32"/>
          <w:szCs w:val="32"/>
        </w:rPr>
        <w:t>总体要求</w:t>
      </w:r>
    </w:p>
    <w:p>
      <w:pPr>
        <w:spacing w:line="560" w:lineRule="exact"/>
        <w:ind w:firstLine="640" w:firstLineChars="200"/>
        <w:outlineLvl w:val="1"/>
        <w:rPr>
          <w:rFonts w:ascii="楷体_GB2312" w:hAnsi="楷体" w:eastAsia="楷体_GB2312"/>
          <w:kern w:val="0"/>
          <w:szCs w:val="32"/>
        </w:rPr>
      </w:pPr>
      <w:r>
        <w:rPr>
          <w:rFonts w:hint="eastAsia" w:ascii="楷体_GB2312" w:hAnsi="楷体" w:eastAsia="楷体_GB2312"/>
          <w:kern w:val="0"/>
          <w:szCs w:val="32"/>
        </w:rPr>
        <w:t>（一）指导思想</w:t>
      </w:r>
    </w:p>
    <w:p>
      <w:pPr>
        <w:pStyle w:val="21"/>
        <w:spacing w:line="560" w:lineRule="exact"/>
        <w:ind w:firstLine="640"/>
        <w:rPr>
          <w:rFonts w:ascii="仿宋_GB2312"/>
          <w:szCs w:val="32"/>
        </w:rPr>
      </w:pPr>
      <w:r>
        <w:rPr>
          <w:rFonts w:hint="eastAsia" w:ascii="仿宋_GB2312"/>
          <w:szCs w:val="32"/>
        </w:rPr>
        <w:t>坚持以习近平新时代中国特色社会主义思想为指导，全面贯彻党的十九大和十九届二中、三中、四中、五中全会和中央经济工作会议精神，坚定不移贯彻新发展理念，坚持以首都发展为统领，深入实施人文北京、科技北京、绿色北京战略，大力加强“四个中心”功能建设，以推动高质量发展为主题，以满足人民日益增长的美好生活需要为根本目的，以建设国际科技创新中心为新引擎，以疏解非首都功能为“牛鼻子”推动京津冀协同发展，率先探索构建新发展格局的有效路径。</w:t>
      </w:r>
    </w:p>
    <w:p>
      <w:pPr>
        <w:spacing w:line="560" w:lineRule="exact"/>
        <w:ind w:firstLine="640" w:firstLineChars="200"/>
        <w:outlineLvl w:val="1"/>
        <w:rPr>
          <w:rFonts w:ascii="楷体_GB2312" w:hAnsi="楷体" w:eastAsia="楷体_GB2312"/>
          <w:kern w:val="0"/>
          <w:szCs w:val="32"/>
        </w:rPr>
      </w:pPr>
      <w:r>
        <w:rPr>
          <w:rFonts w:hint="eastAsia" w:ascii="楷体_GB2312" w:hAnsi="楷体" w:eastAsia="楷体_GB2312"/>
          <w:kern w:val="0"/>
          <w:szCs w:val="32"/>
        </w:rPr>
        <w:t>（二）工作目标</w:t>
      </w:r>
    </w:p>
    <w:p>
      <w:pPr>
        <w:pStyle w:val="21"/>
        <w:spacing w:line="560" w:lineRule="exact"/>
        <w:ind w:firstLine="640"/>
        <w:rPr>
          <w:rFonts w:ascii="仿宋_GB2312"/>
          <w:szCs w:val="32"/>
        </w:rPr>
      </w:pPr>
      <w:r>
        <w:rPr>
          <w:rFonts w:hint="eastAsia" w:ascii="仿宋_GB2312"/>
          <w:szCs w:val="32"/>
        </w:rPr>
        <w:t>2022年实现装配式建筑占新建建筑面积比例达到40%以上，2025年实现装配式建筑占新建建筑比例达到55%。大力发展装配式建筑，推动装配式建筑向提高质量、提升品质迈进，到“十四五”末基本建成以标准化设计、工厂化生产、装配化施工、一体化装修、信息化管理、数字化应用为主要特征的现代建筑产业体系；以新型建筑工业化发展带动设计、施工、部品部件生产企业由规模化向高质量发展，</w:t>
      </w:r>
      <w:r>
        <w:rPr>
          <w:rFonts w:hint="eastAsia" w:ascii="仿宋_GB2312"/>
          <w:szCs w:val="32"/>
          <w:highlight w:val="none"/>
        </w:rPr>
        <w:t>培育一批具有智慧建造能力</w:t>
      </w:r>
      <w:r>
        <w:rPr>
          <w:rFonts w:hint="eastAsia" w:ascii="仿宋_GB2312"/>
          <w:szCs w:val="32"/>
        </w:rPr>
        <w:t>的工程总承包企业以及与之相适应的专业化高水平技能队伍。</w:t>
      </w:r>
    </w:p>
    <w:p>
      <w:pPr>
        <w:spacing w:line="560" w:lineRule="exact"/>
        <w:ind w:firstLine="640" w:firstLineChars="200"/>
        <w:outlineLvl w:val="1"/>
        <w:rPr>
          <w:rFonts w:ascii="楷体_GB2312" w:hAnsi="楷体" w:eastAsia="楷体_GB2312"/>
          <w:kern w:val="0"/>
          <w:szCs w:val="32"/>
        </w:rPr>
      </w:pPr>
      <w:r>
        <w:rPr>
          <w:rFonts w:hint="eastAsia" w:ascii="楷体_GB2312" w:hAnsi="楷体" w:eastAsia="楷体_GB2312"/>
          <w:kern w:val="0"/>
          <w:szCs w:val="32"/>
        </w:rPr>
        <w:t>（三）实施范围</w:t>
      </w:r>
    </w:p>
    <w:p>
      <w:pPr>
        <w:pStyle w:val="21"/>
        <w:spacing w:line="560" w:lineRule="exact"/>
        <w:ind w:firstLine="640"/>
        <w:rPr>
          <w:rFonts w:ascii="仿宋_GB2312"/>
          <w:szCs w:val="32"/>
        </w:rPr>
      </w:pPr>
      <w:r>
        <w:rPr>
          <w:rFonts w:ascii="仿宋_GB2312"/>
          <w:szCs w:val="32"/>
        </w:rPr>
        <w:t>1.</w:t>
      </w:r>
      <w:r>
        <w:rPr>
          <w:rFonts w:hint="eastAsia" w:ascii="仿宋_GB2312"/>
          <w:szCs w:val="32"/>
        </w:rPr>
        <w:t>新立项政府投资的新建建筑应采用装配式建筑。其中，新立项政府投资的单体地上建筑面积1万平方米（含）以上的新建公共建筑应采用钢结构建筑。</w:t>
      </w:r>
    </w:p>
    <w:p>
      <w:pPr>
        <w:pStyle w:val="21"/>
        <w:spacing w:line="560" w:lineRule="exact"/>
        <w:ind w:firstLine="640"/>
        <w:rPr>
          <w:rFonts w:ascii="仿宋_GB2312" w:hAnsi="宋体" w:cs="宋体"/>
          <w:bCs/>
          <w:kern w:val="0"/>
          <w:szCs w:val="32"/>
          <w:highlight w:val="none"/>
        </w:rPr>
      </w:pPr>
      <w:r>
        <w:rPr>
          <w:rFonts w:hint="eastAsia" w:ascii="仿宋_GB2312"/>
          <w:szCs w:val="32"/>
        </w:rPr>
        <w:t>2.新建地上建筑面积2万平方米（含）以上的</w:t>
      </w:r>
      <w:r>
        <w:rPr>
          <w:rFonts w:hint="eastAsia"/>
          <w:highlight w:val="none"/>
        </w:rPr>
        <w:t>保障性住房</w:t>
      </w:r>
      <w:r>
        <w:rPr>
          <w:rFonts w:hint="eastAsia" w:ascii="仿宋_GB2312" w:hAnsi="宋体" w:cs="宋体"/>
          <w:bCs/>
          <w:kern w:val="0"/>
          <w:szCs w:val="32"/>
          <w:highlight w:val="none"/>
        </w:rPr>
        <w:t>应采用装配式建筑。</w:t>
      </w:r>
    </w:p>
    <w:p>
      <w:pPr>
        <w:pStyle w:val="21"/>
        <w:spacing w:line="560" w:lineRule="exact"/>
        <w:ind w:firstLine="640"/>
        <w:rPr>
          <w:rFonts w:ascii="仿宋_GB2312"/>
          <w:szCs w:val="32"/>
          <w:highlight w:val="none"/>
        </w:rPr>
      </w:pPr>
      <w:r>
        <w:rPr>
          <w:rFonts w:hint="eastAsia" w:ascii="仿宋_GB2312" w:hAnsi="宋体" w:cs="宋体"/>
          <w:bCs/>
          <w:kern w:val="0"/>
          <w:szCs w:val="32"/>
          <w:highlight w:val="none"/>
        </w:rPr>
        <w:t>3.以招拍挂方式取得的国有土地使用权的商品房开发项目应采用装配式建筑。</w:t>
      </w:r>
    </w:p>
    <w:p>
      <w:pPr>
        <w:pStyle w:val="21"/>
        <w:spacing w:line="560" w:lineRule="exact"/>
        <w:ind w:firstLine="640"/>
        <w:rPr>
          <w:rFonts w:hAnsi="宋体" w:cs="宋体"/>
          <w:bCs/>
          <w:kern w:val="0"/>
        </w:rPr>
      </w:pPr>
      <w:r>
        <w:rPr>
          <w:rFonts w:hint="eastAsia" w:ascii="仿宋_GB2312"/>
          <w:szCs w:val="32"/>
          <w:highlight w:val="none"/>
        </w:rPr>
        <w:t>4.新建地上建筑面积2万平方米（含）以上的公共建筑应</w:t>
      </w:r>
      <w:r>
        <w:rPr>
          <w:rFonts w:hint="eastAsia" w:ascii="仿宋_GB2312"/>
          <w:szCs w:val="32"/>
        </w:rPr>
        <w:t>采用装配式建筑。</w:t>
      </w:r>
    </w:p>
    <w:p>
      <w:pPr>
        <w:pStyle w:val="21"/>
        <w:spacing w:line="560" w:lineRule="exact"/>
        <w:ind w:firstLine="640"/>
        <w:rPr>
          <w:rFonts w:ascii="仿宋_GB2312" w:hAnsi="宋体" w:cs="宋体"/>
          <w:bCs/>
          <w:kern w:val="0"/>
          <w:szCs w:val="32"/>
        </w:rPr>
      </w:pPr>
      <w:r>
        <w:rPr>
          <w:rFonts w:hint="eastAsia" w:ascii="仿宋_GB2312" w:hAnsi="宋体" w:cs="宋体"/>
          <w:bCs/>
          <w:kern w:val="0"/>
          <w:szCs w:val="32"/>
        </w:rPr>
        <w:t>5.新建工业用地上的厂房、仓库应采用装配式建筑。</w:t>
      </w:r>
    </w:p>
    <w:p>
      <w:pPr>
        <w:pStyle w:val="21"/>
        <w:spacing w:line="560" w:lineRule="exact"/>
        <w:ind w:firstLine="640"/>
        <w:rPr>
          <w:rFonts w:ascii="仿宋_GB2312" w:hAnsi="宋体" w:cs="宋体"/>
          <w:bCs/>
          <w:kern w:val="0"/>
          <w:szCs w:val="32"/>
        </w:rPr>
      </w:pPr>
      <w:r>
        <w:rPr>
          <w:rFonts w:hint="eastAsia" w:ascii="仿宋_GB2312" w:hAnsi="仿宋_GB2312" w:cs="仿宋_GB2312"/>
          <w:kern w:val="0"/>
          <w:szCs w:val="32"/>
        </w:rPr>
        <w:t>6.在上述实施范围内，单体建筑面积5000平方米以下的公共建筑、项目的构筑物和配套附属设施（垃圾房、配电房等）除外</w:t>
      </w:r>
      <w:r>
        <w:rPr>
          <w:rFonts w:hint="eastAsia" w:ascii="仿宋_GB2312" w:hAnsi="宋体" w:cs="宋体"/>
          <w:bCs/>
          <w:kern w:val="0"/>
          <w:szCs w:val="32"/>
        </w:rPr>
        <w:t>。</w:t>
      </w:r>
    </w:p>
    <w:p>
      <w:pPr>
        <w:pStyle w:val="21"/>
        <w:spacing w:line="560" w:lineRule="exact"/>
        <w:ind w:firstLine="640"/>
        <w:rPr>
          <w:rFonts w:ascii="楷体_GB2312" w:hAnsi="楷体" w:eastAsia="楷体_GB2312"/>
          <w:kern w:val="0"/>
          <w:szCs w:val="32"/>
        </w:rPr>
      </w:pPr>
      <w:r>
        <w:rPr>
          <w:rFonts w:hint="eastAsia" w:ascii="楷体_GB2312" w:hAnsi="楷体" w:eastAsia="楷体_GB2312"/>
          <w:kern w:val="0"/>
          <w:szCs w:val="32"/>
        </w:rPr>
        <w:t>（四）实施标准</w:t>
      </w:r>
    </w:p>
    <w:p>
      <w:pPr>
        <w:pStyle w:val="21"/>
        <w:spacing w:line="560" w:lineRule="exact"/>
        <w:ind w:firstLine="640"/>
        <w:rPr>
          <w:rFonts w:ascii="仿宋_GB2312"/>
          <w:szCs w:val="32"/>
        </w:rPr>
      </w:pPr>
      <w:r>
        <w:rPr>
          <w:rFonts w:hint="eastAsia" w:ascii="仿宋_GB2312"/>
          <w:szCs w:val="32"/>
        </w:rPr>
        <w:t>装配式建筑应符合国家及本市的相关标准，装配率应满足《装配式建筑评价标准》的要求：</w:t>
      </w:r>
    </w:p>
    <w:p>
      <w:pPr>
        <w:pStyle w:val="21"/>
        <w:spacing w:line="560" w:lineRule="exact"/>
        <w:ind w:firstLine="640"/>
        <w:rPr>
          <w:rFonts w:ascii="仿宋_GB2312"/>
          <w:szCs w:val="32"/>
          <w:highlight w:val="none"/>
        </w:rPr>
      </w:pPr>
      <w:r>
        <w:rPr>
          <w:rFonts w:hint="eastAsia" w:ascii="仿宋_GB2312"/>
          <w:szCs w:val="32"/>
        </w:rPr>
        <w:t>1.保障性住房和以招拍挂方式取得</w:t>
      </w:r>
      <w:r>
        <w:rPr>
          <w:rFonts w:hint="eastAsia" w:ascii="仿宋_GB2312" w:hAnsi="宋体" w:cs="宋体"/>
          <w:bCs/>
          <w:kern w:val="0"/>
          <w:szCs w:val="32"/>
        </w:rPr>
        <w:t>的</w:t>
      </w:r>
      <w:r>
        <w:rPr>
          <w:rFonts w:hint="eastAsia" w:ascii="仿宋_GB2312"/>
          <w:szCs w:val="32"/>
        </w:rPr>
        <w:t>国有土地使用权的商品房开发项目应达到</w:t>
      </w:r>
      <w:r>
        <w:rPr>
          <w:rFonts w:hint="eastAsia" w:ascii="仿宋_GB2312" w:hAnsi="宋体" w:cs="宋体"/>
          <w:bCs/>
          <w:kern w:val="0"/>
          <w:szCs w:val="32"/>
          <w:highlight w:val="none"/>
        </w:rPr>
        <w:t>装配率不低于60%</w:t>
      </w:r>
      <w:r>
        <w:rPr>
          <w:rFonts w:hint="eastAsia" w:ascii="仿宋_GB2312"/>
          <w:szCs w:val="32"/>
          <w:highlight w:val="none"/>
        </w:rPr>
        <w:t>的标准；</w:t>
      </w:r>
    </w:p>
    <w:p>
      <w:pPr>
        <w:pStyle w:val="21"/>
        <w:spacing w:line="560" w:lineRule="exact"/>
        <w:ind w:firstLine="640"/>
        <w:rPr>
          <w:rFonts w:ascii="仿宋_GB2312"/>
          <w:szCs w:val="32"/>
          <w:highlight w:val="none"/>
        </w:rPr>
      </w:pPr>
      <w:r>
        <w:rPr>
          <w:rFonts w:hint="eastAsia" w:ascii="仿宋_GB2312"/>
          <w:szCs w:val="32"/>
          <w:highlight w:val="none"/>
        </w:rPr>
        <w:t>2. 新立项政府投资的新建建筑、</w:t>
      </w:r>
      <w:r>
        <w:rPr>
          <w:rFonts w:hint="eastAsia" w:ascii="仿宋_GB2312" w:hAnsi="宋体" w:cs="宋体"/>
          <w:bCs/>
          <w:kern w:val="0"/>
          <w:szCs w:val="32"/>
          <w:highlight w:val="none"/>
        </w:rPr>
        <w:t>新建公共建筑和工业建筑等其他实施范围内的建筑应达到装配率不低于50%的标准。</w:t>
      </w:r>
    </w:p>
    <w:p>
      <w:pPr>
        <w:pStyle w:val="2"/>
        <w:numPr>
          <w:ilvl w:val="0"/>
          <w:numId w:val="1"/>
        </w:numPr>
        <w:spacing w:line="560" w:lineRule="exact"/>
        <w:outlineLvl w:val="0"/>
        <w:rPr>
          <w:rFonts w:ascii="黑体" w:hAnsi="黑体" w:eastAsia="黑体"/>
          <w:sz w:val="32"/>
          <w:szCs w:val="32"/>
          <w:highlight w:val="none"/>
        </w:rPr>
      </w:pPr>
      <w:r>
        <w:rPr>
          <w:rFonts w:hint="eastAsia" w:ascii="黑体" w:hAnsi="黑体" w:eastAsia="黑体"/>
          <w:sz w:val="32"/>
          <w:szCs w:val="32"/>
          <w:highlight w:val="none"/>
        </w:rPr>
        <w:t>重点工作</w:t>
      </w:r>
    </w:p>
    <w:p>
      <w:pPr>
        <w:spacing w:line="560" w:lineRule="exact"/>
        <w:ind w:firstLine="640" w:firstLineChars="200"/>
        <w:outlineLvl w:val="1"/>
        <w:rPr>
          <w:rFonts w:ascii="楷体_GB2312" w:hAnsi="楷体" w:eastAsia="楷体_GB2312"/>
          <w:kern w:val="0"/>
          <w:szCs w:val="32"/>
          <w:highlight w:val="none"/>
        </w:rPr>
      </w:pPr>
      <w:r>
        <w:rPr>
          <w:rFonts w:hint="eastAsia" w:ascii="楷体_GB2312" w:hAnsi="楷体" w:eastAsia="楷体_GB2312"/>
          <w:kern w:val="0"/>
          <w:szCs w:val="32"/>
          <w:highlight w:val="none"/>
        </w:rPr>
        <w:t>（五）发挥集中型科技支撑</w:t>
      </w:r>
    </w:p>
    <w:p>
      <w:pPr>
        <w:pStyle w:val="21"/>
        <w:spacing w:line="560" w:lineRule="exact"/>
        <w:ind w:firstLine="640"/>
        <w:rPr>
          <w:rFonts w:ascii="仿宋_GB2312"/>
          <w:szCs w:val="32"/>
          <w:highlight w:val="none"/>
        </w:rPr>
      </w:pPr>
      <w:r>
        <w:rPr>
          <w:rFonts w:hint="eastAsia" w:ascii="仿宋_GB2312"/>
          <w:szCs w:val="32"/>
          <w:highlight w:val="none"/>
        </w:rPr>
        <w:t>发挥国际科技创新中心优势，支持装配式建筑的研发，加强装配式建筑新型结构体系、标准化设计、质量检测和高效连接技术的研发与应用，</w:t>
      </w:r>
      <w:r>
        <w:rPr>
          <w:rFonts w:hint="eastAsia"/>
          <w:highlight w:val="none"/>
        </w:rPr>
        <w:t>攻关可持续、高品质装配式建筑设计建造集成技术体系，</w:t>
      </w:r>
      <w:r>
        <w:rPr>
          <w:rFonts w:hint="eastAsia" w:ascii="仿宋_GB2312"/>
          <w:szCs w:val="32"/>
          <w:highlight w:val="none"/>
        </w:rPr>
        <w:t>加大装配式建筑与绿色建筑和超低能耗建筑等技术集成示范，研究装配式建筑与光伏一体化技术应用，</w:t>
      </w:r>
      <w:r>
        <w:rPr>
          <w:rFonts w:hint="eastAsia"/>
          <w:highlight w:val="none"/>
        </w:rPr>
        <w:t>开展装配式建筑领域碳减排、碳中和路径研究。</w:t>
      </w:r>
      <w:r>
        <w:rPr>
          <w:rFonts w:hint="eastAsia" w:ascii="仿宋_GB2312"/>
          <w:szCs w:val="32"/>
          <w:highlight w:val="none"/>
        </w:rPr>
        <w:t>初步建立装配式建筑重大科技成果库。进一步完善装配式建筑技术标准体系、评价体系和计价依据，研究制定装配式建筑标准化图集，定期发布装配式建筑适用技术推广目录和指南。加快钢结构住宅研究示范和低层钢结构农宅试点与推广。</w:t>
      </w:r>
    </w:p>
    <w:p>
      <w:pPr>
        <w:spacing w:line="560" w:lineRule="exact"/>
        <w:ind w:firstLine="640" w:firstLineChars="200"/>
        <w:outlineLvl w:val="1"/>
        <w:rPr>
          <w:rFonts w:ascii="楷体_GB2312" w:hAnsi="楷体" w:eastAsia="楷体_GB2312"/>
          <w:kern w:val="0"/>
          <w:szCs w:val="32"/>
          <w:highlight w:val="none"/>
        </w:rPr>
      </w:pPr>
      <w:r>
        <w:rPr>
          <w:rFonts w:hint="eastAsia" w:ascii="楷体_GB2312" w:hAnsi="楷体" w:eastAsia="楷体_GB2312"/>
          <w:kern w:val="0"/>
          <w:szCs w:val="32"/>
          <w:highlight w:val="none"/>
        </w:rPr>
        <w:t>（六）强化系统化集成设计</w:t>
      </w:r>
    </w:p>
    <w:p>
      <w:pPr>
        <w:pStyle w:val="2"/>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highlight w:val="none"/>
        </w:rPr>
        <w:t>强化装配式建筑系统化集成设计,以建筑师负责制为抓手，发挥设计引领作用，推动全产业链协同。实行建筑、结构、机电、内装、构件加工的一体化正向设计和标准化设计；完善设计选型标准，实施建筑平面、立面、构件和部品部件、接口标准化设计，</w:t>
      </w:r>
      <w:r>
        <w:rPr>
          <w:rFonts w:hint="eastAsia" w:ascii="仿宋_GB2312" w:eastAsia="仿宋_GB2312"/>
          <w:kern w:val="2"/>
          <w:sz w:val="32"/>
          <w:szCs w:val="32"/>
        </w:rPr>
        <w:t>推广少规格、多组合设计方法，确保设计深度符合生产和施工要求；健全项目前期技术方案策划和设计方案技术论证制度，统筹规划设计、构件和部品部件</w:t>
      </w:r>
      <w:r>
        <w:rPr>
          <w:rFonts w:hint="eastAsia" w:ascii="仿宋_GB2312" w:eastAsia="仿宋_GB2312"/>
          <w:kern w:val="2"/>
          <w:sz w:val="32"/>
          <w:szCs w:val="32"/>
          <w:highlight w:val="none"/>
        </w:rPr>
        <w:t>深化设计要求、</w:t>
      </w:r>
      <w:r>
        <w:rPr>
          <w:rFonts w:hint="eastAsia" w:ascii="仿宋_GB2312" w:eastAsia="仿宋_GB2312"/>
          <w:kern w:val="2"/>
          <w:sz w:val="32"/>
          <w:szCs w:val="32"/>
        </w:rPr>
        <w:t>生产运输、施工安装和运营维护管理。</w:t>
      </w:r>
    </w:p>
    <w:p>
      <w:pPr>
        <w:spacing w:line="560" w:lineRule="exact"/>
        <w:ind w:firstLine="640" w:firstLineChars="200"/>
        <w:outlineLvl w:val="1"/>
        <w:rPr>
          <w:rFonts w:ascii="楷体_GB2312" w:hAnsi="楷体" w:eastAsia="楷体_GB2312"/>
          <w:kern w:val="0"/>
          <w:szCs w:val="32"/>
        </w:rPr>
      </w:pPr>
      <w:r>
        <w:rPr>
          <w:rFonts w:hint="eastAsia" w:ascii="楷体_GB2312" w:hAnsi="楷体" w:eastAsia="楷体_GB2312"/>
          <w:kern w:val="0"/>
          <w:szCs w:val="32"/>
        </w:rPr>
        <w:t>（七）提升标准化生产水平</w:t>
      </w:r>
    </w:p>
    <w:p>
      <w:pPr>
        <w:pStyle w:val="21"/>
        <w:spacing w:line="560" w:lineRule="exact"/>
        <w:ind w:firstLine="640"/>
        <w:rPr>
          <w:rFonts w:ascii="仿宋_GB2312"/>
          <w:szCs w:val="32"/>
          <w:highlight w:val="none"/>
        </w:rPr>
      </w:pPr>
      <w:r>
        <w:rPr>
          <w:rFonts w:hint="eastAsia" w:ascii="仿宋_GB2312"/>
          <w:szCs w:val="32"/>
        </w:rPr>
        <w:t>提高预制构件标准化水平，推广使用主要构件、部品部件尺寸指南，健全预制构件基本尺寸和组合尺寸库，满足标准化设计选型要求，推动水平预制构</w:t>
      </w:r>
      <w:r>
        <w:rPr>
          <w:rFonts w:hint="eastAsia" w:ascii="仿宋_GB2312"/>
          <w:szCs w:val="32"/>
          <w:highlight w:val="none"/>
        </w:rPr>
        <w:t>件的标准化。引导构件和部品部件产能合理布局，定期发布产能供需情况，推进绿色建材、构件和部品部件认证，加快建立绿色供应链。</w:t>
      </w:r>
    </w:p>
    <w:p>
      <w:pPr>
        <w:spacing w:line="560" w:lineRule="exact"/>
        <w:ind w:firstLine="640" w:firstLineChars="200"/>
        <w:outlineLvl w:val="1"/>
        <w:rPr>
          <w:rFonts w:ascii="楷体_GB2312" w:hAnsi="楷体" w:eastAsia="楷体_GB2312"/>
          <w:kern w:val="0"/>
          <w:szCs w:val="32"/>
        </w:rPr>
      </w:pPr>
      <w:r>
        <w:rPr>
          <w:rFonts w:hint="eastAsia" w:ascii="楷体_GB2312" w:hAnsi="楷体" w:eastAsia="楷体_GB2312"/>
          <w:kern w:val="0"/>
          <w:szCs w:val="32"/>
        </w:rPr>
        <w:t>（八）推广精益化施工建造</w:t>
      </w:r>
    </w:p>
    <w:p>
      <w:pPr>
        <w:pStyle w:val="21"/>
        <w:spacing w:line="560" w:lineRule="exact"/>
        <w:ind w:firstLine="640"/>
        <w:rPr>
          <w:rFonts w:ascii="仿宋_GB2312"/>
          <w:szCs w:val="32"/>
        </w:rPr>
      </w:pPr>
      <w:r>
        <w:rPr>
          <w:rFonts w:hint="eastAsia" w:ascii="仿宋_GB2312"/>
          <w:szCs w:val="32"/>
        </w:rPr>
        <w:t>完善与装配式建筑相适应的精益化施工组织方式，实行装配式建筑装饰装修与主体结构、机电设备协同施工，发挥结构与装修穿插施工优势，提高施工现场精细化管理水平。优化装配式建筑施工工艺工法，引导施工企业研发与精益化施工相适应的部品部件吊装、运输与堆放、连接等施工工艺工法，推广应用钢筋定位钢板等配套装备和机具，在材料搬运、钢筋加工、高空焊接等环节提升现场施工工业化水平。加强构件和部品部件进场、施工安装、节点连接灌浆、密封防水等关键部位和工序质量安全管控，强化对施工管理人员和一线作业人员的质量安全技术交底，通过全过程组织管理和技术优化集成，全面提升施工质量和效益。</w:t>
      </w:r>
    </w:p>
    <w:p>
      <w:pPr>
        <w:spacing w:line="560" w:lineRule="exact"/>
        <w:ind w:firstLine="640" w:firstLineChars="200"/>
        <w:outlineLvl w:val="1"/>
        <w:rPr>
          <w:rFonts w:ascii="楷体_GB2312" w:hAnsi="楷体" w:eastAsia="楷体_GB2312"/>
          <w:kern w:val="0"/>
          <w:szCs w:val="32"/>
        </w:rPr>
      </w:pPr>
      <w:r>
        <w:rPr>
          <w:rFonts w:hint="eastAsia" w:ascii="楷体_GB2312" w:hAnsi="楷体" w:eastAsia="楷体_GB2312"/>
          <w:kern w:val="0"/>
          <w:szCs w:val="32"/>
        </w:rPr>
        <w:t>（九）实施全装修成品交房</w:t>
      </w:r>
    </w:p>
    <w:p>
      <w:pPr>
        <w:pStyle w:val="21"/>
        <w:spacing w:line="560" w:lineRule="exact"/>
        <w:ind w:firstLine="640"/>
        <w:rPr>
          <w:rFonts w:ascii="仿宋_GB2312"/>
          <w:szCs w:val="32"/>
        </w:rPr>
      </w:pPr>
      <w:r>
        <w:rPr>
          <w:rFonts w:hint="eastAsia" w:ascii="仿宋_GB2312"/>
          <w:szCs w:val="32"/>
        </w:rPr>
        <w:t>新建建筑应实施全装修成品交房，逐步提高装配式装修在保障性住房、商品住宅和公共建筑中的应用比例，鼓励既有建筑装修和改造采用装配式装修。研究制定菜单式全装修实施方案，明确装修标准和价格区间，纳入住房销售合同，推广标准化、集成化、模块化的装修模式，加快智能产品和智能家居的应用，实现优质优价和品质提升，满足消费者个性化需求。完善整体卫浴、集成厨房、同层排水、整体门窗、轻质墙板系统等集成化部品部件的产品配套能力，逐步形成标准化、系列化</w:t>
      </w:r>
      <w:r>
        <w:rPr>
          <w:rFonts w:hint="eastAsia" w:ascii="仿宋_GB2312"/>
          <w:szCs w:val="32"/>
          <w:highlight w:val="none"/>
        </w:rPr>
        <w:t>、成套化</w:t>
      </w:r>
      <w:r>
        <w:rPr>
          <w:rFonts w:hint="eastAsia" w:ascii="仿宋_GB2312"/>
          <w:szCs w:val="32"/>
        </w:rPr>
        <w:t>的部品部件供应体系。</w:t>
      </w:r>
    </w:p>
    <w:p>
      <w:pPr>
        <w:spacing w:line="560" w:lineRule="exact"/>
        <w:ind w:firstLine="640" w:firstLineChars="200"/>
        <w:outlineLvl w:val="1"/>
        <w:rPr>
          <w:rFonts w:ascii="仿宋_GB2312"/>
          <w:szCs w:val="32"/>
        </w:rPr>
      </w:pPr>
      <w:r>
        <w:rPr>
          <w:rFonts w:hint="eastAsia" w:ascii="楷体_GB2312" w:hAnsi="楷体" w:eastAsia="楷体_GB2312"/>
          <w:kern w:val="0"/>
          <w:szCs w:val="32"/>
        </w:rPr>
        <w:t>（十）提升信息化应用水平</w:t>
      </w:r>
    </w:p>
    <w:p>
      <w:pPr>
        <w:pStyle w:val="21"/>
        <w:spacing w:line="560" w:lineRule="exact"/>
        <w:ind w:firstLine="640"/>
        <w:rPr>
          <w:rFonts w:ascii="仿宋_GB2312"/>
          <w:szCs w:val="32"/>
        </w:rPr>
      </w:pPr>
      <w:r>
        <w:rPr>
          <w:rFonts w:hint="eastAsia" w:ascii="仿宋_GB2312"/>
          <w:szCs w:val="32"/>
        </w:rPr>
        <w:t>大力推进建筑信息模型（BIM）技术在设计、生产、施工与运维全寿命期的应用，政府投资和公共租赁住房的装配式建筑项目应在全寿命期应用BIM技术，其他类型的装配式建筑项目鼓励全寿命期应用BIM技术。探索建立建筑产业互联网平台，开展生产装备、施工设备的智能化升级行动，鼓励应用建筑机器人、工业机器人、智能移动终端等智能设备，推广智能办公、楼宇自动化系统。推动大数据技术、5G、射频识别（RFID）及二维码识别等技术在装配式建筑建设和管理中的集成应用。</w:t>
      </w:r>
    </w:p>
    <w:p>
      <w:pPr>
        <w:pStyle w:val="21"/>
        <w:spacing w:line="560" w:lineRule="exact"/>
        <w:ind w:firstLine="640"/>
        <w:rPr>
          <w:rFonts w:ascii="楷体_GB2312" w:hAnsi="楷体" w:eastAsia="楷体_GB2312"/>
          <w:kern w:val="0"/>
          <w:szCs w:val="32"/>
        </w:rPr>
      </w:pPr>
      <w:r>
        <w:rPr>
          <w:rFonts w:hint="eastAsia" w:ascii="楷体_GB2312" w:hAnsi="楷体" w:eastAsia="楷体_GB2312"/>
          <w:kern w:val="0"/>
          <w:szCs w:val="32"/>
        </w:rPr>
        <w:t>（十一）创新工程组织管理模式</w:t>
      </w:r>
    </w:p>
    <w:p>
      <w:pPr>
        <w:pStyle w:val="21"/>
        <w:spacing w:line="560" w:lineRule="exact"/>
        <w:ind w:firstLine="640"/>
        <w:rPr>
          <w:rFonts w:ascii="仿宋_GB2312"/>
          <w:szCs w:val="32"/>
        </w:rPr>
      </w:pPr>
      <w:r>
        <w:rPr>
          <w:rFonts w:hint="eastAsia" w:ascii="仿宋_GB2312"/>
          <w:szCs w:val="32"/>
        </w:rPr>
        <w:t>推行建筑师负责制，施行以设计为主导的全过程工程咨询，充分发挥建筑师在装配式建筑项目中的积极性。推进工程总承包方式在装配式项目中的应用，政府投资项目原则上采用工程总承包方式。研究制定工程总承包各参建方、各专业间的成果交付、竣工验收、资料归档等相关标准和制度。进一步简化招投标流程，加快实现公共资源交易各平台间的信息交互。引导骨干企业提高项目管理、技术创新和资源配置能力，培育具有综合管理能力的工程总承包企业，落实相关主体责任。</w:t>
      </w:r>
    </w:p>
    <w:p>
      <w:pPr>
        <w:spacing w:line="560" w:lineRule="exact"/>
        <w:ind w:firstLine="640" w:firstLineChars="200"/>
        <w:outlineLvl w:val="1"/>
        <w:rPr>
          <w:rFonts w:ascii="楷体_GB2312" w:hAnsi="楷体" w:eastAsia="楷体_GB2312"/>
          <w:kern w:val="0"/>
          <w:szCs w:val="32"/>
        </w:rPr>
      </w:pPr>
      <w:r>
        <w:rPr>
          <w:rFonts w:hint="eastAsia" w:ascii="楷体_GB2312" w:hAnsi="楷体" w:eastAsia="楷体_GB2312"/>
          <w:kern w:val="0"/>
          <w:szCs w:val="32"/>
        </w:rPr>
        <w:t>（十二）开展评价示范和奖励</w:t>
      </w:r>
    </w:p>
    <w:p>
      <w:pPr>
        <w:pStyle w:val="21"/>
        <w:spacing w:line="560" w:lineRule="exact"/>
        <w:ind w:firstLine="640"/>
        <w:rPr>
          <w:rFonts w:ascii="仿宋_GB2312"/>
          <w:szCs w:val="32"/>
        </w:rPr>
      </w:pPr>
      <w:r>
        <w:rPr>
          <w:rFonts w:hint="eastAsia" w:ascii="仿宋_GB2312"/>
          <w:szCs w:val="32"/>
        </w:rPr>
        <w:t>发布《装配式建筑评价标准》，鼓励项目开展装配式建筑项目评价。制定装配式建筑项目示范工程管理办法，打造一批北京市装配式建筑示范工程。发布市级装配式建筑示范基地制度，建立一批北京市装配式建筑示范基地。鼓励装配式建筑项目技术创新，在北京市优秀工程勘察设计奖项目设立装配式建筑专项奖。</w:t>
      </w:r>
    </w:p>
    <w:p>
      <w:pPr>
        <w:spacing w:line="560" w:lineRule="exact"/>
        <w:ind w:firstLine="640" w:firstLineChars="200"/>
        <w:outlineLvl w:val="1"/>
        <w:rPr>
          <w:rFonts w:ascii="楷体_GB2312" w:hAnsi="楷体" w:eastAsia="楷体_GB2312"/>
          <w:kern w:val="0"/>
          <w:szCs w:val="32"/>
        </w:rPr>
      </w:pPr>
      <w:r>
        <w:rPr>
          <w:rFonts w:hint="eastAsia" w:ascii="楷体_GB2312" w:hAnsi="楷体" w:eastAsia="楷体_GB2312"/>
          <w:kern w:val="0"/>
          <w:szCs w:val="32"/>
        </w:rPr>
        <w:t>（十三）培育专业化人才队伍</w:t>
      </w:r>
    </w:p>
    <w:p>
      <w:pPr>
        <w:pStyle w:val="21"/>
        <w:spacing w:line="560" w:lineRule="exact"/>
        <w:ind w:firstLine="640"/>
        <w:rPr>
          <w:rFonts w:ascii="仿宋_GB2312"/>
          <w:szCs w:val="32"/>
        </w:rPr>
      </w:pPr>
      <w:r>
        <w:rPr>
          <w:rFonts w:hint="eastAsia" w:ascii="仿宋_GB2312"/>
          <w:szCs w:val="32"/>
        </w:rPr>
        <w:t>大力培养装配式建筑专业人才，强化设计、生产、施工、管理等方面人才队伍。加强专业技术人员知识更新培训力度，完善装配式建筑专业人才职称评价机制，发展“互联网+”等现代培训方式，开展装配式建筑前沿技术和技能提升线上培训服务。加快培育装配式建筑产业工人队伍，发挥企业在职业教育和培训中的主体作用，引导企业培育自有产业工人队伍。深化产教融合、校企合作，支持院校开设装配式建筑相关课程，创新人才培养模式，为专业人才培养提供保障。</w:t>
      </w:r>
    </w:p>
    <w:p>
      <w:pPr>
        <w:pStyle w:val="2"/>
        <w:numPr>
          <w:ilvl w:val="0"/>
          <w:numId w:val="1"/>
        </w:numPr>
        <w:spacing w:line="560" w:lineRule="exact"/>
        <w:outlineLvl w:val="0"/>
        <w:rPr>
          <w:rFonts w:ascii="黑体" w:hAnsi="黑体" w:eastAsia="黑体"/>
          <w:sz w:val="32"/>
          <w:szCs w:val="32"/>
        </w:rPr>
      </w:pPr>
      <w:r>
        <w:rPr>
          <w:rFonts w:hint="eastAsia" w:ascii="黑体" w:hAnsi="黑体" w:eastAsia="黑体"/>
          <w:sz w:val="32"/>
          <w:szCs w:val="32"/>
        </w:rPr>
        <w:t>保障措施</w:t>
      </w:r>
    </w:p>
    <w:p>
      <w:pPr>
        <w:spacing w:line="560" w:lineRule="exact"/>
        <w:ind w:firstLine="640" w:firstLineChars="200"/>
        <w:outlineLvl w:val="1"/>
        <w:rPr>
          <w:rFonts w:ascii="楷体_GB2312" w:hAnsi="楷体" w:eastAsia="楷体_GB2312"/>
          <w:kern w:val="0"/>
          <w:szCs w:val="32"/>
        </w:rPr>
      </w:pPr>
      <w:r>
        <w:rPr>
          <w:rFonts w:hint="eastAsia" w:ascii="楷体_GB2312" w:hAnsi="楷体" w:eastAsia="楷体_GB2312"/>
          <w:kern w:val="0"/>
          <w:szCs w:val="32"/>
        </w:rPr>
        <w:t>（十四）加强组织领导</w:t>
      </w:r>
    </w:p>
    <w:p>
      <w:pPr>
        <w:pStyle w:val="21"/>
        <w:spacing w:line="560" w:lineRule="exact"/>
        <w:ind w:firstLine="640"/>
        <w:rPr>
          <w:rFonts w:ascii="仿宋_GB2312"/>
          <w:szCs w:val="32"/>
        </w:rPr>
      </w:pPr>
      <w:r>
        <w:rPr>
          <w:rFonts w:hint="eastAsia" w:ascii="仿宋_GB2312"/>
          <w:szCs w:val="32"/>
        </w:rPr>
        <w:t>充分发挥北京市发展装配式建筑工作联席会议制度作用，联席会议成员单位为：市住房城乡建设委、市发展改革委、市教委、市科委、市经济信息化局、市财政局、市人力社保局、市规划自然资源委、市生态环境局、市市场监管局、市国资委、国家税务总局北京市税务局、市地方金融监管局、人民银行营业管理部、市交通委、市公安局交管局、北京银保监局、北京证监局等，联席会议办公室设在市住房城乡建设委。</w:t>
      </w:r>
    </w:p>
    <w:p>
      <w:pPr>
        <w:pStyle w:val="21"/>
        <w:spacing w:line="560" w:lineRule="exact"/>
        <w:ind w:firstLine="640"/>
        <w:rPr>
          <w:rFonts w:ascii="仿宋_GB2312"/>
          <w:szCs w:val="32"/>
        </w:rPr>
      </w:pPr>
      <w:r>
        <w:rPr>
          <w:rFonts w:hint="eastAsia" w:ascii="仿宋_GB2312"/>
          <w:szCs w:val="32"/>
        </w:rPr>
        <w:t>市发展装配式建筑工作联席会议负责组织实施全市装配式建筑发展工作。包括制定年度发展计划，明确发展目标、实施范围和重点任务；开展装配式建筑工作落实情况检查，将装配式建筑发展情况作为住房城乡建设领域考核指标，列入市政府重点考核督查项目。各成员单位要按照职责分工，制定具体配套措施，密切协作配合，加大支持力度，扎实做好发展装配式建筑各项工作。各区政府要加强对本区发展装配式建筑工作的组织领导，完善相应的工作机制，明确目标任务，加强督促检查，确保落到实处。</w:t>
      </w:r>
    </w:p>
    <w:p>
      <w:pPr>
        <w:spacing w:line="560" w:lineRule="exact"/>
        <w:ind w:firstLine="640" w:firstLineChars="200"/>
        <w:outlineLvl w:val="1"/>
        <w:rPr>
          <w:rFonts w:ascii="楷体_GB2312" w:hAnsi="楷体" w:eastAsia="楷体_GB2312"/>
          <w:kern w:val="0"/>
          <w:szCs w:val="32"/>
        </w:rPr>
      </w:pPr>
      <w:r>
        <w:rPr>
          <w:rFonts w:hint="eastAsia" w:ascii="楷体_GB2312" w:hAnsi="楷体" w:eastAsia="楷体_GB2312"/>
          <w:kern w:val="0"/>
          <w:szCs w:val="32"/>
        </w:rPr>
        <w:t>（十五）细化责任分工</w:t>
      </w:r>
    </w:p>
    <w:p>
      <w:pPr>
        <w:pStyle w:val="21"/>
        <w:spacing w:line="560" w:lineRule="exact"/>
        <w:ind w:firstLine="640"/>
        <w:rPr>
          <w:rFonts w:ascii="仿宋_GB2312"/>
          <w:szCs w:val="32"/>
        </w:rPr>
      </w:pPr>
      <w:r>
        <w:rPr>
          <w:rFonts w:hint="eastAsia" w:ascii="仿宋_GB2312"/>
          <w:szCs w:val="32"/>
        </w:rPr>
        <w:t>市住房城乡建设委要加强统筹协调，会同有关部门制定装配式建筑年度发展计划及具体实施范围，将发展装配式建筑相关要求落实到项目规划审批、土地供应、项目立项、施工图审查等各环节，并定期通报各有关单位推进装配式建筑工作进展情况；依法办理装配式建筑项目施工许可，加强施工质量安全管理，对不符合验收标准的项目依法不予进行竣工备案,将全装修成品交房纳入住房销售合同。市发展改革委等立项审批部门负责在立项阶段对落实装配式建筑要求的有关内容文件进行审查。市规划自然资源委负责加强装配式建筑项目土地供应、规划许可、施工图审查的管理，土地供应和规划许可中告知装配式建筑的实施要求，完善装配式建筑设计文件深度规定和施工图审查要点，在施工图审查环节落实装配式建筑的有关要求。其他主管部门按照职责分工在政策支持、市场和人才培育、部品部件管理等方面予以落实。</w:t>
      </w:r>
    </w:p>
    <w:p>
      <w:pPr>
        <w:spacing w:line="560" w:lineRule="exact"/>
        <w:ind w:firstLine="640" w:firstLineChars="200"/>
        <w:outlineLvl w:val="1"/>
        <w:rPr>
          <w:rFonts w:ascii="楷体_GB2312" w:hAnsi="楷体" w:eastAsia="楷体_GB2312"/>
          <w:kern w:val="0"/>
          <w:szCs w:val="32"/>
        </w:rPr>
      </w:pPr>
      <w:r>
        <w:rPr>
          <w:rFonts w:hint="eastAsia" w:ascii="楷体_GB2312" w:hAnsi="楷体" w:eastAsia="楷体_GB2312"/>
          <w:kern w:val="0"/>
          <w:szCs w:val="32"/>
        </w:rPr>
        <w:t>（十六）创新监督管理</w:t>
      </w:r>
    </w:p>
    <w:p>
      <w:pPr>
        <w:pStyle w:val="21"/>
        <w:spacing w:line="560" w:lineRule="exact"/>
        <w:ind w:firstLine="640"/>
        <w:rPr>
          <w:rFonts w:ascii="仿宋_GB2312"/>
          <w:szCs w:val="32"/>
        </w:rPr>
      </w:pPr>
      <w:r>
        <w:rPr>
          <w:rFonts w:hint="eastAsia" w:ascii="仿宋_GB2312"/>
          <w:szCs w:val="32"/>
        </w:rPr>
        <w:t>在项目立项、规划审批、工程许可等环节创新信息化监管方式，逐步实现监管数据互联互通。促进装配式建筑质量提升，创新监管方式，完善事中事后监管体制机制和手段，落实参建各方主体责任，承诺落实装配式建筑的有关要求。加强预制构件质量管理，落实驻厂监造制度和部品部件采购信息填报制度，实行全过程质量责任追溯。探索建立装配式建筑市场信用监管体系和质量诚信体系，加强对装配式建筑参建各方的信用管理。</w:t>
      </w:r>
    </w:p>
    <w:p>
      <w:pPr>
        <w:spacing w:line="560" w:lineRule="exact"/>
        <w:ind w:firstLine="640" w:firstLineChars="200"/>
        <w:outlineLvl w:val="1"/>
        <w:rPr>
          <w:rFonts w:ascii="楷体_GB2312" w:hAnsi="楷体" w:eastAsia="楷体_GB2312"/>
          <w:kern w:val="0"/>
          <w:szCs w:val="32"/>
        </w:rPr>
      </w:pPr>
      <w:r>
        <w:rPr>
          <w:rFonts w:hint="eastAsia" w:ascii="楷体_GB2312" w:hAnsi="楷体" w:eastAsia="楷体_GB2312"/>
          <w:kern w:val="0"/>
          <w:szCs w:val="32"/>
        </w:rPr>
        <w:t>（十七）健全激励措施</w:t>
      </w:r>
    </w:p>
    <w:p>
      <w:pPr>
        <w:pStyle w:val="21"/>
        <w:spacing w:line="560" w:lineRule="exact"/>
        <w:ind w:firstLine="640"/>
        <w:rPr>
          <w:rFonts w:ascii="仿宋_GB2312"/>
          <w:szCs w:val="32"/>
        </w:rPr>
      </w:pPr>
      <w:r>
        <w:rPr>
          <w:rFonts w:hint="eastAsia" w:ascii="仿宋_GB2312"/>
          <w:szCs w:val="32"/>
        </w:rPr>
        <w:t>1.实施范围内的装配式建筑项目，在计算建筑面积时，建筑外墙厚度参照同类型建筑的外墙厚度。建筑外墙采用夹心保温复合墙体的，其夹心保温墙体外叶板水平投影面积不计入建筑面积。</w:t>
      </w:r>
    </w:p>
    <w:p>
      <w:pPr>
        <w:pStyle w:val="21"/>
        <w:spacing w:line="560" w:lineRule="exact"/>
        <w:ind w:firstLine="640"/>
        <w:rPr>
          <w:rFonts w:ascii="仿宋_GB2312"/>
          <w:szCs w:val="32"/>
        </w:rPr>
      </w:pPr>
      <w:r>
        <w:rPr>
          <w:rFonts w:hint="eastAsia" w:ascii="仿宋_GB2312"/>
          <w:szCs w:val="32"/>
        </w:rPr>
        <w:t>2.根据我市现行政策，对符合条件的装配式建筑项目给予市级奖励资金。</w:t>
      </w:r>
    </w:p>
    <w:p>
      <w:pPr>
        <w:pStyle w:val="21"/>
        <w:spacing w:line="560" w:lineRule="exact"/>
        <w:ind w:firstLine="640"/>
        <w:rPr>
          <w:rFonts w:ascii="仿宋_GB2312"/>
          <w:szCs w:val="32"/>
        </w:rPr>
      </w:pPr>
      <w:r>
        <w:rPr>
          <w:rFonts w:hint="eastAsia" w:ascii="仿宋_GB2312"/>
          <w:szCs w:val="32"/>
        </w:rPr>
        <w:t>3.在本市建筑行业相关评优评奖中，增加装配式建筑方面的指标要求。装配式建筑项目在招拍挂阶段或办理房屋销售手续时，可享受优质优价政策。</w:t>
      </w:r>
    </w:p>
    <w:p>
      <w:pPr>
        <w:pStyle w:val="21"/>
        <w:spacing w:line="560" w:lineRule="exact"/>
        <w:ind w:firstLine="640"/>
        <w:rPr>
          <w:rFonts w:ascii="仿宋_GB2312"/>
          <w:szCs w:val="32"/>
        </w:rPr>
      </w:pPr>
      <w:r>
        <w:rPr>
          <w:rFonts w:hint="eastAsia" w:ascii="仿宋_GB2312"/>
          <w:szCs w:val="32"/>
        </w:rPr>
        <w:t>4.对于符合新型墙体材料目录的部品部件生产企业，可按规定享受增值税即征即退优惠政策；符合高新技术企业条件的装配式建筑部品部件生产企业，经认定后可依法享受相关税收优惠政策。</w:t>
      </w:r>
    </w:p>
    <w:p>
      <w:pPr>
        <w:pStyle w:val="21"/>
        <w:spacing w:line="560" w:lineRule="exact"/>
        <w:ind w:firstLine="640"/>
        <w:rPr>
          <w:rFonts w:ascii="仿宋_GB2312"/>
          <w:szCs w:val="32"/>
        </w:rPr>
      </w:pPr>
      <w:r>
        <w:rPr>
          <w:rFonts w:hint="eastAsia" w:ascii="仿宋_GB2312"/>
          <w:szCs w:val="32"/>
        </w:rPr>
        <w:t>5.鼓励金融机构加大对装配式建筑项目的信贷支持力度；支持装配式建筑企业通过发行债券等方式开展融资；完善绿色金融支持装配式建筑的政策环境，积极探索多元化绿色金融支持方式，对达到绿色建筑星级标准的装配式建筑项目给予绿色金融支持。</w:t>
      </w:r>
    </w:p>
    <w:p>
      <w:pPr>
        <w:spacing w:line="560" w:lineRule="exact"/>
        <w:ind w:firstLine="640" w:firstLineChars="200"/>
        <w:outlineLvl w:val="1"/>
        <w:rPr>
          <w:rFonts w:ascii="楷体_GB2312" w:hAnsi="楷体" w:eastAsia="楷体_GB2312"/>
          <w:kern w:val="0"/>
          <w:szCs w:val="32"/>
        </w:rPr>
      </w:pPr>
      <w:r>
        <w:rPr>
          <w:rFonts w:hint="eastAsia" w:ascii="楷体_GB2312" w:hAnsi="楷体" w:eastAsia="楷体_GB2312"/>
          <w:kern w:val="0"/>
          <w:szCs w:val="32"/>
        </w:rPr>
        <w:t>（十八）加强宣传引导</w:t>
      </w:r>
    </w:p>
    <w:p>
      <w:pPr>
        <w:pStyle w:val="21"/>
        <w:spacing w:line="560" w:lineRule="exact"/>
        <w:ind w:firstLine="640"/>
        <w:rPr>
          <w:rFonts w:ascii="仿宋_GB2312"/>
          <w:szCs w:val="32"/>
        </w:rPr>
      </w:pPr>
      <w:r>
        <w:rPr>
          <w:rFonts w:hint="eastAsia" w:ascii="仿宋_GB2312"/>
          <w:szCs w:val="32"/>
        </w:rPr>
        <w:t>以增强人民获得感为根本出发点，充分利用传统媒体和新媒体平台，通过组织现场、论坛、展会等形式，积极策划文字、视频宣传报道，广泛宣传装配式建筑相关知识和发展装配式建筑的经济社会效益，提高社会认知度，营造有利于装配式建筑发展的良好氛围，推进装配式建筑相关产业和市场发展。</w:t>
      </w:r>
    </w:p>
    <w:p>
      <w:pPr>
        <w:pStyle w:val="21"/>
        <w:spacing w:line="560" w:lineRule="exact"/>
        <w:ind w:firstLine="640"/>
        <w:rPr>
          <w:rFonts w:ascii="仿宋_GB2312"/>
          <w:szCs w:val="32"/>
        </w:rPr>
      </w:pPr>
    </w:p>
    <w:p>
      <w:pPr>
        <w:pStyle w:val="21"/>
        <w:spacing w:line="560" w:lineRule="exact"/>
        <w:ind w:firstLine="640"/>
        <w:rPr>
          <w:rFonts w:ascii="仿宋_GB2312"/>
          <w:szCs w:val="32"/>
        </w:rPr>
      </w:pPr>
      <w:r>
        <w:rPr>
          <w:rFonts w:hint="eastAsia" w:ascii="仿宋_GB2312"/>
          <w:szCs w:val="32"/>
        </w:rPr>
        <w:t>（本文件自2021年  月  日施行，《关于加快发展装配式建筑的实施意见》（京政办发〔2017〕8号废止）</w:t>
      </w:r>
    </w:p>
    <w:p>
      <w:pPr>
        <w:widowControl/>
        <w:ind w:firstLine="640" w:firstLineChars="200"/>
        <w:jc w:val="left"/>
        <w:rPr>
          <w:rFonts w:ascii="仿宋_GB2312"/>
          <w:szCs w:val="32"/>
        </w:rPr>
      </w:pPr>
    </w:p>
    <w:p>
      <w:pPr>
        <w:widowControl/>
        <w:ind w:firstLine="640" w:firstLineChars="200"/>
        <w:jc w:val="left"/>
        <w:rPr>
          <w:rFonts w:ascii="仿宋_GB2312"/>
          <w:szCs w:val="32"/>
        </w:rPr>
      </w:pPr>
      <w:r>
        <w:rPr>
          <w:rFonts w:hint="eastAsia" w:ascii="仿宋_GB2312"/>
          <w:szCs w:val="32"/>
        </w:rPr>
        <w:t>附件:《关于进一步发展装配式建筑的实施意见》任务分解表</w:t>
      </w:r>
    </w:p>
    <w:p>
      <w:pPr>
        <w:pStyle w:val="21"/>
        <w:spacing w:line="560" w:lineRule="exact"/>
        <w:ind w:firstLine="640"/>
        <w:rPr>
          <w:rFonts w:ascii="仿宋_GB2312"/>
          <w:szCs w:val="32"/>
        </w:rPr>
      </w:pPr>
    </w:p>
    <w:p>
      <w:pPr>
        <w:widowControl/>
        <w:jc w:val="left"/>
        <w:rPr>
          <w:rFonts w:ascii="仿宋_GB2312"/>
          <w:szCs w:val="32"/>
        </w:rPr>
      </w:pPr>
    </w:p>
    <w:p>
      <w:pPr>
        <w:pStyle w:val="21"/>
        <w:spacing w:line="560" w:lineRule="exact"/>
        <w:ind w:firstLine="0" w:firstLineChars="0"/>
        <w:rPr>
          <w:rFonts w:ascii="仿宋_GB2312"/>
          <w:szCs w:val="32"/>
        </w:rPr>
        <w:sectPr>
          <w:footerReference r:id="rId3" w:type="default"/>
          <w:footerReference r:id="rId4" w:type="even"/>
          <w:pgSz w:w="11906" w:h="16838"/>
          <w:pgMar w:top="1758" w:right="1474" w:bottom="1134" w:left="1588" w:header="851" w:footer="992" w:gutter="0"/>
          <w:pgNumType w:fmt="numberInDash"/>
          <w:cols w:space="720" w:num="1"/>
          <w:titlePg/>
          <w:docGrid w:type="lines" w:linePitch="435" w:charSpace="0"/>
        </w:sectPr>
      </w:pPr>
    </w:p>
    <w:p>
      <w:pPr>
        <w:spacing w:line="600" w:lineRule="exact"/>
        <w:rPr>
          <w:rFonts w:ascii="黑体" w:hAnsi="黑体" w:eastAsia="黑体" w:cs="黑体"/>
          <w:kern w:val="0"/>
          <w:szCs w:val="32"/>
        </w:rPr>
      </w:pPr>
      <w:r>
        <w:rPr>
          <w:rFonts w:hint="eastAsia" w:ascii="黑体" w:hAnsi="黑体" w:eastAsia="黑体" w:cs="黑体"/>
          <w:kern w:val="0"/>
          <w:szCs w:val="32"/>
        </w:rPr>
        <w:t>附件</w:t>
      </w:r>
    </w:p>
    <w:p>
      <w:pPr>
        <w:spacing w:line="360" w:lineRule="auto"/>
        <w:jc w:val="center"/>
        <w:outlineLvl w:val="0"/>
        <w:rPr>
          <w:rFonts w:ascii="方正小标宋简体" w:hAnsi="黑体" w:eastAsia="方正小标宋简体" w:cs="黑体"/>
          <w:kern w:val="0"/>
          <w:sz w:val="36"/>
          <w:szCs w:val="36"/>
        </w:rPr>
      </w:pPr>
      <w:r>
        <w:rPr>
          <w:rFonts w:hint="eastAsia" w:ascii="方正小标宋简体" w:hAnsi="黑体" w:eastAsia="方正小标宋简体" w:cs="黑体"/>
          <w:kern w:val="0"/>
          <w:sz w:val="36"/>
          <w:szCs w:val="36"/>
        </w:rPr>
        <w:t>《关于进一步发展装配式建筑的实施意见》任务分解表</w:t>
      </w:r>
    </w:p>
    <w:tbl>
      <w:tblPr>
        <w:tblStyle w:val="9"/>
        <w:tblW w:w="12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04"/>
        <w:gridCol w:w="6357"/>
        <w:gridCol w:w="2835"/>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09" w:type="dxa"/>
            <w:vAlign w:val="center"/>
          </w:tcPr>
          <w:p>
            <w:pPr>
              <w:adjustRightInd w:val="0"/>
              <w:snapToGrid w:val="0"/>
              <w:jc w:val="center"/>
              <w:rPr>
                <w:rFonts w:ascii="仿宋_GB2312" w:hAnsi="宋体"/>
                <w:b/>
                <w:bCs/>
                <w:sz w:val="24"/>
              </w:rPr>
            </w:pPr>
            <w:r>
              <w:rPr>
                <w:rFonts w:hint="eastAsia" w:ascii="仿宋_GB2312" w:hAnsi="宋体" w:cs="仿宋_GB2312"/>
                <w:b/>
                <w:bCs/>
                <w:sz w:val="24"/>
              </w:rPr>
              <w:t>主要任务</w:t>
            </w:r>
          </w:p>
        </w:tc>
        <w:tc>
          <w:tcPr>
            <w:tcW w:w="504" w:type="dxa"/>
            <w:vAlign w:val="center"/>
          </w:tcPr>
          <w:p>
            <w:pPr>
              <w:adjustRightInd w:val="0"/>
              <w:snapToGrid w:val="0"/>
              <w:jc w:val="center"/>
              <w:rPr>
                <w:rFonts w:ascii="仿宋_GB2312" w:hAnsi="宋体"/>
                <w:b/>
                <w:bCs/>
                <w:sz w:val="24"/>
              </w:rPr>
            </w:pPr>
            <w:r>
              <w:rPr>
                <w:rFonts w:hint="eastAsia" w:ascii="仿宋_GB2312" w:hAnsi="宋体" w:cs="仿宋_GB2312"/>
                <w:b/>
                <w:bCs/>
                <w:sz w:val="24"/>
              </w:rPr>
              <w:t>序号</w:t>
            </w:r>
          </w:p>
        </w:tc>
        <w:tc>
          <w:tcPr>
            <w:tcW w:w="6357" w:type="dxa"/>
            <w:vAlign w:val="center"/>
          </w:tcPr>
          <w:p>
            <w:pPr>
              <w:adjustRightInd w:val="0"/>
              <w:snapToGrid w:val="0"/>
              <w:jc w:val="center"/>
              <w:rPr>
                <w:rFonts w:ascii="仿宋_GB2312" w:hAnsi="宋体"/>
                <w:b/>
                <w:bCs/>
                <w:sz w:val="24"/>
              </w:rPr>
            </w:pPr>
            <w:r>
              <w:rPr>
                <w:rFonts w:hint="eastAsia" w:ascii="仿宋_GB2312" w:hAnsi="宋体" w:cs="仿宋_GB2312"/>
                <w:b/>
                <w:bCs/>
                <w:sz w:val="24"/>
              </w:rPr>
              <w:t>任务内容</w:t>
            </w:r>
          </w:p>
        </w:tc>
        <w:tc>
          <w:tcPr>
            <w:tcW w:w="2835" w:type="dxa"/>
            <w:vAlign w:val="center"/>
          </w:tcPr>
          <w:p>
            <w:pPr>
              <w:adjustRightInd w:val="0"/>
              <w:snapToGrid w:val="0"/>
              <w:jc w:val="center"/>
              <w:rPr>
                <w:rFonts w:ascii="仿宋_GB2312" w:hAnsi="宋体"/>
                <w:b/>
                <w:bCs/>
                <w:sz w:val="24"/>
              </w:rPr>
            </w:pPr>
            <w:r>
              <w:rPr>
                <w:rFonts w:hint="eastAsia" w:ascii="仿宋_GB2312" w:hAnsi="宋体" w:cs="仿宋_GB2312"/>
                <w:b/>
                <w:bCs/>
                <w:sz w:val="24"/>
              </w:rPr>
              <w:t>主责单位</w:t>
            </w:r>
          </w:p>
        </w:tc>
        <w:tc>
          <w:tcPr>
            <w:tcW w:w="2407" w:type="dxa"/>
            <w:vAlign w:val="center"/>
          </w:tcPr>
          <w:p>
            <w:pPr>
              <w:adjustRightInd w:val="0"/>
              <w:snapToGrid w:val="0"/>
              <w:jc w:val="center"/>
              <w:rPr>
                <w:rFonts w:ascii="仿宋_GB2312" w:hAnsi="宋体"/>
                <w:b/>
                <w:bCs/>
                <w:sz w:val="24"/>
              </w:rPr>
            </w:pPr>
            <w:r>
              <w:rPr>
                <w:rFonts w:hint="eastAsia" w:ascii="仿宋_GB2312" w:hAnsi="宋体" w:cs="仿宋_GB2312"/>
                <w:b/>
                <w:bCs/>
                <w:sz w:val="24"/>
              </w:rPr>
              <w:t>协助单位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09" w:type="dxa"/>
            <w:vMerge w:val="restart"/>
            <w:vAlign w:val="center"/>
          </w:tcPr>
          <w:p>
            <w:pPr>
              <w:adjustRightInd w:val="0"/>
              <w:snapToGrid w:val="0"/>
              <w:jc w:val="center"/>
              <w:rPr>
                <w:rFonts w:ascii="仿宋_GB2312" w:hAnsi="宋体" w:cs="仿宋_GB2312"/>
                <w:sz w:val="24"/>
              </w:rPr>
            </w:pPr>
            <w:r>
              <w:rPr>
                <w:rFonts w:hint="eastAsia" w:ascii="仿宋_GB2312" w:hAnsi="宋体" w:cs="仿宋_GB2312"/>
                <w:sz w:val="24"/>
              </w:rPr>
              <w:t>发挥集中型科技支撑</w:t>
            </w: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1</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发挥国际科技创新中心优势，支持装配式建筑的研发</w:t>
            </w:r>
          </w:p>
        </w:tc>
        <w:tc>
          <w:tcPr>
            <w:tcW w:w="2835" w:type="dxa"/>
            <w:vAlign w:val="center"/>
          </w:tcPr>
          <w:p>
            <w:pPr>
              <w:rPr>
                <w:rFonts w:ascii="仿宋_GB2312" w:hAnsi="宋体"/>
                <w:sz w:val="24"/>
              </w:rPr>
            </w:pPr>
            <w:r>
              <w:rPr>
                <w:rFonts w:hint="eastAsia" w:ascii="仿宋_GB2312" w:hAnsi="宋体" w:cs="仿宋_GB2312"/>
                <w:sz w:val="24"/>
              </w:rPr>
              <w:t>市科委</w:t>
            </w:r>
          </w:p>
        </w:tc>
        <w:tc>
          <w:tcPr>
            <w:tcW w:w="2407"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p>
            <w:pPr>
              <w:adjustRightInd w:val="0"/>
              <w:snapToGrid w:val="0"/>
              <w:jc w:val="left"/>
              <w:rPr>
                <w:rFonts w:ascii="仿宋_GB2312" w:hAnsi="宋体" w:cs="仿宋_GB2312"/>
                <w:sz w:val="24"/>
              </w:rPr>
            </w:pPr>
            <w:r>
              <w:rPr>
                <w:rFonts w:hint="eastAsia" w:ascii="仿宋_GB2312" w:hAnsi="宋体" w:cs="仿宋_GB2312"/>
                <w:sz w:val="24"/>
              </w:rPr>
              <w:t>市发展改革委</w:t>
            </w:r>
          </w:p>
          <w:p>
            <w:pPr>
              <w:adjustRightInd w:val="0"/>
              <w:snapToGrid w:val="0"/>
              <w:jc w:val="left"/>
              <w:rPr>
                <w:rFonts w:ascii="仿宋_GB2312" w:hAnsi="宋体" w:cs="仿宋_GB2312"/>
                <w:sz w:val="24"/>
              </w:rPr>
            </w:pPr>
            <w:r>
              <w:rPr>
                <w:rFonts w:hint="eastAsia" w:ascii="仿宋_GB2312" w:hAnsi="宋体" w:cs="仿宋_GB2312"/>
                <w:sz w:val="24"/>
              </w:rPr>
              <w:t>市规划自然资源委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09" w:type="dxa"/>
            <w:vMerge w:val="continue"/>
            <w:vAlign w:val="center"/>
          </w:tcPr>
          <w:p>
            <w:pPr>
              <w:adjustRightInd w:val="0"/>
              <w:snapToGrid w:val="0"/>
              <w:jc w:val="center"/>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2</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加强装配式建筑新型结构体系、标准化设计、质量检测和高效连接技术的研发与应用,攻关可持续、高品质装配式建筑设计建造集成技术体系，加大装配式建筑与绿色建筑和超低能耗建筑等技术集成示范,研究装配式建筑与光伏一体化技术应用，开展装配式建筑领域碳减排、碳中和路径研究</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p>
            <w:pPr>
              <w:adjustRightInd w:val="0"/>
              <w:snapToGrid w:val="0"/>
              <w:jc w:val="left"/>
              <w:rPr>
                <w:rFonts w:ascii="仿宋_GB2312" w:hAnsi="宋体" w:cs="仿宋_GB2312"/>
                <w:sz w:val="24"/>
              </w:rPr>
            </w:pPr>
            <w:r>
              <w:rPr>
                <w:rFonts w:hint="eastAsia" w:ascii="仿宋_GB2312" w:hAnsi="宋体" w:cs="仿宋_GB2312"/>
                <w:sz w:val="24"/>
              </w:rPr>
              <w:t>市规划自然资源委</w:t>
            </w:r>
          </w:p>
        </w:tc>
        <w:tc>
          <w:tcPr>
            <w:tcW w:w="2407"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09" w:type="dxa"/>
            <w:vMerge w:val="continue"/>
            <w:vAlign w:val="center"/>
          </w:tcPr>
          <w:p>
            <w:pPr>
              <w:adjustRightInd w:val="0"/>
              <w:snapToGrid w:val="0"/>
              <w:jc w:val="center"/>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3</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初步建立装配式建筑重大科技成果库</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p>
            <w:pPr>
              <w:adjustRightInd w:val="0"/>
              <w:snapToGrid w:val="0"/>
              <w:jc w:val="left"/>
              <w:rPr>
                <w:rFonts w:ascii="仿宋_GB2312" w:hAnsi="宋体" w:cs="仿宋_GB2312"/>
                <w:sz w:val="24"/>
              </w:rPr>
            </w:pPr>
            <w:r>
              <w:rPr>
                <w:rFonts w:hint="eastAsia" w:ascii="仿宋_GB2312" w:hAnsi="宋体" w:cs="仿宋_GB2312"/>
                <w:sz w:val="24"/>
              </w:rPr>
              <w:t>市规划自然资源委</w:t>
            </w:r>
          </w:p>
        </w:tc>
        <w:tc>
          <w:tcPr>
            <w:tcW w:w="2407" w:type="dxa"/>
            <w:vAlign w:val="center"/>
          </w:tcPr>
          <w:p>
            <w:pPr>
              <w:adjustRightInd w:val="0"/>
              <w:snapToGrid w:val="0"/>
              <w:jc w:val="center"/>
              <w:rPr>
                <w:rFonts w:ascii="仿宋_GB2312"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9" w:type="dxa"/>
            <w:vMerge w:val="continue"/>
            <w:vAlign w:val="center"/>
          </w:tcPr>
          <w:p>
            <w:pPr>
              <w:adjustRightInd w:val="0"/>
              <w:snapToGrid w:val="0"/>
              <w:jc w:val="center"/>
              <w:rPr>
                <w:rFonts w:ascii="仿宋_GB2312" w:hAnsi="宋体" w:cs="仿宋_GB2312"/>
                <w:sz w:val="24"/>
              </w:rPr>
            </w:pPr>
          </w:p>
        </w:tc>
        <w:tc>
          <w:tcPr>
            <w:tcW w:w="504" w:type="dxa"/>
            <w:vAlign w:val="center"/>
          </w:tcPr>
          <w:p>
            <w:pPr>
              <w:adjustRightInd w:val="0"/>
              <w:snapToGrid w:val="0"/>
              <w:jc w:val="center"/>
              <w:rPr>
                <w:rFonts w:ascii="仿宋_GB2312" w:hAnsi="宋体"/>
                <w:sz w:val="24"/>
              </w:rPr>
            </w:pPr>
            <w:r>
              <w:rPr>
                <w:rFonts w:hint="eastAsia" w:ascii="仿宋_GB2312" w:hAnsi="宋体"/>
                <w:sz w:val="24"/>
              </w:rPr>
              <w:t>4</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进一步完善装配式建筑技术标准体系、评价体系和计价依据，研究制定装配式建筑标准化图集，定期发布装配式建筑适用技术推广目录和指南</w:t>
            </w:r>
          </w:p>
        </w:tc>
        <w:tc>
          <w:tcPr>
            <w:tcW w:w="2835" w:type="dxa"/>
            <w:vAlign w:val="center"/>
          </w:tcPr>
          <w:p>
            <w:pPr>
              <w:adjustRightInd w:val="0"/>
              <w:snapToGrid w:val="0"/>
              <w:jc w:val="left"/>
              <w:rPr>
                <w:rFonts w:ascii="仿宋_GB2312" w:hAnsi="宋体"/>
                <w:kern w:val="0"/>
                <w:sz w:val="24"/>
              </w:rPr>
            </w:pPr>
            <w:r>
              <w:rPr>
                <w:rFonts w:hint="eastAsia" w:ascii="仿宋_GB2312" w:hAnsi="宋体" w:cs="仿宋_GB2312"/>
                <w:kern w:val="0"/>
                <w:sz w:val="24"/>
              </w:rPr>
              <w:t>市规划自然资源委</w:t>
            </w:r>
          </w:p>
          <w:p>
            <w:pPr>
              <w:adjustRightInd w:val="0"/>
              <w:snapToGrid w:val="0"/>
              <w:jc w:val="left"/>
              <w:rPr>
                <w:rFonts w:ascii="仿宋_GB2312" w:hAnsi="宋体" w:cs="仿宋_GB2312"/>
                <w:sz w:val="24"/>
              </w:rPr>
            </w:pPr>
            <w:r>
              <w:rPr>
                <w:rFonts w:hint="eastAsia" w:ascii="仿宋_GB2312" w:hAnsi="宋体" w:cs="仿宋_GB2312"/>
                <w:sz w:val="24"/>
              </w:rPr>
              <w:t>市住房城乡建设委</w:t>
            </w:r>
          </w:p>
          <w:p>
            <w:pPr>
              <w:adjustRightInd w:val="0"/>
              <w:snapToGrid w:val="0"/>
              <w:jc w:val="left"/>
              <w:rPr>
                <w:rFonts w:ascii="仿宋_GB2312" w:hAnsi="宋体"/>
                <w:kern w:val="0"/>
                <w:sz w:val="24"/>
              </w:rPr>
            </w:pPr>
            <w:r>
              <w:rPr>
                <w:rFonts w:hint="eastAsia" w:ascii="仿宋_GB2312" w:hAnsi="宋体" w:cs="仿宋_GB2312"/>
                <w:kern w:val="0"/>
                <w:sz w:val="24"/>
              </w:rPr>
              <w:t>市市场监督管理局</w:t>
            </w:r>
          </w:p>
        </w:tc>
        <w:tc>
          <w:tcPr>
            <w:tcW w:w="2407" w:type="dxa"/>
            <w:vAlign w:val="center"/>
          </w:tcPr>
          <w:p>
            <w:pPr>
              <w:adjustRightInd w:val="0"/>
              <w:snapToGrid w:val="0"/>
              <w:jc w:val="lef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9" w:type="dxa"/>
            <w:vMerge w:val="continue"/>
            <w:vAlign w:val="center"/>
          </w:tcPr>
          <w:p>
            <w:pPr>
              <w:adjustRightInd w:val="0"/>
              <w:snapToGrid w:val="0"/>
              <w:jc w:val="center"/>
              <w:rPr>
                <w:rFonts w:ascii="仿宋_GB2312" w:hAnsi="宋体"/>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5</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加快钢结构住宅研究示范和低层钢结构农宅试点与推广</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p>
            <w:pPr>
              <w:adjustRightInd w:val="0"/>
              <w:snapToGrid w:val="0"/>
              <w:jc w:val="left"/>
              <w:rPr>
                <w:rFonts w:ascii="仿宋_GB2312" w:hAnsi="宋体"/>
                <w:kern w:val="0"/>
                <w:sz w:val="24"/>
              </w:rPr>
            </w:pPr>
            <w:r>
              <w:rPr>
                <w:rFonts w:hint="eastAsia" w:ascii="仿宋_GB2312" w:hAnsi="宋体" w:cs="仿宋_GB2312"/>
                <w:sz w:val="24"/>
              </w:rPr>
              <w:t>市规划自然资源委</w:t>
            </w:r>
          </w:p>
        </w:tc>
        <w:tc>
          <w:tcPr>
            <w:tcW w:w="2407" w:type="dxa"/>
            <w:vAlign w:val="center"/>
          </w:tcPr>
          <w:p>
            <w:pPr>
              <w:adjustRightInd w:val="0"/>
              <w:snapToGrid w:val="0"/>
              <w:jc w:val="left"/>
              <w:rPr>
                <w:rFonts w:ascii="仿宋_GB2312" w:hAnsi="宋体"/>
                <w:kern w:val="0"/>
                <w:sz w:val="24"/>
              </w:rPr>
            </w:pPr>
            <w:r>
              <w:rPr>
                <w:rFonts w:hint="eastAsia" w:ascii="仿宋_GB2312" w:hAnsi="宋体" w:cs="仿宋_GB2312"/>
                <w:sz w:val="24"/>
              </w:rPr>
              <w:t>市科委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709" w:type="dxa"/>
            <w:vMerge w:val="restart"/>
            <w:vAlign w:val="center"/>
          </w:tcPr>
          <w:p>
            <w:pPr>
              <w:adjustRightInd w:val="0"/>
              <w:snapToGrid w:val="0"/>
              <w:jc w:val="center"/>
              <w:rPr>
                <w:rFonts w:ascii="仿宋_GB2312" w:hAnsi="宋体" w:cs="仿宋_GB2312"/>
                <w:sz w:val="24"/>
              </w:rPr>
            </w:pPr>
            <w:r>
              <w:rPr>
                <w:rFonts w:hint="eastAsia" w:ascii="仿宋_GB2312" w:hAnsi="宋体" w:cs="仿宋_GB2312"/>
                <w:sz w:val="24"/>
              </w:rPr>
              <w:t>强化系统化集成设计</w:t>
            </w: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6</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强化装配式建筑系统化集成设计,以建筑师负责制试点为抓手，发挥设计引领作用，推动全产业链协同</w:t>
            </w:r>
          </w:p>
        </w:tc>
        <w:tc>
          <w:tcPr>
            <w:tcW w:w="2835" w:type="dxa"/>
            <w:vAlign w:val="center"/>
          </w:tcPr>
          <w:p>
            <w:pPr>
              <w:adjustRightInd w:val="0"/>
              <w:snapToGrid w:val="0"/>
              <w:jc w:val="left"/>
              <w:rPr>
                <w:rFonts w:ascii="仿宋_GB2312" w:hAnsi="宋体" w:cs="仿宋_GB2312"/>
                <w:kern w:val="0"/>
                <w:sz w:val="24"/>
              </w:rPr>
            </w:pPr>
            <w:r>
              <w:rPr>
                <w:rFonts w:hint="eastAsia" w:ascii="仿宋_GB2312" w:hAnsi="宋体" w:cs="仿宋_GB2312"/>
                <w:kern w:val="0"/>
                <w:sz w:val="24"/>
              </w:rPr>
              <w:t>市规划自然资源委</w:t>
            </w:r>
          </w:p>
        </w:tc>
        <w:tc>
          <w:tcPr>
            <w:tcW w:w="2407" w:type="dxa"/>
            <w:vAlign w:val="center"/>
          </w:tcPr>
          <w:p>
            <w:pPr>
              <w:adjustRightInd w:val="0"/>
              <w:snapToGrid w:val="0"/>
              <w:jc w:val="left"/>
              <w:rPr>
                <w:rFonts w:ascii="仿宋_GB2312"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09" w:type="dxa"/>
            <w:vMerge w:val="continue"/>
            <w:vAlign w:val="center"/>
          </w:tcPr>
          <w:p>
            <w:pPr>
              <w:adjustRightInd w:val="0"/>
              <w:snapToGrid w:val="0"/>
              <w:jc w:val="center"/>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7</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实行建筑、结构、机电、内装、构件加工的一体化正向设计和标准化设计；完善设计选型标准，实施建筑平面、立面、构件和部品部件、接口标准化设计，推广少规格、多组合设计方法，确保设计深度符合生产和施工要求</w:t>
            </w:r>
          </w:p>
        </w:tc>
        <w:tc>
          <w:tcPr>
            <w:tcW w:w="2835" w:type="dxa"/>
            <w:vAlign w:val="center"/>
          </w:tcPr>
          <w:p>
            <w:pPr>
              <w:adjustRightInd w:val="0"/>
              <w:snapToGrid w:val="0"/>
              <w:jc w:val="left"/>
              <w:rPr>
                <w:rFonts w:ascii="仿宋_GB2312" w:hAnsi="宋体" w:cs="仿宋_GB2312"/>
                <w:kern w:val="0"/>
                <w:sz w:val="24"/>
              </w:rPr>
            </w:pPr>
            <w:r>
              <w:rPr>
                <w:rFonts w:hint="eastAsia" w:ascii="仿宋_GB2312" w:hAnsi="宋体" w:cs="仿宋_GB2312"/>
                <w:kern w:val="0"/>
                <w:sz w:val="24"/>
              </w:rPr>
              <w:t>市规划自然资源委</w:t>
            </w:r>
          </w:p>
        </w:tc>
        <w:tc>
          <w:tcPr>
            <w:tcW w:w="2407" w:type="dxa"/>
            <w:vAlign w:val="center"/>
          </w:tcPr>
          <w:p>
            <w:pPr>
              <w:adjustRightInd w:val="0"/>
              <w:snapToGrid w:val="0"/>
              <w:jc w:val="left"/>
              <w:rPr>
                <w:rFonts w:ascii="仿宋_GB2312"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09" w:type="dxa"/>
            <w:vMerge w:val="continue"/>
            <w:vAlign w:val="center"/>
          </w:tcPr>
          <w:p>
            <w:pPr>
              <w:adjustRightInd w:val="0"/>
              <w:snapToGrid w:val="0"/>
              <w:jc w:val="center"/>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8</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健全项目前期技术方案策划和设计方案技术论证制度，统筹规划设计、构件和部品部件深化设计要求、生产运输、施工安装和运营维护管理</w:t>
            </w:r>
          </w:p>
        </w:tc>
        <w:tc>
          <w:tcPr>
            <w:tcW w:w="2835" w:type="dxa"/>
            <w:vAlign w:val="center"/>
          </w:tcPr>
          <w:p>
            <w:pPr>
              <w:adjustRightInd w:val="0"/>
              <w:snapToGrid w:val="0"/>
              <w:jc w:val="left"/>
              <w:rPr>
                <w:rFonts w:ascii="仿宋_GB2312" w:hAnsi="宋体" w:cs="仿宋_GB2312"/>
                <w:kern w:val="0"/>
                <w:sz w:val="24"/>
              </w:rPr>
            </w:pPr>
            <w:r>
              <w:rPr>
                <w:rFonts w:hint="eastAsia" w:ascii="仿宋_GB2312" w:hAnsi="宋体" w:cs="仿宋_GB2312"/>
                <w:kern w:val="0"/>
                <w:sz w:val="24"/>
              </w:rPr>
              <w:t>市规划自然资源委</w:t>
            </w:r>
          </w:p>
        </w:tc>
        <w:tc>
          <w:tcPr>
            <w:tcW w:w="2407" w:type="dxa"/>
            <w:vAlign w:val="center"/>
          </w:tcPr>
          <w:p>
            <w:pPr>
              <w:adjustRightInd w:val="0"/>
              <w:snapToGrid w:val="0"/>
              <w:jc w:val="left"/>
              <w:rPr>
                <w:rFonts w:ascii="仿宋_GB2312" w:hAnsi="宋体" w:cs="仿宋_GB2312"/>
                <w:kern w:val="0"/>
                <w:sz w:val="24"/>
              </w:rPr>
            </w:pPr>
            <w:r>
              <w:rPr>
                <w:rFonts w:hint="eastAsia" w:ascii="仿宋_GB2312" w:hAnsi="宋体" w:cs="仿宋_GB2312"/>
                <w:kern w:val="0"/>
                <w:sz w:val="24"/>
              </w:rPr>
              <w:t>市交通委</w:t>
            </w:r>
          </w:p>
          <w:p>
            <w:pPr>
              <w:adjustRightInd w:val="0"/>
              <w:snapToGrid w:val="0"/>
              <w:jc w:val="left"/>
              <w:rPr>
                <w:rFonts w:ascii="仿宋_GB2312" w:hAnsi="宋体" w:cs="仿宋_GB2312"/>
                <w:kern w:val="0"/>
                <w:sz w:val="24"/>
              </w:rPr>
            </w:pPr>
            <w:r>
              <w:rPr>
                <w:rFonts w:hint="eastAsia" w:ascii="仿宋_GB2312" w:hAnsi="宋体" w:cs="仿宋_GB2312"/>
                <w:kern w:val="0"/>
                <w:sz w:val="24"/>
              </w:rPr>
              <w:t>市住建委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09" w:type="dxa"/>
            <w:vMerge w:val="restart"/>
            <w:vAlign w:val="center"/>
          </w:tcPr>
          <w:p>
            <w:pPr>
              <w:adjustRightInd w:val="0"/>
              <w:snapToGrid w:val="0"/>
              <w:rPr>
                <w:rFonts w:ascii="仿宋_GB2312" w:hAnsi="宋体" w:cs="仿宋_GB2312"/>
                <w:sz w:val="24"/>
              </w:rPr>
            </w:pPr>
            <w:r>
              <w:rPr>
                <w:rFonts w:hint="eastAsia" w:ascii="仿宋_GB2312" w:hAnsi="宋体" w:cs="仿宋_GB2312"/>
                <w:sz w:val="24"/>
              </w:rPr>
              <w:t>提升标准化生产水平</w:t>
            </w: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9</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提高预制构件标准化水平，推广使用主要构件、部品部件尺寸指南，健全预制构件基本尺寸和组合尺寸库，满足标准化设计选型要求，推动水平预制构件的标准化</w:t>
            </w:r>
          </w:p>
        </w:tc>
        <w:tc>
          <w:tcPr>
            <w:tcW w:w="2835" w:type="dxa"/>
            <w:vAlign w:val="top"/>
          </w:tcPr>
          <w:p>
            <w:pPr>
              <w:adjustRightInd w:val="0"/>
              <w:snapToGrid w:val="0"/>
              <w:jc w:val="both"/>
              <w:rPr>
                <w:rFonts w:hint="eastAsia" w:ascii="仿宋_GB2312" w:hAnsi="宋体" w:cs="仿宋_GB2312"/>
                <w:sz w:val="24"/>
              </w:rPr>
            </w:pPr>
          </w:p>
          <w:p>
            <w:pPr>
              <w:adjustRightInd w:val="0"/>
              <w:snapToGrid w:val="0"/>
              <w:jc w:val="both"/>
              <w:rPr>
                <w:rFonts w:ascii="仿宋_GB2312" w:hAnsi="宋体" w:cs="仿宋_GB2312"/>
                <w:sz w:val="24"/>
              </w:rPr>
            </w:pPr>
            <w:r>
              <w:rPr>
                <w:rFonts w:hint="eastAsia" w:ascii="仿宋_GB2312" w:hAnsi="宋体" w:cs="仿宋_GB2312"/>
                <w:sz w:val="24"/>
              </w:rPr>
              <w:t>市住房城乡建设委</w:t>
            </w:r>
          </w:p>
          <w:p>
            <w:pPr>
              <w:adjustRightInd w:val="0"/>
              <w:snapToGrid w:val="0"/>
              <w:jc w:val="both"/>
              <w:rPr>
                <w:rFonts w:ascii="仿宋_GB2312" w:hAnsi="宋体" w:cs="仿宋_GB2312"/>
                <w:sz w:val="24"/>
              </w:rPr>
            </w:pPr>
            <w:r>
              <w:rPr>
                <w:rFonts w:hint="eastAsia" w:ascii="仿宋_GB2312" w:hAnsi="宋体" w:cs="仿宋_GB2312"/>
                <w:kern w:val="0"/>
                <w:sz w:val="24"/>
              </w:rPr>
              <w:t>市规划自然资源委</w:t>
            </w:r>
          </w:p>
          <w:p>
            <w:pPr>
              <w:adjustRightInd w:val="0"/>
              <w:snapToGrid w:val="0"/>
              <w:jc w:val="both"/>
              <w:rPr>
                <w:rFonts w:ascii="仿宋_GB2312" w:hAnsi="宋体"/>
                <w:kern w:val="0"/>
                <w:sz w:val="24"/>
              </w:rPr>
            </w:pPr>
          </w:p>
        </w:tc>
        <w:tc>
          <w:tcPr>
            <w:tcW w:w="2407"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市科委</w:t>
            </w:r>
          </w:p>
          <w:p>
            <w:pPr>
              <w:adjustRightInd w:val="0"/>
              <w:snapToGrid w:val="0"/>
              <w:jc w:val="left"/>
              <w:rPr>
                <w:rFonts w:ascii="仿宋_GB2312" w:hAnsi="宋体"/>
                <w:kern w:val="0"/>
                <w:sz w:val="24"/>
              </w:rPr>
            </w:pPr>
            <w:r>
              <w:rPr>
                <w:rFonts w:hint="eastAsia" w:ascii="仿宋_GB2312" w:hAnsi="宋体" w:cs="仿宋_GB2312"/>
                <w:kern w:val="0"/>
                <w:sz w:val="24"/>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09" w:type="dxa"/>
            <w:vMerge w:val="continue"/>
            <w:vAlign w:val="center"/>
          </w:tcPr>
          <w:p>
            <w:pPr>
              <w:adjustRightInd w:val="0"/>
              <w:snapToGrid w:val="0"/>
              <w:jc w:val="center"/>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10</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引导构件和部品部件产能合理布局</w:t>
            </w:r>
          </w:p>
        </w:tc>
        <w:tc>
          <w:tcPr>
            <w:tcW w:w="2835" w:type="dxa"/>
            <w:vAlign w:val="center"/>
          </w:tcPr>
          <w:p>
            <w:pPr>
              <w:adjustRightInd w:val="0"/>
              <w:snapToGrid w:val="0"/>
              <w:jc w:val="left"/>
              <w:rPr>
                <w:rFonts w:ascii="仿宋_GB2312" w:hAnsi="宋体" w:cs="仿宋_GB2312"/>
                <w:kern w:val="0"/>
                <w:sz w:val="24"/>
              </w:rPr>
            </w:pPr>
            <w:r>
              <w:rPr>
                <w:rFonts w:hint="eastAsia" w:ascii="仿宋_GB2312" w:hAnsi="宋体" w:cs="仿宋_GB2312"/>
                <w:kern w:val="0"/>
                <w:sz w:val="24"/>
              </w:rPr>
              <w:t>市经济信息化局</w:t>
            </w:r>
          </w:p>
          <w:p>
            <w:pPr>
              <w:adjustRightInd w:val="0"/>
              <w:snapToGrid w:val="0"/>
              <w:jc w:val="left"/>
              <w:rPr>
                <w:rFonts w:ascii="仿宋_GB2312" w:hAnsi="宋体"/>
                <w:kern w:val="0"/>
                <w:sz w:val="24"/>
              </w:rPr>
            </w:pPr>
            <w:r>
              <w:rPr>
                <w:rFonts w:hint="eastAsia" w:ascii="仿宋_GB2312" w:hAnsi="宋体" w:cs="仿宋_GB2312"/>
                <w:kern w:val="0"/>
                <w:sz w:val="24"/>
              </w:rPr>
              <w:t>市生态环境局</w:t>
            </w:r>
          </w:p>
        </w:tc>
        <w:tc>
          <w:tcPr>
            <w:tcW w:w="2407"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p>
            <w:pPr>
              <w:adjustRightInd w:val="0"/>
              <w:snapToGrid w:val="0"/>
              <w:jc w:val="left"/>
              <w:rPr>
                <w:rFonts w:ascii="仿宋_GB2312" w:hAnsi="宋体" w:cs="仿宋_GB2312"/>
                <w:kern w:val="0"/>
                <w:sz w:val="24"/>
              </w:rPr>
            </w:pPr>
            <w:r>
              <w:rPr>
                <w:rFonts w:hint="eastAsia" w:ascii="仿宋_GB2312" w:hAnsi="宋体" w:cs="仿宋_GB2312"/>
                <w:kern w:val="0"/>
                <w:sz w:val="24"/>
              </w:rPr>
              <w:t>市发展改革委</w:t>
            </w:r>
          </w:p>
          <w:p>
            <w:pPr>
              <w:adjustRightInd w:val="0"/>
              <w:snapToGrid w:val="0"/>
              <w:jc w:val="left"/>
              <w:rPr>
                <w:rFonts w:ascii="仿宋_GB2312" w:hAnsi="宋体"/>
                <w:kern w:val="0"/>
                <w:sz w:val="24"/>
              </w:rPr>
            </w:pPr>
            <w:r>
              <w:rPr>
                <w:rFonts w:hint="eastAsia" w:ascii="仿宋_GB2312" w:hAnsi="宋体" w:cs="仿宋_GB2312"/>
                <w:kern w:val="0"/>
                <w:sz w:val="24"/>
              </w:rPr>
              <w:t>市国资委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09" w:type="dxa"/>
            <w:vMerge w:val="continue"/>
            <w:vAlign w:val="center"/>
          </w:tcPr>
          <w:p>
            <w:pPr>
              <w:adjustRightInd w:val="0"/>
              <w:snapToGrid w:val="0"/>
              <w:jc w:val="center"/>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11</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定期发布产能供需情况</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tc>
        <w:tc>
          <w:tcPr>
            <w:tcW w:w="2407" w:type="dxa"/>
            <w:vAlign w:val="center"/>
          </w:tcPr>
          <w:p>
            <w:pPr>
              <w:adjustRightInd w:val="0"/>
              <w:snapToGrid w:val="0"/>
              <w:jc w:val="left"/>
              <w:rPr>
                <w:rFonts w:ascii="仿宋_GB2312"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09" w:type="dxa"/>
            <w:vMerge w:val="continue"/>
            <w:vAlign w:val="center"/>
          </w:tcPr>
          <w:p>
            <w:pPr>
              <w:adjustRightInd w:val="0"/>
              <w:snapToGrid w:val="0"/>
              <w:jc w:val="center"/>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12</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推进绿色建材、构件和部品部件认证，加快建立绿色供应链</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p>
            <w:pPr>
              <w:adjustRightInd w:val="0"/>
              <w:snapToGrid w:val="0"/>
              <w:jc w:val="left"/>
              <w:rPr>
                <w:rFonts w:ascii="仿宋_GB2312" w:hAnsi="宋体" w:cs="仿宋_GB2312"/>
                <w:kern w:val="0"/>
                <w:sz w:val="24"/>
              </w:rPr>
            </w:pPr>
            <w:r>
              <w:rPr>
                <w:rFonts w:hint="eastAsia" w:ascii="仿宋_GB2312" w:hAnsi="宋体" w:cs="仿宋_GB2312"/>
                <w:kern w:val="0"/>
                <w:sz w:val="24"/>
              </w:rPr>
              <w:t>市交通委</w:t>
            </w:r>
          </w:p>
          <w:p>
            <w:pPr>
              <w:adjustRightInd w:val="0"/>
              <w:snapToGrid w:val="0"/>
              <w:jc w:val="left"/>
              <w:rPr>
                <w:rFonts w:ascii="仿宋_GB2312" w:hAnsi="宋体" w:cs="仿宋_GB2312"/>
                <w:kern w:val="0"/>
                <w:sz w:val="24"/>
              </w:rPr>
            </w:pPr>
            <w:r>
              <w:rPr>
                <w:rFonts w:hint="eastAsia" w:ascii="仿宋_GB2312" w:hAnsi="宋体" w:cs="仿宋_GB2312"/>
                <w:kern w:val="0"/>
                <w:sz w:val="24"/>
              </w:rPr>
              <w:t>市市场监督管理局</w:t>
            </w:r>
          </w:p>
          <w:p>
            <w:pPr>
              <w:adjustRightInd w:val="0"/>
              <w:snapToGrid w:val="0"/>
              <w:jc w:val="left"/>
              <w:rPr>
                <w:rFonts w:ascii="仿宋_GB2312" w:hAnsi="宋体" w:cs="仿宋_GB2312"/>
                <w:sz w:val="24"/>
              </w:rPr>
            </w:pPr>
            <w:r>
              <w:rPr>
                <w:rFonts w:hint="eastAsia" w:ascii="仿宋_GB2312" w:hAnsi="宋体" w:cs="仿宋_GB2312"/>
                <w:kern w:val="0"/>
                <w:sz w:val="24"/>
              </w:rPr>
              <w:t>市经济信息化局</w:t>
            </w:r>
          </w:p>
        </w:tc>
        <w:tc>
          <w:tcPr>
            <w:tcW w:w="2407" w:type="dxa"/>
            <w:vAlign w:val="center"/>
          </w:tcPr>
          <w:p>
            <w:pPr>
              <w:adjustRightInd w:val="0"/>
              <w:snapToGrid w:val="0"/>
              <w:jc w:val="left"/>
              <w:rPr>
                <w:rFonts w:ascii="仿宋_GB2312" w:hAnsi="宋体" w:cs="仿宋_GB2312"/>
                <w:kern w:val="0"/>
                <w:sz w:val="24"/>
              </w:rPr>
            </w:pPr>
          </w:p>
          <w:p>
            <w:pPr>
              <w:adjustRightInd w:val="0"/>
              <w:snapToGrid w:val="0"/>
              <w:jc w:val="left"/>
              <w:rPr>
                <w:rFonts w:ascii="仿宋_GB2312" w:hAnsi="宋体" w:cs="仿宋_GB2312"/>
                <w:kern w:val="0"/>
                <w:sz w:val="24"/>
              </w:rPr>
            </w:pPr>
            <w:r>
              <w:rPr>
                <w:rFonts w:hint="eastAsia" w:ascii="仿宋_GB2312" w:hAnsi="宋体" w:cs="仿宋_GB2312"/>
                <w:kern w:val="0"/>
                <w:sz w:val="24"/>
              </w:rPr>
              <w:t>市生态环境局</w:t>
            </w:r>
          </w:p>
          <w:p>
            <w:pPr>
              <w:adjustRightInd w:val="0"/>
              <w:snapToGrid w:val="0"/>
              <w:jc w:val="left"/>
              <w:rPr>
                <w:rFonts w:ascii="仿宋_GB2312" w:hAnsi="宋体" w:cs="仿宋_GB2312"/>
                <w:kern w:val="0"/>
                <w:sz w:val="24"/>
              </w:rPr>
            </w:pPr>
            <w:r>
              <w:rPr>
                <w:rFonts w:hint="eastAsia" w:ascii="仿宋_GB2312" w:hAnsi="宋体" w:cs="仿宋_GB2312"/>
                <w:kern w:val="0"/>
                <w:sz w:val="24"/>
              </w:rPr>
              <w:t>市公安局交管局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709" w:type="dxa"/>
            <w:vMerge w:val="restart"/>
            <w:vAlign w:val="center"/>
          </w:tcPr>
          <w:p>
            <w:pPr>
              <w:adjustRightInd w:val="0"/>
              <w:snapToGrid w:val="0"/>
              <w:jc w:val="center"/>
              <w:rPr>
                <w:rFonts w:ascii="仿宋_GB2312" w:hAnsi="宋体" w:cs="仿宋_GB2312"/>
                <w:sz w:val="24"/>
              </w:rPr>
            </w:pPr>
            <w:r>
              <w:rPr>
                <w:rFonts w:hint="eastAsia" w:ascii="仿宋_GB2312" w:hAnsi="宋体" w:cs="仿宋_GB2312"/>
                <w:sz w:val="24"/>
              </w:rPr>
              <w:t>推广精益化施工建造</w:t>
            </w: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13</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完善与装配式建筑相适应的精益化施工组织方式，实行装配式建筑装饰装修与主体结构、机电设备协同施工，发挥结构与装修穿插施工优势，提高施工现场精细化管理水平</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tc>
        <w:tc>
          <w:tcPr>
            <w:tcW w:w="2407" w:type="dxa"/>
            <w:vAlign w:val="center"/>
          </w:tcPr>
          <w:p>
            <w:pPr>
              <w:adjustRightInd w:val="0"/>
              <w:snapToGrid w:val="0"/>
              <w:jc w:val="left"/>
              <w:rPr>
                <w:rFonts w:ascii="仿宋_GB2312"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9" w:type="dxa"/>
            <w:vMerge w:val="continue"/>
            <w:vAlign w:val="center"/>
          </w:tcPr>
          <w:p>
            <w:pPr>
              <w:adjustRightInd w:val="0"/>
              <w:snapToGrid w:val="0"/>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14</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优化装配式建筑施工工艺工法，引导施工企业研发与精益化施工相适应的部品部件吊装、运输与堆放、连接等施工工艺工法，推广应用钢筋定位钢板等配套装备和机具，在材料搬运、钢筋加工、高空焊接等环节提升现场施工工业化水平</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tc>
        <w:tc>
          <w:tcPr>
            <w:tcW w:w="2407" w:type="dxa"/>
            <w:vAlign w:val="center"/>
          </w:tcPr>
          <w:p>
            <w:pPr>
              <w:adjustRightInd w:val="0"/>
              <w:snapToGrid w:val="0"/>
              <w:jc w:val="left"/>
              <w:rPr>
                <w:rFonts w:ascii="仿宋_GB2312" w:hAnsi="宋体" w:cs="仿宋_GB2312"/>
                <w:kern w:val="0"/>
                <w:sz w:val="24"/>
              </w:rPr>
            </w:pPr>
            <w:r>
              <w:rPr>
                <w:rFonts w:hint="eastAsia" w:ascii="仿宋_GB2312" w:hAnsi="宋体" w:cs="仿宋_GB2312"/>
                <w:kern w:val="0"/>
                <w:sz w:val="24"/>
              </w:rPr>
              <w:t>市经济信息化局</w:t>
            </w:r>
          </w:p>
          <w:p>
            <w:pPr>
              <w:adjustRightInd w:val="0"/>
              <w:snapToGrid w:val="0"/>
              <w:jc w:val="left"/>
              <w:rPr>
                <w:rFonts w:ascii="仿宋_GB2312" w:hAnsi="宋体"/>
                <w:kern w:val="0"/>
                <w:sz w:val="24"/>
              </w:rPr>
            </w:pPr>
            <w:r>
              <w:rPr>
                <w:rFonts w:hint="eastAsia" w:ascii="仿宋_GB2312" w:hAnsi="宋体" w:cs="仿宋_GB2312"/>
                <w:sz w:val="24"/>
              </w:rPr>
              <w:t>市科委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9" w:type="dxa"/>
            <w:vMerge w:val="continue"/>
            <w:vAlign w:val="center"/>
          </w:tcPr>
          <w:p>
            <w:pPr>
              <w:adjustRightInd w:val="0"/>
              <w:snapToGrid w:val="0"/>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15</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加强构件和部品部件进场、施工安装、节点连接灌浆、密封防水等关键部位和工序质量安全管控，强化对施工管理人员和一线作业人员的质量安全技术交底，通过全过程组织管理和技术优化集成，全面提升施工质量和效益</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tc>
        <w:tc>
          <w:tcPr>
            <w:tcW w:w="2407" w:type="dxa"/>
            <w:vAlign w:val="center"/>
          </w:tcPr>
          <w:p>
            <w:pPr>
              <w:adjustRightInd w:val="0"/>
              <w:snapToGrid w:val="0"/>
              <w:jc w:val="left"/>
              <w:rPr>
                <w:rFonts w:ascii="仿宋_GB2312"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9" w:type="dxa"/>
            <w:vAlign w:val="center"/>
          </w:tcPr>
          <w:p>
            <w:pPr>
              <w:adjustRightInd w:val="0"/>
              <w:snapToGrid w:val="0"/>
              <w:rPr>
                <w:rFonts w:ascii="仿宋_GB2312" w:hAnsi="宋体" w:cs="仿宋_GB2312"/>
                <w:sz w:val="24"/>
              </w:rPr>
            </w:pPr>
            <w:r>
              <w:rPr>
                <w:rFonts w:hint="eastAsia" w:ascii="仿宋_GB2312" w:hAnsi="宋体" w:cs="仿宋_GB2312"/>
                <w:sz w:val="24"/>
              </w:rPr>
              <w:t>实施全装修成品交房</w:t>
            </w: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16</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新建建筑应实施全装修成品交房，逐步提高装配式装修在保障性住房、商品住宅和公共建筑中的应用比例，鼓励既有建筑装修和改造采用装配式装修。研究制定菜单式全装修实施方案，明确装修标准和价格区间，纳入住房销售合同，推广标准化、集成化、模块化的装修模式，加快智能产品和智慧家居的应用，实现优质优价和品质提升，满足消费者个性化需求。完善整体卫浴、集成厨房、同层排水、整体门窗、轻质墙板系统等集成化部品部件的产品配套能力，逐步形成标准化、系列化、成套化的部品部件供应体系</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p>
            <w:pPr>
              <w:adjustRightInd w:val="0"/>
              <w:snapToGrid w:val="0"/>
              <w:jc w:val="left"/>
              <w:rPr>
                <w:rFonts w:ascii="仿宋_GB2312" w:hAnsi="宋体" w:cs="仿宋_GB2312"/>
                <w:sz w:val="24"/>
              </w:rPr>
            </w:pPr>
            <w:r>
              <w:rPr>
                <w:rFonts w:hint="eastAsia" w:ascii="仿宋_GB2312" w:hAnsi="宋体" w:cs="仿宋_GB2312"/>
                <w:kern w:val="0"/>
                <w:sz w:val="24"/>
              </w:rPr>
              <w:t>市规划自然资源委</w:t>
            </w:r>
          </w:p>
        </w:tc>
        <w:tc>
          <w:tcPr>
            <w:tcW w:w="2407" w:type="dxa"/>
            <w:vAlign w:val="center"/>
          </w:tcPr>
          <w:p>
            <w:pPr>
              <w:adjustRightInd w:val="0"/>
              <w:snapToGrid w:val="0"/>
              <w:jc w:val="left"/>
              <w:rPr>
                <w:rFonts w:ascii="仿宋_GB2312" w:hAnsi="宋体"/>
                <w:kern w:val="0"/>
                <w:sz w:val="24"/>
              </w:rPr>
            </w:pPr>
            <w:r>
              <w:rPr>
                <w:rFonts w:hint="eastAsia" w:ascii="仿宋_GB2312" w:hAnsi="宋体" w:cs="仿宋_GB2312"/>
                <w:kern w:val="0"/>
                <w:sz w:val="24"/>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9" w:type="dxa"/>
            <w:vMerge w:val="restart"/>
            <w:vAlign w:val="center"/>
          </w:tcPr>
          <w:p>
            <w:pPr>
              <w:adjustRightInd w:val="0"/>
              <w:snapToGrid w:val="0"/>
              <w:rPr>
                <w:rFonts w:ascii="仿宋_GB2312" w:hAnsi="宋体" w:cs="仿宋_GB2312"/>
                <w:sz w:val="24"/>
              </w:rPr>
            </w:pPr>
            <w:r>
              <w:rPr>
                <w:rFonts w:hint="eastAsia" w:ascii="仿宋_GB2312" w:hAnsi="宋体" w:cs="仿宋_GB2312"/>
                <w:sz w:val="24"/>
              </w:rPr>
              <w:t>提升信息化应用水平</w:t>
            </w: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17</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大力推进建筑信息模型（BIM）技术在设计、生产、施工与运维全寿命期的应用，政府投资和公共租赁住房的装配式建筑项目应在全寿命期应用BIM技术，其他类型的装配式建筑项目鼓励全寿命期应用BIM技术</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p>
            <w:pPr>
              <w:adjustRightInd w:val="0"/>
              <w:snapToGrid w:val="0"/>
              <w:jc w:val="left"/>
              <w:rPr>
                <w:rFonts w:ascii="仿宋_GB2312" w:hAnsi="宋体" w:cs="仿宋_GB2312"/>
                <w:b/>
                <w:sz w:val="24"/>
              </w:rPr>
            </w:pPr>
            <w:r>
              <w:rPr>
                <w:rFonts w:hint="eastAsia" w:ascii="仿宋_GB2312" w:hAnsi="宋体" w:cs="仿宋_GB2312"/>
                <w:kern w:val="0"/>
                <w:sz w:val="24"/>
              </w:rPr>
              <w:t>市规划自然资源委</w:t>
            </w:r>
          </w:p>
        </w:tc>
        <w:tc>
          <w:tcPr>
            <w:tcW w:w="2407" w:type="dxa"/>
            <w:vAlign w:val="center"/>
          </w:tcPr>
          <w:p>
            <w:pPr>
              <w:adjustRightInd w:val="0"/>
              <w:snapToGrid w:val="0"/>
              <w:jc w:val="left"/>
              <w:rPr>
                <w:rFonts w:ascii="仿宋_GB2312"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jc w:val="center"/>
        </w:trPr>
        <w:tc>
          <w:tcPr>
            <w:tcW w:w="709" w:type="dxa"/>
            <w:vMerge w:val="continue"/>
            <w:vAlign w:val="center"/>
          </w:tcPr>
          <w:p>
            <w:pPr>
              <w:adjustRightInd w:val="0"/>
              <w:snapToGrid w:val="0"/>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18</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探索建立建筑产业互联网平台，开展生产装备、施工设备的智能化升级行动，鼓励应用建筑机器人、工业机器人、智能移动终端等智能设备，推广智能办公、楼宇自动化系统。推动大数据技术、5G、射频识别（RFID）及二维码识别等技术在装配式建筑建设和管理中的集成应用</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p>
            <w:pPr>
              <w:adjustRightInd w:val="0"/>
              <w:snapToGrid w:val="0"/>
              <w:jc w:val="left"/>
              <w:rPr>
                <w:rFonts w:ascii="仿宋_GB2312" w:hAnsi="宋体" w:cs="仿宋_GB2312"/>
                <w:sz w:val="24"/>
              </w:rPr>
            </w:pPr>
            <w:r>
              <w:rPr>
                <w:rFonts w:hint="eastAsia" w:ascii="仿宋_GB2312" w:hAnsi="宋体" w:cs="仿宋_GB2312"/>
                <w:sz w:val="24"/>
              </w:rPr>
              <w:t>市经济信息化局</w:t>
            </w:r>
          </w:p>
        </w:tc>
        <w:tc>
          <w:tcPr>
            <w:tcW w:w="2407" w:type="dxa"/>
            <w:vAlign w:val="center"/>
          </w:tcPr>
          <w:p>
            <w:pPr>
              <w:adjustRightInd w:val="0"/>
              <w:snapToGrid w:val="0"/>
              <w:jc w:val="left"/>
              <w:rPr>
                <w:rFonts w:ascii="仿宋_GB2312"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9" w:type="dxa"/>
            <w:vMerge w:val="restart"/>
            <w:vAlign w:val="center"/>
          </w:tcPr>
          <w:p>
            <w:pPr>
              <w:adjustRightInd w:val="0"/>
              <w:snapToGrid w:val="0"/>
              <w:rPr>
                <w:rFonts w:ascii="仿宋_GB2312" w:hAnsi="宋体" w:cs="仿宋_GB2312"/>
                <w:sz w:val="24"/>
              </w:rPr>
            </w:pPr>
            <w:r>
              <w:rPr>
                <w:rFonts w:hint="eastAsia" w:ascii="仿宋_GB2312" w:hAnsi="宋体" w:cs="仿宋_GB2312"/>
                <w:sz w:val="24"/>
              </w:rPr>
              <w:t>创新工程总承包模式</w:t>
            </w: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19</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推行建筑师负责制，施行以设计为主导的全过程工程咨询，充分发挥建筑师在装配式建筑项目中的积极性。推进工程总承包方式在装配式项目中的应用，政府投资项目原则上采用工程总承包方式。研究制定工程总承包各参建方、各专业间的成果交付、竣工验收、资料归档等相关标准和制度</w:t>
            </w:r>
          </w:p>
        </w:tc>
        <w:tc>
          <w:tcPr>
            <w:tcW w:w="2835" w:type="dxa"/>
            <w:vAlign w:val="center"/>
          </w:tcPr>
          <w:p>
            <w:pPr>
              <w:adjustRightInd w:val="0"/>
              <w:snapToGrid w:val="0"/>
              <w:jc w:val="left"/>
              <w:rPr>
                <w:rFonts w:ascii="仿宋_GB2312" w:hAnsi="宋体" w:cs="仿宋_GB2312"/>
                <w:kern w:val="0"/>
                <w:sz w:val="24"/>
              </w:rPr>
            </w:pPr>
            <w:r>
              <w:rPr>
                <w:rFonts w:hint="eastAsia" w:ascii="仿宋_GB2312" w:hAnsi="宋体" w:cs="仿宋_GB2312"/>
                <w:kern w:val="0"/>
                <w:sz w:val="24"/>
              </w:rPr>
              <w:t>市住房城乡建设委</w:t>
            </w:r>
          </w:p>
          <w:p>
            <w:pPr>
              <w:adjustRightInd w:val="0"/>
              <w:snapToGrid w:val="0"/>
              <w:jc w:val="left"/>
              <w:rPr>
                <w:rFonts w:ascii="仿宋_GB2312" w:hAnsi="宋体" w:cs="仿宋_GB2312"/>
                <w:sz w:val="24"/>
              </w:rPr>
            </w:pPr>
            <w:r>
              <w:rPr>
                <w:rFonts w:hint="eastAsia" w:ascii="仿宋_GB2312" w:hAnsi="宋体" w:cs="仿宋_GB2312"/>
                <w:kern w:val="0"/>
                <w:sz w:val="24"/>
              </w:rPr>
              <w:t>市规划自然资源委</w:t>
            </w:r>
          </w:p>
        </w:tc>
        <w:tc>
          <w:tcPr>
            <w:tcW w:w="2407" w:type="dxa"/>
            <w:vAlign w:val="center"/>
          </w:tcPr>
          <w:p>
            <w:pPr>
              <w:adjustRightInd w:val="0"/>
              <w:snapToGrid w:val="0"/>
              <w:jc w:val="left"/>
              <w:rPr>
                <w:rFonts w:ascii="仿宋_GB2312"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9" w:type="dxa"/>
            <w:vMerge w:val="continue"/>
            <w:vAlign w:val="center"/>
          </w:tcPr>
          <w:p>
            <w:pPr>
              <w:adjustRightInd w:val="0"/>
              <w:snapToGrid w:val="0"/>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20</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进一步简化招投标流程，加快实现公共资源交易各平台间的信息交互</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市发展改革委</w:t>
            </w:r>
          </w:p>
        </w:tc>
        <w:tc>
          <w:tcPr>
            <w:tcW w:w="2407" w:type="dxa"/>
            <w:vAlign w:val="center"/>
          </w:tcPr>
          <w:p>
            <w:pPr>
              <w:adjustRightInd w:val="0"/>
              <w:snapToGrid w:val="0"/>
              <w:jc w:val="left"/>
              <w:rPr>
                <w:rFonts w:ascii="仿宋_GB2312" w:hAnsi="宋体" w:cs="仿宋_GB2312"/>
                <w:kern w:val="0"/>
                <w:sz w:val="24"/>
              </w:rPr>
            </w:pPr>
            <w:r>
              <w:rPr>
                <w:rFonts w:hint="eastAsia" w:ascii="仿宋_GB2312" w:hAnsi="宋体" w:cs="仿宋_GB2312"/>
                <w:kern w:val="0"/>
                <w:sz w:val="24"/>
              </w:rPr>
              <w:t>市规划自然资源委</w:t>
            </w:r>
          </w:p>
          <w:p>
            <w:pPr>
              <w:adjustRightInd w:val="0"/>
              <w:snapToGrid w:val="0"/>
              <w:jc w:val="left"/>
              <w:rPr>
                <w:rFonts w:ascii="仿宋_GB2312" w:hAnsi="宋体"/>
                <w:kern w:val="0"/>
                <w:sz w:val="24"/>
              </w:rPr>
            </w:pPr>
            <w:r>
              <w:rPr>
                <w:rFonts w:hint="eastAsia" w:ascii="仿宋_GB2312" w:hAnsi="宋体" w:cs="仿宋_GB2312"/>
                <w:kern w:val="0"/>
                <w:sz w:val="24"/>
              </w:rPr>
              <w:t>市住房城乡建设委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9" w:type="dxa"/>
            <w:vMerge w:val="continue"/>
            <w:vAlign w:val="center"/>
          </w:tcPr>
          <w:p>
            <w:pPr>
              <w:adjustRightInd w:val="0"/>
              <w:snapToGrid w:val="0"/>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21</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引导骨干企业提高项目管理、技术创新和资源配置能力，培育具有综合管理能力的工程总承包企业，落实相关主体责任</w:t>
            </w:r>
          </w:p>
        </w:tc>
        <w:tc>
          <w:tcPr>
            <w:tcW w:w="2835" w:type="dxa"/>
            <w:vAlign w:val="center"/>
          </w:tcPr>
          <w:p>
            <w:pPr>
              <w:adjustRightInd w:val="0"/>
              <w:snapToGrid w:val="0"/>
              <w:jc w:val="left"/>
              <w:rPr>
                <w:rFonts w:ascii="仿宋_GB2312" w:hAnsi="宋体" w:cs="仿宋_GB2312"/>
                <w:kern w:val="0"/>
                <w:sz w:val="24"/>
              </w:rPr>
            </w:pPr>
            <w:r>
              <w:rPr>
                <w:rFonts w:hint="eastAsia" w:ascii="仿宋_GB2312" w:hAnsi="宋体" w:cs="仿宋_GB2312"/>
                <w:kern w:val="0"/>
                <w:sz w:val="24"/>
              </w:rPr>
              <w:t>市住房城乡建设委</w:t>
            </w:r>
          </w:p>
          <w:p>
            <w:pPr>
              <w:adjustRightInd w:val="0"/>
              <w:snapToGrid w:val="0"/>
              <w:jc w:val="left"/>
              <w:rPr>
                <w:rFonts w:ascii="仿宋_GB2312" w:hAnsi="宋体" w:cs="仿宋_GB2312"/>
                <w:sz w:val="24"/>
              </w:rPr>
            </w:pPr>
            <w:r>
              <w:rPr>
                <w:rFonts w:hint="eastAsia" w:ascii="仿宋_GB2312" w:hAnsi="宋体" w:cs="仿宋_GB2312"/>
                <w:kern w:val="0"/>
                <w:sz w:val="24"/>
              </w:rPr>
              <w:t>市规划自然资源委</w:t>
            </w:r>
          </w:p>
        </w:tc>
        <w:tc>
          <w:tcPr>
            <w:tcW w:w="2407" w:type="dxa"/>
            <w:vAlign w:val="center"/>
          </w:tcPr>
          <w:p>
            <w:pPr>
              <w:adjustRightInd w:val="0"/>
              <w:snapToGrid w:val="0"/>
              <w:jc w:val="left"/>
              <w:rPr>
                <w:rFonts w:ascii="仿宋_GB2312" w:hAnsi="宋体" w:cs="仿宋_GB2312"/>
                <w:kern w:val="0"/>
                <w:sz w:val="24"/>
              </w:rPr>
            </w:pPr>
            <w:r>
              <w:rPr>
                <w:rFonts w:hint="eastAsia" w:ascii="仿宋_GB2312" w:hAnsi="宋体" w:cs="仿宋_GB2312"/>
                <w:kern w:val="0"/>
                <w:sz w:val="24"/>
              </w:rPr>
              <w:t>市国资委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9" w:type="dxa"/>
            <w:vAlign w:val="center"/>
          </w:tcPr>
          <w:p>
            <w:pPr>
              <w:adjustRightInd w:val="0"/>
              <w:snapToGrid w:val="0"/>
              <w:rPr>
                <w:rFonts w:ascii="仿宋_GB2312" w:hAnsi="宋体" w:cs="仿宋_GB2312"/>
                <w:sz w:val="24"/>
              </w:rPr>
            </w:pPr>
            <w:r>
              <w:rPr>
                <w:rFonts w:hint="eastAsia" w:ascii="仿宋_GB2312" w:hAnsi="宋体" w:cs="仿宋_GB2312"/>
                <w:sz w:val="24"/>
              </w:rPr>
              <w:t>开展评价示范和奖励</w:t>
            </w: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22</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发布《装配式建筑评价标准》，鼓励项目开展装配式建筑项目评价。制定装配式建筑项目示范工程管理办法，打造一批北京市装配式建筑示范工程。发布市级装配式建筑示范基地制度，建立一批北京市装配式建筑示范基地。鼓励装配式建筑项目技术创新，在北京市优秀工程勘察设计奖项目设立装配式建筑专项奖</w:t>
            </w:r>
          </w:p>
        </w:tc>
        <w:tc>
          <w:tcPr>
            <w:tcW w:w="2835" w:type="dxa"/>
            <w:vAlign w:val="center"/>
          </w:tcPr>
          <w:p>
            <w:pPr>
              <w:adjustRightInd w:val="0"/>
              <w:snapToGrid w:val="0"/>
              <w:jc w:val="left"/>
              <w:rPr>
                <w:rFonts w:ascii="仿宋_GB2312" w:hAnsi="宋体" w:cs="仿宋_GB2312"/>
                <w:kern w:val="0"/>
                <w:sz w:val="24"/>
              </w:rPr>
            </w:pPr>
            <w:r>
              <w:rPr>
                <w:rFonts w:hint="eastAsia" w:ascii="仿宋_GB2312" w:hAnsi="宋体" w:cs="仿宋_GB2312"/>
                <w:kern w:val="0"/>
                <w:sz w:val="24"/>
              </w:rPr>
              <w:t>市住房城乡建设委</w:t>
            </w:r>
          </w:p>
          <w:p>
            <w:pPr>
              <w:adjustRightInd w:val="0"/>
              <w:snapToGrid w:val="0"/>
              <w:jc w:val="left"/>
              <w:rPr>
                <w:rFonts w:ascii="仿宋_GB2312" w:hAnsi="宋体" w:cs="仿宋_GB2312"/>
                <w:kern w:val="0"/>
                <w:sz w:val="24"/>
              </w:rPr>
            </w:pPr>
            <w:r>
              <w:rPr>
                <w:rFonts w:hint="eastAsia" w:ascii="仿宋_GB2312" w:hAnsi="宋体" w:cs="仿宋_GB2312"/>
                <w:kern w:val="0"/>
                <w:sz w:val="24"/>
              </w:rPr>
              <w:t>市规划自然资源委</w:t>
            </w:r>
          </w:p>
        </w:tc>
        <w:tc>
          <w:tcPr>
            <w:tcW w:w="2407" w:type="dxa"/>
            <w:vAlign w:val="center"/>
          </w:tcPr>
          <w:p>
            <w:pPr>
              <w:adjustRightInd w:val="0"/>
              <w:snapToGrid w:val="0"/>
              <w:jc w:val="left"/>
              <w:rPr>
                <w:rFonts w:ascii="仿宋_GB2312"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9" w:type="dxa"/>
            <w:vMerge w:val="restart"/>
            <w:vAlign w:val="center"/>
          </w:tcPr>
          <w:p>
            <w:pPr>
              <w:adjustRightInd w:val="0"/>
              <w:snapToGrid w:val="0"/>
              <w:rPr>
                <w:rFonts w:ascii="仿宋_GB2312" w:hAnsi="宋体" w:cs="仿宋_GB2312"/>
                <w:sz w:val="24"/>
              </w:rPr>
            </w:pPr>
            <w:r>
              <w:rPr>
                <w:rFonts w:hint="eastAsia" w:ascii="仿宋_GB2312" w:hAnsi="宋体" w:cs="仿宋_GB2312"/>
                <w:sz w:val="24"/>
              </w:rPr>
              <w:t>培育专业化人才队伍</w:t>
            </w: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23</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大力培养装配式建筑专业人才，强化设计、生产、施工、管理等方面人才队伍</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市教委</w:t>
            </w:r>
          </w:p>
          <w:p>
            <w:pPr>
              <w:adjustRightInd w:val="0"/>
              <w:snapToGrid w:val="0"/>
              <w:jc w:val="left"/>
              <w:rPr>
                <w:rFonts w:ascii="仿宋_GB2312" w:hAnsi="宋体"/>
                <w:sz w:val="24"/>
              </w:rPr>
            </w:pPr>
            <w:r>
              <w:rPr>
                <w:rFonts w:hint="eastAsia" w:ascii="仿宋_GB2312" w:hAnsi="宋体" w:cs="仿宋_GB2312"/>
                <w:sz w:val="24"/>
              </w:rPr>
              <w:t>市人力社保局</w:t>
            </w:r>
          </w:p>
        </w:tc>
        <w:tc>
          <w:tcPr>
            <w:tcW w:w="2407"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p>
            <w:pPr>
              <w:adjustRightInd w:val="0"/>
              <w:snapToGrid w:val="0"/>
              <w:jc w:val="left"/>
              <w:rPr>
                <w:rFonts w:ascii="仿宋_GB2312" w:hAnsi="宋体"/>
                <w:sz w:val="24"/>
              </w:rPr>
            </w:pPr>
            <w:r>
              <w:rPr>
                <w:rFonts w:hint="eastAsia" w:ascii="仿宋_GB2312" w:hAnsi="宋体" w:cs="仿宋_GB2312"/>
                <w:sz w:val="24"/>
              </w:rPr>
              <w:t>市规划自然资源委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9" w:type="dxa"/>
            <w:vMerge w:val="continue"/>
            <w:vAlign w:val="center"/>
          </w:tcPr>
          <w:p>
            <w:pPr>
              <w:adjustRightInd w:val="0"/>
              <w:snapToGrid w:val="0"/>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24</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加强专业技术人员知识更新培训力度，完善装配式建筑专业人才职称评价机制，发展“互联网+”等现代培训方式，开展装配式建筑前沿技术和技能提升线上培训服务。加快培育装配式建筑产业工人队伍，发挥企业在职业教育和培训中的主体作用，完善建筑工人技能培训组织实施体系，引导企业培育自有产业工人队伍</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p>
            <w:pPr>
              <w:adjustRightInd w:val="0"/>
              <w:snapToGrid w:val="0"/>
              <w:jc w:val="left"/>
              <w:rPr>
                <w:rFonts w:ascii="仿宋_GB2312" w:hAnsi="宋体"/>
                <w:sz w:val="24"/>
              </w:rPr>
            </w:pPr>
            <w:r>
              <w:rPr>
                <w:rFonts w:hint="eastAsia" w:ascii="仿宋_GB2312" w:hAnsi="宋体" w:cs="仿宋_GB2312"/>
                <w:sz w:val="24"/>
              </w:rPr>
              <w:t>市规划自然资源委</w:t>
            </w:r>
          </w:p>
        </w:tc>
        <w:tc>
          <w:tcPr>
            <w:tcW w:w="2407"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9" w:type="dxa"/>
            <w:vMerge w:val="continue"/>
            <w:vAlign w:val="center"/>
          </w:tcPr>
          <w:p>
            <w:pPr>
              <w:adjustRightInd w:val="0"/>
              <w:snapToGrid w:val="0"/>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25</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深化产教融合、校企合作，支持院校开设装配式建筑相关课程，创新人才培养模式，为专业人才培养提供保障</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市教委</w:t>
            </w:r>
          </w:p>
        </w:tc>
        <w:tc>
          <w:tcPr>
            <w:tcW w:w="2407"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p>
            <w:pPr>
              <w:adjustRightInd w:val="0"/>
              <w:snapToGrid w:val="0"/>
              <w:jc w:val="left"/>
              <w:rPr>
                <w:rFonts w:ascii="仿宋_GB2312" w:hAnsi="宋体" w:cs="仿宋_GB2312"/>
                <w:sz w:val="24"/>
              </w:rPr>
            </w:pPr>
            <w:r>
              <w:rPr>
                <w:rFonts w:hint="eastAsia" w:ascii="仿宋_GB2312" w:hAnsi="宋体" w:cs="仿宋_GB2312"/>
                <w:sz w:val="24"/>
              </w:rPr>
              <w:t>市规划自然资源委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709" w:type="dxa"/>
            <w:vMerge w:val="restart"/>
            <w:vAlign w:val="center"/>
          </w:tcPr>
          <w:p>
            <w:pPr>
              <w:adjustRightInd w:val="0"/>
              <w:snapToGrid w:val="0"/>
              <w:rPr>
                <w:rFonts w:ascii="仿宋_GB2312" w:hAnsi="宋体" w:cs="仿宋_GB2312"/>
                <w:sz w:val="24"/>
              </w:rPr>
            </w:pPr>
            <w:r>
              <w:rPr>
                <w:rFonts w:hint="eastAsia" w:ascii="仿宋_GB2312" w:hAnsi="宋体" w:cs="仿宋_GB2312"/>
                <w:sz w:val="24"/>
              </w:rPr>
              <w:t>加强组织领导</w:t>
            </w: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26</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充分发挥北京市发展装配式建筑工作联席会议制度作用，联席会议成员单位为：市住房城乡建设委、市发展改革委、市教委、市科委、市经济信息化局、市财政局、市人力社保局、市规划自然资源委、市生态环境局、市市场监管局、市国资委、国家税务总局北京市税务局、市地方金融监管局、人民银行营业管理部、市交通委、市公安局交管局、北京银保监局、北京证监局等，联席会议办公室设在市住房城乡建设委</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tc>
        <w:tc>
          <w:tcPr>
            <w:tcW w:w="2407" w:type="dxa"/>
            <w:vAlign w:val="center"/>
          </w:tcPr>
          <w:p>
            <w:pPr>
              <w:adjustRightInd w:val="0"/>
              <w:snapToGrid w:val="0"/>
              <w:jc w:val="left"/>
              <w:rPr>
                <w:rFonts w:ascii="仿宋_GB2312" w:hAnsi="宋体" w:cs="仿宋_GB2312"/>
                <w:sz w:val="24"/>
              </w:rPr>
            </w:pPr>
            <w:r>
              <w:rPr>
                <w:rFonts w:hint="eastAsia" w:ascii="仿宋_GB2312" w:hAnsi="宋体" w:cs="仿宋_GB2312"/>
                <w:sz w:val="24"/>
              </w:rPr>
              <w:t>联席会议各成员单位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709" w:type="dxa"/>
            <w:vMerge w:val="continue"/>
            <w:vAlign w:val="center"/>
          </w:tcPr>
          <w:p>
            <w:pPr>
              <w:adjustRightInd w:val="0"/>
              <w:snapToGrid w:val="0"/>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27</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市发展装配式建筑工作联席会议负责组织实施全市装配式建筑发展工作。包括制定年度发展计划，明确发展目标、实施范围和重点任务；开展装配式建筑工作落实情况检查，将装配式建筑发展情况作为住房城乡建设领域考核指标，列入市政府重点考核督查项目</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tc>
        <w:tc>
          <w:tcPr>
            <w:tcW w:w="2407" w:type="dxa"/>
            <w:vAlign w:val="center"/>
          </w:tcPr>
          <w:p>
            <w:pPr>
              <w:adjustRightInd w:val="0"/>
              <w:snapToGrid w:val="0"/>
              <w:jc w:val="left"/>
              <w:rPr>
                <w:rFonts w:ascii="仿宋_GB2312" w:hAnsi="宋体" w:cs="仿宋_GB2312"/>
                <w:sz w:val="24"/>
              </w:rPr>
            </w:pPr>
            <w:r>
              <w:rPr>
                <w:rFonts w:hint="eastAsia" w:ascii="仿宋_GB2312" w:hAnsi="宋体" w:cs="仿宋_GB2312"/>
                <w:sz w:val="24"/>
              </w:rPr>
              <w:t>联席会议各成员单位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709" w:type="dxa"/>
            <w:vMerge w:val="continue"/>
            <w:vAlign w:val="center"/>
          </w:tcPr>
          <w:p>
            <w:pPr>
              <w:adjustRightInd w:val="0"/>
              <w:snapToGrid w:val="0"/>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28</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各成员单位要按照职责分工，制定具体配套措施，密切协作配合，加大支持力度，扎实做好发展装配式建筑各项工作</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联席会议各成员单位</w:t>
            </w:r>
          </w:p>
        </w:tc>
        <w:tc>
          <w:tcPr>
            <w:tcW w:w="2407" w:type="dxa"/>
            <w:vAlign w:val="center"/>
          </w:tcPr>
          <w:p>
            <w:pPr>
              <w:adjustRightInd w:val="0"/>
              <w:snapToGrid w:val="0"/>
              <w:jc w:val="left"/>
              <w:rPr>
                <w:rFonts w:ascii="仿宋_GB2312"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709" w:type="dxa"/>
            <w:vMerge w:val="continue"/>
            <w:vAlign w:val="center"/>
          </w:tcPr>
          <w:p>
            <w:pPr>
              <w:adjustRightInd w:val="0"/>
              <w:snapToGrid w:val="0"/>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29</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各区政府要加强对本区发展装配式建筑工作的组织领导，完善相应的工作机制，明确目标任务，加强督促检查，确保落到实处</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各区政府</w:t>
            </w:r>
          </w:p>
        </w:tc>
        <w:tc>
          <w:tcPr>
            <w:tcW w:w="2407" w:type="dxa"/>
            <w:vAlign w:val="center"/>
          </w:tcPr>
          <w:p>
            <w:pPr>
              <w:adjustRightInd w:val="0"/>
              <w:snapToGrid w:val="0"/>
              <w:rPr>
                <w:rFonts w:ascii="仿宋_GB2312"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09" w:type="dxa"/>
            <w:vMerge w:val="restart"/>
            <w:vAlign w:val="center"/>
          </w:tcPr>
          <w:p>
            <w:pPr>
              <w:adjustRightInd w:val="0"/>
              <w:snapToGrid w:val="0"/>
              <w:rPr>
                <w:rFonts w:ascii="仿宋_GB2312" w:hAnsi="宋体" w:cs="仿宋_GB2312"/>
                <w:sz w:val="24"/>
              </w:rPr>
            </w:pPr>
            <w:r>
              <w:rPr>
                <w:rFonts w:hint="eastAsia" w:ascii="仿宋_GB2312" w:hAnsi="宋体" w:cs="仿宋_GB2312"/>
                <w:sz w:val="24"/>
              </w:rPr>
              <w:t>细化责任分工</w:t>
            </w: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30</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市住房城乡建设委要加强统筹协调，会同有关部门制定装配式建筑年度发展计划及具体实施范围，将发展装配式建筑相关要求落实到项目规划审批、土地供应、项目立项、施工图审查等各环节，并定期通报各有关单位推进装配式建筑工作进展情况</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tc>
        <w:tc>
          <w:tcPr>
            <w:tcW w:w="2407" w:type="dxa"/>
            <w:vAlign w:val="center"/>
          </w:tcPr>
          <w:p>
            <w:pPr>
              <w:adjustRightInd w:val="0"/>
              <w:snapToGrid w:val="0"/>
              <w:rPr>
                <w:rFonts w:ascii="仿宋_GB2312" w:hAnsi="宋体" w:cs="仿宋_GB2312"/>
                <w:sz w:val="24"/>
              </w:rPr>
            </w:pPr>
            <w:r>
              <w:rPr>
                <w:rFonts w:hint="eastAsia" w:ascii="仿宋_GB2312" w:hAnsi="宋体" w:cs="仿宋_GB2312"/>
                <w:sz w:val="24"/>
              </w:rPr>
              <w:t>市发展改革委</w:t>
            </w:r>
          </w:p>
          <w:p>
            <w:pPr>
              <w:adjustRightInd w:val="0"/>
              <w:snapToGrid w:val="0"/>
              <w:rPr>
                <w:rFonts w:ascii="仿宋_GB2312" w:hAnsi="宋体" w:cs="仿宋_GB2312"/>
                <w:sz w:val="24"/>
              </w:rPr>
            </w:pPr>
            <w:r>
              <w:rPr>
                <w:rFonts w:hint="eastAsia" w:ascii="仿宋_GB2312" w:hAnsi="宋体" w:cs="仿宋_GB2312"/>
                <w:sz w:val="24"/>
              </w:rPr>
              <w:t>市规划自然资源委</w:t>
            </w:r>
          </w:p>
          <w:p>
            <w:pPr>
              <w:adjustRightInd w:val="0"/>
              <w:snapToGrid w:val="0"/>
              <w:rPr>
                <w:rFonts w:ascii="仿宋_GB2312" w:hAnsi="宋体" w:cs="仿宋_GB2312"/>
                <w:sz w:val="24"/>
              </w:rPr>
            </w:pPr>
            <w:r>
              <w:rPr>
                <w:rFonts w:hint="eastAsia" w:ascii="仿宋_GB2312" w:hAnsi="宋体" w:cs="仿宋_GB2312"/>
                <w:sz w:val="24"/>
              </w:rPr>
              <w:t>各区政府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09" w:type="dxa"/>
            <w:vMerge w:val="continue"/>
            <w:vAlign w:val="center"/>
          </w:tcPr>
          <w:p>
            <w:pPr>
              <w:adjustRightInd w:val="0"/>
              <w:snapToGrid w:val="0"/>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31</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依法办理装配式建筑项目施工许可，依法办理装配式建筑项目施工许可，加强施工质量安全管理，对不符合验收标准的项目依法不予进行竣工备案,将全装修成品交房纳入住房销售合同</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tc>
        <w:tc>
          <w:tcPr>
            <w:tcW w:w="2407" w:type="dxa"/>
            <w:vAlign w:val="center"/>
          </w:tcPr>
          <w:p>
            <w:pPr>
              <w:adjustRightInd w:val="0"/>
              <w:snapToGrid w:val="0"/>
              <w:rPr>
                <w:rFonts w:ascii="仿宋_GB2312"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09" w:type="dxa"/>
            <w:vMerge w:val="continue"/>
            <w:vAlign w:val="center"/>
          </w:tcPr>
          <w:p>
            <w:pPr>
              <w:adjustRightInd w:val="0"/>
              <w:snapToGrid w:val="0"/>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32</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市发展改革委等立项审批部门负责在立项阶段对项目申请报告或可行性研究报告落实装配式建筑要求的有关内容文件进行审查</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市发展改革委</w:t>
            </w:r>
          </w:p>
          <w:p>
            <w:pPr>
              <w:adjustRightInd w:val="0"/>
              <w:snapToGrid w:val="0"/>
              <w:jc w:val="left"/>
              <w:rPr>
                <w:rFonts w:ascii="仿宋_GB2312" w:hAnsi="宋体" w:cs="仿宋_GB2312"/>
                <w:sz w:val="24"/>
              </w:rPr>
            </w:pPr>
            <w:r>
              <w:rPr>
                <w:rFonts w:hint="eastAsia" w:ascii="仿宋_GB2312" w:hAnsi="宋体" w:cs="仿宋_GB2312"/>
                <w:sz w:val="24"/>
              </w:rPr>
              <w:t>其他立项审批部门</w:t>
            </w:r>
          </w:p>
        </w:tc>
        <w:tc>
          <w:tcPr>
            <w:tcW w:w="2407" w:type="dxa"/>
            <w:vAlign w:val="center"/>
          </w:tcPr>
          <w:p>
            <w:pPr>
              <w:adjustRightInd w:val="0"/>
              <w:snapToGrid w:val="0"/>
              <w:rPr>
                <w:rFonts w:ascii="仿宋_GB2312" w:hAnsi="宋体" w:cs="仿宋_GB2312"/>
                <w:sz w:val="24"/>
              </w:rPr>
            </w:pPr>
            <w:r>
              <w:rPr>
                <w:rFonts w:hint="eastAsia" w:ascii="仿宋_GB2312" w:hAnsi="宋体" w:cs="仿宋_GB2312"/>
                <w:sz w:val="24"/>
              </w:rPr>
              <w:t>各区政府</w:t>
            </w:r>
          </w:p>
          <w:p>
            <w:pPr>
              <w:adjustRightInd w:val="0"/>
              <w:snapToGrid w:val="0"/>
              <w:rPr>
                <w:rFonts w:ascii="仿宋_GB2312" w:hAnsi="宋体" w:cs="仿宋_GB2312"/>
                <w:sz w:val="24"/>
              </w:rPr>
            </w:pPr>
            <w:r>
              <w:rPr>
                <w:rFonts w:hint="eastAsia" w:ascii="仿宋_GB2312" w:hAnsi="宋体" w:cs="仿宋_GB2312"/>
                <w:sz w:val="24"/>
              </w:rPr>
              <w:t>联席会议各成员单位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09" w:type="dxa"/>
            <w:vMerge w:val="continue"/>
            <w:vAlign w:val="center"/>
          </w:tcPr>
          <w:p>
            <w:pPr>
              <w:adjustRightInd w:val="0"/>
              <w:snapToGrid w:val="0"/>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33</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市规划自然资源委负责加强装配式建筑项目土地供应、规划许可、施工图审查的管理，在“多规合一”协同平台成果或选址意见书中明确装配式建筑的实施要求并在土地供应中予以落实，完善装配式建筑设计文件深度规定和施工图审查要点，在规划许可和施工图审查环节落实装配式建筑装配率和全装修成品交房的有关要求</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市规划自然资源委</w:t>
            </w:r>
          </w:p>
        </w:tc>
        <w:tc>
          <w:tcPr>
            <w:tcW w:w="2407" w:type="dxa"/>
            <w:vAlign w:val="center"/>
          </w:tcPr>
          <w:p>
            <w:pPr>
              <w:adjustRightInd w:val="0"/>
              <w:snapToGrid w:val="0"/>
              <w:rPr>
                <w:rFonts w:ascii="仿宋_GB2312"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09" w:type="dxa"/>
            <w:vMerge w:val="continue"/>
            <w:vAlign w:val="center"/>
          </w:tcPr>
          <w:p>
            <w:pPr>
              <w:adjustRightInd w:val="0"/>
              <w:snapToGrid w:val="0"/>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34</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其他主管部门按照职责分工在政策支持、市场和人才培育、部品部件管理等方面予以落实</w:t>
            </w:r>
          </w:p>
        </w:tc>
        <w:tc>
          <w:tcPr>
            <w:tcW w:w="2835" w:type="dxa"/>
            <w:vAlign w:val="center"/>
          </w:tcPr>
          <w:p>
            <w:pPr>
              <w:adjustRightInd w:val="0"/>
              <w:snapToGrid w:val="0"/>
              <w:rPr>
                <w:rFonts w:ascii="仿宋_GB2312" w:hAnsi="宋体" w:cs="仿宋_GB2312"/>
                <w:sz w:val="24"/>
              </w:rPr>
            </w:pPr>
            <w:r>
              <w:rPr>
                <w:rFonts w:hint="eastAsia" w:ascii="仿宋_GB2312" w:hAnsi="宋体" w:cs="仿宋_GB2312"/>
                <w:sz w:val="24"/>
              </w:rPr>
              <w:t>联席会议各成员单位</w:t>
            </w:r>
          </w:p>
        </w:tc>
        <w:tc>
          <w:tcPr>
            <w:tcW w:w="2407" w:type="dxa"/>
            <w:vAlign w:val="center"/>
          </w:tcPr>
          <w:p>
            <w:pPr>
              <w:adjustRightInd w:val="0"/>
              <w:snapToGrid w:val="0"/>
              <w:rPr>
                <w:rFonts w:ascii="仿宋_GB2312"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09" w:type="dxa"/>
            <w:vMerge w:val="restart"/>
            <w:vAlign w:val="center"/>
          </w:tcPr>
          <w:p>
            <w:pPr>
              <w:adjustRightInd w:val="0"/>
              <w:snapToGrid w:val="0"/>
              <w:rPr>
                <w:rFonts w:ascii="仿宋_GB2312" w:hAnsi="宋体" w:cs="仿宋_GB2312"/>
                <w:sz w:val="24"/>
              </w:rPr>
            </w:pPr>
            <w:r>
              <w:rPr>
                <w:rFonts w:hint="eastAsia" w:ascii="仿宋_GB2312" w:hAnsi="宋体" w:cs="仿宋_GB2312"/>
                <w:sz w:val="24"/>
              </w:rPr>
              <w:t>创新监督管理</w:t>
            </w: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35</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在项目立项、规划审批、工程许可等环节创新信息化监管方式，逐步实现监管数据互联互通。促进装配式建筑质量提升，创新监管方式，完善事中事后监管体制机制和手段，落实参建各方主体责任，承诺落实装配式建筑的有关要求</w:t>
            </w:r>
          </w:p>
        </w:tc>
        <w:tc>
          <w:tcPr>
            <w:tcW w:w="2835" w:type="dxa"/>
            <w:vAlign w:val="center"/>
          </w:tcPr>
          <w:p>
            <w:pPr>
              <w:adjustRightInd w:val="0"/>
              <w:snapToGrid w:val="0"/>
              <w:jc w:val="left"/>
              <w:rPr>
                <w:rFonts w:hint="eastAsia" w:ascii="仿宋_GB2312" w:hAnsi="宋体" w:cs="仿宋_GB2312"/>
                <w:sz w:val="24"/>
              </w:rPr>
            </w:pPr>
          </w:p>
          <w:p>
            <w:pPr>
              <w:adjustRightInd w:val="0"/>
              <w:snapToGrid w:val="0"/>
              <w:jc w:val="left"/>
              <w:rPr>
                <w:rFonts w:ascii="仿宋_GB2312" w:hAnsi="宋体" w:cs="仿宋_GB2312"/>
                <w:sz w:val="24"/>
              </w:rPr>
            </w:pPr>
            <w:r>
              <w:rPr>
                <w:rFonts w:hint="eastAsia" w:ascii="仿宋_GB2312" w:hAnsi="宋体" w:cs="仿宋_GB2312"/>
                <w:sz w:val="24"/>
              </w:rPr>
              <w:t>市住房城乡建设委</w:t>
            </w:r>
          </w:p>
          <w:p>
            <w:pPr>
              <w:adjustRightInd w:val="0"/>
              <w:snapToGrid w:val="0"/>
              <w:jc w:val="left"/>
              <w:rPr>
                <w:rFonts w:ascii="仿宋_GB2312" w:hAnsi="宋体" w:cs="仿宋_GB2312"/>
                <w:sz w:val="24"/>
              </w:rPr>
            </w:pPr>
            <w:r>
              <w:rPr>
                <w:rFonts w:hint="eastAsia" w:ascii="仿宋_GB2312" w:hAnsi="宋体" w:cs="仿宋_GB2312"/>
                <w:sz w:val="24"/>
              </w:rPr>
              <w:t>市发展改革委</w:t>
            </w:r>
          </w:p>
          <w:p>
            <w:pPr>
              <w:adjustRightInd w:val="0"/>
              <w:snapToGrid w:val="0"/>
              <w:jc w:val="left"/>
              <w:rPr>
                <w:rFonts w:ascii="仿宋_GB2312" w:hAnsi="宋体" w:cs="仿宋_GB2312"/>
                <w:sz w:val="24"/>
              </w:rPr>
            </w:pPr>
            <w:r>
              <w:rPr>
                <w:rFonts w:hint="eastAsia" w:ascii="仿宋_GB2312" w:hAnsi="宋体" w:cs="仿宋_GB2312"/>
                <w:sz w:val="24"/>
              </w:rPr>
              <w:t>市规划自然资源委</w:t>
            </w:r>
          </w:p>
          <w:p>
            <w:pPr>
              <w:adjustRightInd w:val="0"/>
              <w:snapToGrid w:val="0"/>
              <w:jc w:val="left"/>
              <w:rPr>
                <w:rFonts w:ascii="仿宋_GB2312" w:hAnsi="宋体" w:cs="仿宋_GB2312"/>
                <w:sz w:val="24"/>
              </w:rPr>
            </w:pPr>
          </w:p>
        </w:tc>
        <w:tc>
          <w:tcPr>
            <w:tcW w:w="2407" w:type="dxa"/>
            <w:vAlign w:val="center"/>
          </w:tcPr>
          <w:p>
            <w:pPr>
              <w:adjustRightInd w:val="0"/>
              <w:snapToGrid w:val="0"/>
              <w:rPr>
                <w:rFonts w:ascii="仿宋_GB2312"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709" w:type="dxa"/>
            <w:vMerge w:val="continue"/>
            <w:vAlign w:val="center"/>
          </w:tcPr>
          <w:p>
            <w:pPr>
              <w:adjustRightInd w:val="0"/>
              <w:snapToGrid w:val="0"/>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36</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加强预制构件质量管理，落实驻厂监造制度和部品部件采购信息填报制度，实行全过程质量责任追溯</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p>
            <w:pPr>
              <w:adjustRightInd w:val="0"/>
              <w:snapToGrid w:val="0"/>
              <w:jc w:val="left"/>
              <w:rPr>
                <w:rFonts w:ascii="仿宋_GB2312" w:hAnsi="宋体" w:cs="仿宋_GB2312"/>
                <w:kern w:val="0"/>
                <w:sz w:val="24"/>
              </w:rPr>
            </w:pPr>
            <w:r>
              <w:rPr>
                <w:rFonts w:hint="eastAsia" w:ascii="仿宋_GB2312" w:hAnsi="宋体" w:cs="仿宋_GB2312"/>
                <w:kern w:val="0"/>
                <w:sz w:val="24"/>
              </w:rPr>
              <w:t>市市场监督管理局</w:t>
            </w:r>
          </w:p>
        </w:tc>
        <w:tc>
          <w:tcPr>
            <w:tcW w:w="2407" w:type="dxa"/>
            <w:vAlign w:val="center"/>
          </w:tcPr>
          <w:p>
            <w:pPr>
              <w:adjustRightInd w:val="0"/>
              <w:snapToGrid w:val="0"/>
              <w:rPr>
                <w:rFonts w:ascii="仿宋_GB2312"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709" w:type="dxa"/>
            <w:vAlign w:val="center"/>
          </w:tcPr>
          <w:p>
            <w:pPr>
              <w:adjustRightInd w:val="0"/>
              <w:snapToGrid w:val="0"/>
              <w:rPr>
                <w:rFonts w:ascii="仿宋_GB2312" w:hAnsi="宋体" w:cs="仿宋_GB2312"/>
                <w:sz w:val="24"/>
              </w:rPr>
            </w:pPr>
          </w:p>
        </w:tc>
        <w:tc>
          <w:tcPr>
            <w:tcW w:w="504" w:type="dxa"/>
            <w:vAlign w:val="center"/>
          </w:tcPr>
          <w:p>
            <w:pPr>
              <w:adjustRightInd w:val="0"/>
              <w:snapToGrid w:val="0"/>
              <w:jc w:val="center"/>
              <w:rPr>
                <w:rFonts w:hint="eastAsia" w:ascii="仿宋_GB2312" w:hAnsi="宋体" w:cs="仿宋_GB2312"/>
                <w:sz w:val="24"/>
              </w:rPr>
            </w:pPr>
            <w:r>
              <w:rPr>
                <w:rFonts w:hint="eastAsia" w:ascii="仿宋_GB2312" w:hAnsi="宋体" w:cs="仿宋_GB2312"/>
                <w:sz w:val="24"/>
              </w:rPr>
              <w:t>37</w:t>
            </w:r>
          </w:p>
        </w:tc>
        <w:tc>
          <w:tcPr>
            <w:tcW w:w="6357" w:type="dxa"/>
            <w:vAlign w:val="center"/>
          </w:tcPr>
          <w:p>
            <w:pPr>
              <w:adjustRightInd w:val="0"/>
              <w:snapToGrid w:val="0"/>
              <w:rPr>
                <w:rFonts w:hint="eastAsia" w:ascii="仿宋_GB2312" w:hAnsi="宋体" w:cs="仿宋_GB2312"/>
                <w:sz w:val="24"/>
              </w:rPr>
            </w:pPr>
            <w:r>
              <w:rPr>
                <w:rFonts w:hint="eastAsia" w:ascii="仿宋_GB2312" w:hAnsi="宋体" w:cs="仿宋_GB2312"/>
                <w:sz w:val="24"/>
              </w:rPr>
              <w:t>探索建立装配式建筑市场信用监管体系和质量诚信体系，加强对装配式建筑参建各方的信用管理</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p>
            <w:pPr>
              <w:adjustRightInd w:val="0"/>
              <w:snapToGrid w:val="0"/>
              <w:jc w:val="left"/>
              <w:rPr>
                <w:rFonts w:hint="eastAsia" w:ascii="仿宋_GB2312" w:hAnsi="宋体" w:cs="仿宋_GB2312"/>
                <w:sz w:val="24"/>
              </w:rPr>
            </w:pPr>
            <w:r>
              <w:rPr>
                <w:rFonts w:hint="eastAsia" w:ascii="仿宋_GB2312" w:hAnsi="宋体" w:cs="仿宋_GB2312"/>
                <w:sz w:val="24"/>
              </w:rPr>
              <w:t>市经济信息化局</w:t>
            </w:r>
          </w:p>
        </w:tc>
        <w:tc>
          <w:tcPr>
            <w:tcW w:w="2407" w:type="dxa"/>
            <w:vAlign w:val="center"/>
          </w:tcPr>
          <w:p>
            <w:pPr>
              <w:adjustRightInd w:val="0"/>
              <w:snapToGrid w:val="0"/>
              <w:rPr>
                <w:rFonts w:ascii="仿宋_GB2312"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709" w:type="dxa"/>
            <w:vMerge w:val="restart"/>
            <w:vAlign w:val="center"/>
          </w:tcPr>
          <w:p>
            <w:pPr>
              <w:adjustRightInd w:val="0"/>
              <w:snapToGrid w:val="0"/>
              <w:jc w:val="center"/>
              <w:rPr>
                <w:rFonts w:ascii="仿宋_GB2312" w:hAnsi="宋体" w:cs="仿宋_GB2312"/>
                <w:sz w:val="24"/>
              </w:rPr>
            </w:pPr>
            <w:r>
              <w:rPr>
                <w:rFonts w:hint="eastAsia" w:ascii="仿宋_GB2312" w:hAnsi="宋体" w:cs="仿宋_GB2312"/>
                <w:sz w:val="24"/>
              </w:rPr>
              <w:t>健全激励措施</w:t>
            </w: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38</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实施范围内的装配式建筑项目，在计算建筑面积时，建筑外墙厚度参照同类型建筑的外墙厚度。建筑外墙采用夹心保温复合墙体的，其夹心保温墙体外叶板水平投影面积不计入建筑面积</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市规划自然资源委</w:t>
            </w:r>
          </w:p>
        </w:tc>
        <w:tc>
          <w:tcPr>
            <w:tcW w:w="2407"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709" w:type="dxa"/>
            <w:vMerge w:val="continue"/>
            <w:vAlign w:val="center"/>
          </w:tcPr>
          <w:p>
            <w:pPr>
              <w:adjustRightInd w:val="0"/>
              <w:snapToGrid w:val="0"/>
              <w:jc w:val="center"/>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39</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根据我市现行政策，对符合条件的装配式建筑项目给予市级奖励资金</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市财政局</w:t>
            </w:r>
          </w:p>
          <w:p>
            <w:pPr>
              <w:adjustRightInd w:val="0"/>
              <w:snapToGrid w:val="0"/>
              <w:jc w:val="left"/>
              <w:rPr>
                <w:rFonts w:ascii="仿宋_GB2312" w:hAnsi="宋体" w:cs="仿宋_GB2312"/>
                <w:sz w:val="24"/>
              </w:rPr>
            </w:pPr>
            <w:r>
              <w:rPr>
                <w:rFonts w:hint="eastAsia" w:ascii="仿宋_GB2312" w:hAnsi="宋体" w:cs="仿宋_GB2312"/>
                <w:sz w:val="24"/>
              </w:rPr>
              <w:t>市住房城乡建设委</w:t>
            </w:r>
          </w:p>
          <w:p>
            <w:pPr>
              <w:adjustRightInd w:val="0"/>
              <w:snapToGrid w:val="0"/>
              <w:jc w:val="left"/>
              <w:rPr>
                <w:rFonts w:ascii="仿宋_GB2312" w:hAnsi="宋体" w:cs="仿宋_GB2312"/>
                <w:sz w:val="24"/>
              </w:rPr>
            </w:pPr>
            <w:r>
              <w:rPr>
                <w:rFonts w:hint="eastAsia" w:ascii="仿宋_GB2312" w:hAnsi="宋体" w:cs="仿宋_GB2312"/>
                <w:sz w:val="24"/>
              </w:rPr>
              <w:t>市规划自然资源委</w:t>
            </w:r>
          </w:p>
        </w:tc>
        <w:tc>
          <w:tcPr>
            <w:tcW w:w="2407" w:type="dxa"/>
            <w:vAlign w:val="center"/>
          </w:tcPr>
          <w:p>
            <w:pPr>
              <w:adjustRightInd w:val="0"/>
              <w:snapToGrid w:val="0"/>
              <w:jc w:val="left"/>
              <w:rPr>
                <w:rFonts w:ascii="仿宋_GB2312" w:hAnsi="宋体" w:cs="仿宋_GB2312"/>
                <w:sz w:val="24"/>
              </w:rPr>
            </w:pPr>
          </w:p>
          <w:p>
            <w:pPr>
              <w:adjustRightInd w:val="0"/>
              <w:snapToGrid w:val="0"/>
              <w:jc w:val="left"/>
              <w:rPr>
                <w:rFonts w:ascii="仿宋_GB2312" w:hAnsi="宋体" w:cs="仿宋_GB2312"/>
                <w:sz w:val="24"/>
              </w:rPr>
            </w:pPr>
            <w:r>
              <w:rPr>
                <w:rFonts w:hint="eastAsia" w:ascii="仿宋_GB2312" w:hAnsi="宋体" w:cs="仿宋_GB2312"/>
                <w:sz w:val="24"/>
              </w:rPr>
              <w:t>市发展改革委</w:t>
            </w:r>
          </w:p>
          <w:p>
            <w:pPr>
              <w:adjustRightInd w:val="0"/>
              <w:snapToGrid w:val="0"/>
              <w:jc w:val="left"/>
              <w:rPr>
                <w:rFonts w:ascii="仿宋_GB2312"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709" w:type="dxa"/>
            <w:vMerge w:val="continue"/>
            <w:vAlign w:val="center"/>
          </w:tcPr>
          <w:p>
            <w:pPr>
              <w:adjustRightInd w:val="0"/>
              <w:snapToGrid w:val="0"/>
              <w:jc w:val="center"/>
              <w:rPr>
                <w:rFonts w:ascii="仿宋_GB2312" w:hAnsi="宋体" w:cs="仿宋_GB2312"/>
                <w:sz w:val="24"/>
              </w:rPr>
            </w:pPr>
          </w:p>
        </w:tc>
        <w:tc>
          <w:tcPr>
            <w:tcW w:w="504" w:type="dxa"/>
            <w:vAlign w:val="center"/>
          </w:tcPr>
          <w:p>
            <w:pPr>
              <w:adjustRightInd w:val="0"/>
              <w:snapToGrid w:val="0"/>
              <w:jc w:val="both"/>
              <w:rPr>
                <w:rFonts w:ascii="仿宋_GB2312" w:hAnsi="宋体" w:cs="仿宋_GB2312"/>
                <w:sz w:val="24"/>
              </w:rPr>
            </w:pPr>
            <w:r>
              <w:rPr>
                <w:rFonts w:hint="eastAsia" w:ascii="仿宋_GB2312" w:hAnsi="宋体" w:cs="仿宋_GB2312"/>
                <w:sz w:val="24"/>
              </w:rPr>
              <w:t>40</w:t>
            </w:r>
          </w:p>
        </w:tc>
        <w:tc>
          <w:tcPr>
            <w:tcW w:w="6357" w:type="dxa"/>
            <w:vAlign w:val="center"/>
          </w:tcPr>
          <w:p>
            <w:pPr>
              <w:pStyle w:val="21"/>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ascii="仿宋_GB2312" w:hAnsi="宋体" w:cs="仿宋_GB2312"/>
                <w:sz w:val="24"/>
              </w:rPr>
            </w:pPr>
            <w:r>
              <w:rPr>
                <w:rFonts w:hint="eastAsia" w:ascii="仿宋_GB2312" w:hAnsi="宋体" w:eastAsia="仿宋_GB2312" w:cs="仿宋_GB2312"/>
                <w:kern w:val="2"/>
                <w:sz w:val="24"/>
                <w:szCs w:val="24"/>
                <w:lang w:val="en-US" w:eastAsia="zh-CN" w:bidi="ar-SA"/>
              </w:rPr>
              <w:t>在本市建筑行业相关评优评奖中，增加装配式建筑方面的指标要求。装配式建筑项目在招拍挂阶段或办理房屋销售手续时，可享受优质优价政策</w:t>
            </w:r>
            <w:bookmarkStart w:id="0" w:name="_GoBack"/>
            <w:bookmarkEnd w:id="0"/>
          </w:p>
        </w:tc>
        <w:tc>
          <w:tcPr>
            <w:tcW w:w="2835" w:type="dxa"/>
            <w:vAlign w:val="top"/>
          </w:tcPr>
          <w:p>
            <w:pPr>
              <w:adjustRightInd w:val="0"/>
              <w:snapToGrid w:val="0"/>
              <w:jc w:val="both"/>
              <w:rPr>
                <w:rFonts w:hint="eastAsia" w:ascii="仿宋_GB2312" w:hAnsi="宋体" w:cs="仿宋_GB2312"/>
                <w:sz w:val="24"/>
              </w:rPr>
            </w:pPr>
          </w:p>
          <w:p>
            <w:pPr>
              <w:adjustRightInd w:val="0"/>
              <w:snapToGrid w:val="0"/>
              <w:jc w:val="both"/>
              <w:rPr>
                <w:rFonts w:ascii="仿宋_GB2312" w:hAnsi="宋体" w:cs="仿宋_GB2312"/>
                <w:sz w:val="24"/>
              </w:rPr>
            </w:pPr>
            <w:r>
              <w:rPr>
                <w:rFonts w:hint="eastAsia" w:ascii="仿宋_GB2312" w:hAnsi="宋体" w:cs="仿宋_GB2312"/>
                <w:sz w:val="24"/>
              </w:rPr>
              <w:t>市规划自然资源委</w:t>
            </w:r>
          </w:p>
          <w:p>
            <w:pPr>
              <w:adjustRightInd w:val="0"/>
              <w:snapToGrid w:val="0"/>
              <w:jc w:val="both"/>
              <w:rPr>
                <w:rFonts w:ascii="仿宋_GB2312" w:hAnsi="宋体" w:cs="仿宋_GB2312"/>
                <w:sz w:val="24"/>
              </w:rPr>
            </w:pPr>
            <w:r>
              <w:rPr>
                <w:rFonts w:hint="eastAsia" w:ascii="仿宋_GB2312" w:hAnsi="宋体" w:cs="仿宋_GB2312"/>
                <w:sz w:val="24"/>
              </w:rPr>
              <w:t>市住房城乡建设委</w:t>
            </w:r>
          </w:p>
        </w:tc>
        <w:tc>
          <w:tcPr>
            <w:tcW w:w="2407" w:type="dxa"/>
            <w:vAlign w:val="center"/>
          </w:tcPr>
          <w:p>
            <w:pPr>
              <w:adjustRightInd w:val="0"/>
              <w:snapToGrid w:val="0"/>
              <w:jc w:val="left"/>
              <w:rPr>
                <w:rFonts w:ascii="仿宋_GB2312"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09" w:type="dxa"/>
            <w:vMerge w:val="continue"/>
            <w:vAlign w:val="center"/>
          </w:tcPr>
          <w:p>
            <w:pPr>
              <w:adjustRightInd w:val="0"/>
              <w:snapToGrid w:val="0"/>
              <w:jc w:val="center"/>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41</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对符合新型墙体材料目录的部品部件生产企业，可按规定享受增值税即征即退优惠政策；符合高新技术企业条件的装配式建筑部品部件生产企业，经认定后可依法享受相关税收优惠政策</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国家税务总局北京市税务局</w:t>
            </w:r>
          </w:p>
          <w:p>
            <w:pPr>
              <w:adjustRightInd w:val="0"/>
              <w:snapToGrid w:val="0"/>
              <w:jc w:val="left"/>
              <w:rPr>
                <w:rFonts w:ascii="仿宋_GB2312" w:hAnsi="宋体" w:cs="仿宋_GB2312"/>
                <w:sz w:val="24"/>
              </w:rPr>
            </w:pPr>
          </w:p>
        </w:tc>
        <w:tc>
          <w:tcPr>
            <w:tcW w:w="2407"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p>
            <w:pPr>
              <w:adjustRightInd w:val="0"/>
              <w:snapToGrid w:val="0"/>
              <w:jc w:val="left"/>
              <w:rPr>
                <w:rFonts w:ascii="仿宋_GB2312" w:hAnsi="宋体" w:cs="仿宋_GB2312"/>
                <w:sz w:val="24"/>
              </w:rPr>
            </w:pPr>
            <w:r>
              <w:rPr>
                <w:rFonts w:hint="eastAsia" w:ascii="仿宋_GB2312" w:hAnsi="宋体" w:cs="仿宋_GB2312"/>
                <w:sz w:val="24"/>
              </w:rPr>
              <w:t>市科委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09" w:type="dxa"/>
            <w:vMerge w:val="continue"/>
            <w:vAlign w:val="center"/>
          </w:tcPr>
          <w:p>
            <w:pPr>
              <w:adjustRightInd w:val="0"/>
              <w:snapToGrid w:val="0"/>
              <w:jc w:val="center"/>
              <w:rPr>
                <w:rFonts w:ascii="仿宋_GB2312" w:hAnsi="宋体" w:cs="仿宋_GB2312"/>
                <w:sz w:val="24"/>
              </w:rPr>
            </w:pP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42</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鼓励金融机构加大对装配式建筑项目的信贷支持力度；支持装配式建筑企业通过发行债券等方式开展融资；完善绿色金融支持装配式建筑的政策环境，积极探索多元化绿色金融支持方式，对达到绿色建筑星级标准的装配式建筑项目给予绿色金融支持</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北京银保监局</w:t>
            </w:r>
          </w:p>
          <w:p>
            <w:pPr>
              <w:adjustRightInd w:val="0"/>
              <w:snapToGrid w:val="0"/>
              <w:jc w:val="left"/>
              <w:rPr>
                <w:rFonts w:ascii="仿宋_GB2312" w:hAnsi="宋体" w:cs="仿宋_GB2312"/>
                <w:sz w:val="24"/>
              </w:rPr>
            </w:pPr>
            <w:r>
              <w:rPr>
                <w:rFonts w:hint="eastAsia" w:ascii="仿宋_GB2312" w:hAnsi="宋体" w:cs="仿宋_GB2312"/>
                <w:sz w:val="24"/>
              </w:rPr>
              <w:t>市地方金融监管局</w:t>
            </w:r>
          </w:p>
          <w:p>
            <w:pPr>
              <w:adjustRightInd w:val="0"/>
              <w:snapToGrid w:val="0"/>
              <w:jc w:val="left"/>
              <w:rPr>
                <w:rFonts w:ascii="仿宋_GB2312" w:hAnsi="宋体" w:cs="仿宋_GB2312"/>
                <w:sz w:val="24"/>
              </w:rPr>
            </w:pPr>
            <w:r>
              <w:rPr>
                <w:rFonts w:hint="eastAsia" w:ascii="仿宋_GB2312" w:hAnsi="宋体" w:cs="仿宋_GB2312"/>
                <w:sz w:val="24"/>
              </w:rPr>
              <w:t>人民银行营业管理部</w:t>
            </w:r>
          </w:p>
        </w:tc>
        <w:tc>
          <w:tcPr>
            <w:tcW w:w="2407" w:type="dxa"/>
            <w:vAlign w:val="center"/>
          </w:tcPr>
          <w:p>
            <w:pPr>
              <w:adjustRightInd w:val="0"/>
              <w:snapToGrid w:val="0"/>
              <w:jc w:val="left"/>
              <w:rPr>
                <w:rFonts w:ascii="仿宋_GB2312" w:hAnsi="宋体" w:cs="仿宋_GB2312"/>
                <w:sz w:val="24"/>
              </w:rPr>
            </w:pPr>
            <w:r>
              <w:rPr>
                <w:rFonts w:hint="eastAsia" w:ascii="仿宋_GB2312" w:hAnsi="宋体" w:cs="仿宋_GB2312"/>
                <w:sz w:val="24"/>
              </w:rPr>
              <w:t>北京证监局</w:t>
            </w:r>
          </w:p>
          <w:p>
            <w:pPr>
              <w:adjustRightInd w:val="0"/>
              <w:snapToGrid w:val="0"/>
              <w:jc w:val="left"/>
              <w:rPr>
                <w:rFonts w:ascii="仿宋_GB2312" w:hAnsi="宋体" w:cs="仿宋_GB2312"/>
                <w:sz w:val="24"/>
              </w:rPr>
            </w:pPr>
            <w:r>
              <w:rPr>
                <w:rFonts w:hint="eastAsia" w:ascii="仿宋_GB2312" w:hAnsi="宋体" w:cs="仿宋_GB2312"/>
                <w:sz w:val="24"/>
              </w:rPr>
              <w:t>市住房城乡建设委</w:t>
            </w:r>
          </w:p>
          <w:p>
            <w:pPr>
              <w:adjustRightInd w:val="0"/>
              <w:snapToGrid w:val="0"/>
              <w:jc w:val="left"/>
              <w:rPr>
                <w:rFonts w:ascii="仿宋_GB2312" w:hAnsi="宋体" w:cs="仿宋_GB2312"/>
                <w:sz w:val="24"/>
              </w:rPr>
            </w:pPr>
            <w:r>
              <w:rPr>
                <w:rFonts w:hint="eastAsia" w:ascii="仿宋_GB2312" w:hAnsi="宋体" w:cs="仿宋_GB2312"/>
                <w:sz w:val="24"/>
              </w:rPr>
              <w:t>市发展改革委</w:t>
            </w:r>
          </w:p>
          <w:p>
            <w:pPr>
              <w:adjustRightInd w:val="0"/>
              <w:snapToGrid w:val="0"/>
              <w:jc w:val="left"/>
              <w:rPr>
                <w:rFonts w:ascii="仿宋_GB2312" w:hAnsi="宋体" w:cs="仿宋_GB2312"/>
                <w:sz w:val="24"/>
              </w:rPr>
            </w:pPr>
            <w:r>
              <w:rPr>
                <w:rFonts w:hint="eastAsia" w:ascii="仿宋_GB2312" w:hAnsi="宋体" w:cs="仿宋_GB2312"/>
                <w:sz w:val="24"/>
              </w:rPr>
              <w:t>市规划自然资源委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709"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加强宣传引导</w:t>
            </w:r>
          </w:p>
        </w:tc>
        <w:tc>
          <w:tcPr>
            <w:tcW w:w="504" w:type="dxa"/>
            <w:vAlign w:val="center"/>
          </w:tcPr>
          <w:p>
            <w:pPr>
              <w:adjustRightInd w:val="0"/>
              <w:snapToGrid w:val="0"/>
              <w:jc w:val="center"/>
              <w:rPr>
                <w:rFonts w:ascii="仿宋_GB2312" w:hAnsi="宋体" w:cs="仿宋_GB2312"/>
                <w:sz w:val="24"/>
              </w:rPr>
            </w:pPr>
            <w:r>
              <w:rPr>
                <w:rFonts w:hint="eastAsia" w:ascii="仿宋_GB2312" w:hAnsi="宋体" w:cs="仿宋_GB2312"/>
                <w:sz w:val="24"/>
              </w:rPr>
              <w:t>43</w:t>
            </w:r>
          </w:p>
        </w:tc>
        <w:tc>
          <w:tcPr>
            <w:tcW w:w="6357" w:type="dxa"/>
            <w:vAlign w:val="center"/>
          </w:tcPr>
          <w:p>
            <w:pPr>
              <w:adjustRightInd w:val="0"/>
              <w:snapToGrid w:val="0"/>
              <w:rPr>
                <w:rFonts w:ascii="仿宋_GB2312" w:hAnsi="宋体" w:cs="仿宋_GB2312"/>
                <w:sz w:val="24"/>
              </w:rPr>
            </w:pPr>
            <w:r>
              <w:rPr>
                <w:rFonts w:hint="eastAsia" w:ascii="仿宋_GB2312" w:hAnsi="宋体" w:cs="仿宋_GB2312"/>
                <w:sz w:val="24"/>
              </w:rPr>
              <w:t>以增强人民获得感为根本出发点，充分利用传统媒体和新媒体平台，通过组织现场、论坛、展会、等形式，积极策划文字、视频宣传报道，广泛宣传装配式建筑相关知识和发展装配式建筑的经济社会效益，提高社会认知度，营造有利于装配式建筑发展的良好氛围，推进装配式建筑相关产业和市场发展</w:t>
            </w:r>
          </w:p>
        </w:tc>
        <w:tc>
          <w:tcPr>
            <w:tcW w:w="2835" w:type="dxa"/>
            <w:vAlign w:val="center"/>
          </w:tcPr>
          <w:p>
            <w:pPr>
              <w:adjustRightInd w:val="0"/>
              <w:snapToGrid w:val="0"/>
              <w:jc w:val="left"/>
              <w:rPr>
                <w:rFonts w:ascii="仿宋_GB2312" w:hAnsi="宋体" w:cs="仿宋_GB2312"/>
                <w:sz w:val="24"/>
              </w:rPr>
            </w:pPr>
            <w:r>
              <w:rPr>
                <w:rFonts w:hint="eastAsia" w:ascii="仿宋_GB2312" w:hAnsi="宋体" w:cs="仿宋_GB2312"/>
                <w:sz w:val="24"/>
              </w:rPr>
              <w:t>市住房城乡建设委</w:t>
            </w:r>
          </w:p>
          <w:p>
            <w:pPr>
              <w:adjustRightInd w:val="0"/>
              <w:snapToGrid w:val="0"/>
              <w:rPr>
                <w:rFonts w:ascii="仿宋_GB2312" w:hAnsi="宋体" w:cs="仿宋_GB2312"/>
                <w:sz w:val="24"/>
              </w:rPr>
            </w:pPr>
            <w:r>
              <w:rPr>
                <w:rFonts w:hint="eastAsia" w:ascii="仿宋_GB2312" w:hAnsi="宋体" w:cs="仿宋_GB2312"/>
                <w:sz w:val="24"/>
              </w:rPr>
              <w:t>各区政府</w:t>
            </w:r>
          </w:p>
          <w:p>
            <w:pPr>
              <w:adjustRightInd w:val="0"/>
              <w:snapToGrid w:val="0"/>
              <w:rPr>
                <w:rFonts w:ascii="仿宋_GB2312" w:hAnsi="宋体" w:cs="仿宋_GB2312"/>
                <w:sz w:val="24"/>
              </w:rPr>
            </w:pPr>
            <w:r>
              <w:rPr>
                <w:rFonts w:hint="eastAsia" w:ascii="仿宋_GB2312" w:hAnsi="宋体" w:cs="仿宋_GB2312"/>
                <w:sz w:val="24"/>
              </w:rPr>
              <w:t>联席会议各成员单位</w:t>
            </w:r>
          </w:p>
        </w:tc>
        <w:tc>
          <w:tcPr>
            <w:tcW w:w="2407" w:type="dxa"/>
            <w:vAlign w:val="center"/>
          </w:tcPr>
          <w:p>
            <w:pPr>
              <w:adjustRightInd w:val="0"/>
              <w:snapToGrid w:val="0"/>
              <w:rPr>
                <w:rFonts w:ascii="仿宋_GB2312" w:hAnsi="宋体" w:cs="仿宋_GB2312"/>
                <w:sz w:val="24"/>
              </w:rPr>
            </w:pPr>
            <w:r>
              <w:rPr>
                <w:rFonts w:hint="eastAsia" w:ascii="仿宋_GB2312" w:hAnsi="宋体" w:cs="仿宋_GB2312"/>
                <w:sz w:val="24"/>
              </w:rPr>
              <w:t>市委宣传部</w:t>
            </w:r>
          </w:p>
        </w:tc>
      </w:tr>
    </w:tbl>
    <w:p>
      <w:pPr>
        <w:spacing w:line="560" w:lineRule="exact"/>
        <w:rPr>
          <w:rFonts w:ascii="仿宋_GB2312"/>
          <w:szCs w:val="32"/>
        </w:rPr>
      </w:pPr>
    </w:p>
    <w:sectPr>
      <w:pgSz w:w="16838" w:h="11906" w:orient="landscape"/>
      <w:pgMar w:top="1588" w:right="1758" w:bottom="1474" w:left="1134" w:header="851" w:footer="992" w:gutter="0"/>
      <w:pgNumType w:fmt="numberInDash"/>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15 -</w:t>
    </w:r>
    <w:r>
      <w:rPr>
        <w:rFonts w:ascii="宋体" w:hAnsi="宋体" w:eastAsia="宋体"/>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16 -</w:t>
    </w:r>
    <w:r>
      <w:rPr>
        <w:rFonts w:ascii="宋体" w:hAnsi="宋体" w:eastAsia="宋体"/>
        <w:sz w:val="28"/>
        <w:szCs w:val="28"/>
      </w:rPr>
      <w:fldChar w:fldCharType="end"/>
    </w:r>
  </w:p>
  <w:p>
    <w:pPr>
      <w:pStyle w:val="5"/>
      <w:jc w:val="both"/>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E65227"/>
    <w:multiLevelType w:val="multilevel"/>
    <w:tmpl w:val="3AE65227"/>
    <w:lvl w:ilvl="0" w:tentative="0">
      <w:start w:val="1"/>
      <w:numFmt w:val="japaneseCounting"/>
      <w:lvlText w:val="%1、"/>
      <w:lvlJc w:val="left"/>
      <w:pPr>
        <w:ind w:left="1360" w:hanging="720"/>
      </w:pPr>
      <w:rPr>
        <w:rFonts w:hint="default"/>
        <w:lang w:val="en-US"/>
      </w:rPr>
    </w:lvl>
    <w:lvl w:ilvl="1" w:tentative="0">
      <w:start w:val="6"/>
      <w:numFmt w:val="japaneseCounting"/>
      <w:lvlText w:val="（%2）"/>
      <w:lvlJc w:val="left"/>
      <w:pPr>
        <w:ind w:left="2140" w:hanging="1080"/>
      </w:pPr>
      <w:rPr>
        <w:rFonts w:hint="default" w:ascii="楷体_GB2312" w:hAnsi="楷体" w:eastAsia="楷体_GB2312"/>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revisionView w:markup="0"/>
  <w:documentProtection w:enforcement="0"/>
  <w:defaultTabStop w:val="420"/>
  <w:evenAndOddHeaders w:val="true"/>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72.26.67.245:9898/jwoa/OfficeServer2015"/>
  </w:docVars>
  <w:rsids>
    <w:rsidRoot w:val="00661B63"/>
    <w:rsid w:val="00001138"/>
    <w:rsid w:val="0000164F"/>
    <w:rsid w:val="00001A93"/>
    <w:rsid w:val="00001DB6"/>
    <w:rsid w:val="00002195"/>
    <w:rsid w:val="0000509F"/>
    <w:rsid w:val="00005C7A"/>
    <w:rsid w:val="00005E54"/>
    <w:rsid w:val="00006FFB"/>
    <w:rsid w:val="000078CD"/>
    <w:rsid w:val="00011EE2"/>
    <w:rsid w:val="00012067"/>
    <w:rsid w:val="00012D1D"/>
    <w:rsid w:val="00013443"/>
    <w:rsid w:val="00014722"/>
    <w:rsid w:val="0001472E"/>
    <w:rsid w:val="00014D2A"/>
    <w:rsid w:val="00016834"/>
    <w:rsid w:val="00016D8F"/>
    <w:rsid w:val="00020BF3"/>
    <w:rsid w:val="00021AB0"/>
    <w:rsid w:val="000224A2"/>
    <w:rsid w:val="00023752"/>
    <w:rsid w:val="000241D4"/>
    <w:rsid w:val="00025493"/>
    <w:rsid w:val="000265A4"/>
    <w:rsid w:val="00027ECA"/>
    <w:rsid w:val="00031325"/>
    <w:rsid w:val="000318FF"/>
    <w:rsid w:val="00031D40"/>
    <w:rsid w:val="000335A1"/>
    <w:rsid w:val="00035061"/>
    <w:rsid w:val="000357C5"/>
    <w:rsid w:val="00035BB1"/>
    <w:rsid w:val="000366FB"/>
    <w:rsid w:val="000378A4"/>
    <w:rsid w:val="00040956"/>
    <w:rsid w:val="0004180E"/>
    <w:rsid w:val="000418FF"/>
    <w:rsid w:val="00042340"/>
    <w:rsid w:val="0004247C"/>
    <w:rsid w:val="0004533E"/>
    <w:rsid w:val="00045ED5"/>
    <w:rsid w:val="00047250"/>
    <w:rsid w:val="00047C2E"/>
    <w:rsid w:val="00050557"/>
    <w:rsid w:val="000516B0"/>
    <w:rsid w:val="000519E7"/>
    <w:rsid w:val="00051AA6"/>
    <w:rsid w:val="0005208F"/>
    <w:rsid w:val="000543B5"/>
    <w:rsid w:val="00057BB6"/>
    <w:rsid w:val="00057E7F"/>
    <w:rsid w:val="0006011D"/>
    <w:rsid w:val="00061209"/>
    <w:rsid w:val="0006121B"/>
    <w:rsid w:val="000613E5"/>
    <w:rsid w:val="000616CC"/>
    <w:rsid w:val="000623FF"/>
    <w:rsid w:val="00062D7D"/>
    <w:rsid w:val="00065130"/>
    <w:rsid w:val="0006590E"/>
    <w:rsid w:val="00071558"/>
    <w:rsid w:val="000739CA"/>
    <w:rsid w:val="00075F34"/>
    <w:rsid w:val="00076AA2"/>
    <w:rsid w:val="000804E1"/>
    <w:rsid w:val="000808BE"/>
    <w:rsid w:val="000812B9"/>
    <w:rsid w:val="0008174F"/>
    <w:rsid w:val="000834C0"/>
    <w:rsid w:val="00084D33"/>
    <w:rsid w:val="00085F50"/>
    <w:rsid w:val="00086189"/>
    <w:rsid w:val="00086A72"/>
    <w:rsid w:val="00086B13"/>
    <w:rsid w:val="00087155"/>
    <w:rsid w:val="00087C06"/>
    <w:rsid w:val="000901D6"/>
    <w:rsid w:val="00090CEB"/>
    <w:rsid w:val="0009141B"/>
    <w:rsid w:val="00091E16"/>
    <w:rsid w:val="00093A1E"/>
    <w:rsid w:val="000945B2"/>
    <w:rsid w:val="0009645B"/>
    <w:rsid w:val="000968D2"/>
    <w:rsid w:val="0009725F"/>
    <w:rsid w:val="00097CBD"/>
    <w:rsid w:val="000A3A48"/>
    <w:rsid w:val="000A7F9A"/>
    <w:rsid w:val="000B13EF"/>
    <w:rsid w:val="000B2C14"/>
    <w:rsid w:val="000B33D2"/>
    <w:rsid w:val="000B35F0"/>
    <w:rsid w:val="000B3BFF"/>
    <w:rsid w:val="000B4785"/>
    <w:rsid w:val="000B4BFC"/>
    <w:rsid w:val="000B57F1"/>
    <w:rsid w:val="000B6396"/>
    <w:rsid w:val="000B7AC2"/>
    <w:rsid w:val="000C0BFC"/>
    <w:rsid w:val="000C1313"/>
    <w:rsid w:val="000C39B8"/>
    <w:rsid w:val="000C6883"/>
    <w:rsid w:val="000D1A9D"/>
    <w:rsid w:val="000D2316"/>
    <w:rsid w:val="000D40B8"/>
    <w:rsid w:val="000D4F7C"/>
    <w:rsid w:val="000D7005"/>
    <w:rsid w:val="000E009C"/>
    <w:rsid w:val="000E05C5"/>
    <w:rsid w:val="000E0B0C"/>
    <w:rsid w:val="000E7312"/>
    <w:rsid w:val="000E75AF"/>
    <w:rsid w:val="000E7F8F"/>
    <w:rsid w:val="000F1D1F"/>
    <w:rsid w:val="000F39CC"/>
    <w:rsid w:val="000F5117"/>
    <w:rsid w:val="000F5E85"/>
    <w:rsid w:val="000F6DEC"/>
    <w:rsid w:val="000F7174"/>
    <w:rsid w:val="00103363"/>
    <w:rsid w:val="0010408D"/>
    <w:rsid w:val="00105342"/>
    <w:rsid w:val="00110A30"/>
    <w:rsid w:val="00111DD2"/>
    <w:rsid w:val="00112C1B"/>
    <w:rsid w:val="001132D8"/>
    <w:rsid w:val="00113C13"/>
    <w:rsid w:val="00114200"/>
    <w:rsid w:val="00114946"/>
    <w:rsid w:val="00114CE8"/>
    <w:rsid w:val="00114F3E"/>
    <w:rsid w:val="001151CE"/>
    <w:rsid w:val="001170E7"/>
    <w:rsid w:val="00122B92"/>
    <w:rsid w:val="0012368B"/>
    <w:rsid w:val="00123AC4"/>
    <w:rsid w:val="00124C10"/>
    <w:rsid w:val="001257D7"/>
    <w:rsid w:val="0012585F"/>
    <w:rsid w:val="00126A4B"/>
    <w:rsid w:val="0012762C"/>
    <w:rsid w:val="00130743"/>
    <w:rsid w:val="0013109C"/>
    <w:rsid w:val="001315D7"/>
    <w:rsid w:val="00132307"/>
    <w:rsid w:val="0013272C"/>
    <w:rsid w:val="001346E2"/>
    <w:rsid w:val="0013585E"/>
    <w:rsid w:val="00135C34"/>
    <w:rsid w:val="001401C4"/>
    <w:rsid w:val="00141D70"/>
    <w:rsid w:val="00143E60"/>
    <w:rsid w:val="00145329"/>
    <w:rsid w:val="001479BF"/>
    <w:rsid w:val="0015045D"/>
    <w:rsid w:val="00150BA7"/>
    <w:rsid w:val="00153826"/>
    <w:rsid w:val="00153F03"/>
    <w:rsid w:val="0015416C"/>
    <w:rsid w:val="00154557"/>
    <w:rsid w:val="00154BED"/>
    <w:rsid w:val="00154DFE"/>
    <w:rsid w:val="00155A1C"/>
    <w:rsid w:val="00156144"/>
    <w:rsid w:val="001562AB"/>
    <w:rsid w:val="00156838"/>
    <w:rsid w:val="001573AB"/>
    <w:rsid w:val="00157C5C"/>
    <w:rsid w:val="0016110E"/>
    <w:rsid w:val="0016230A"/>
    <w:rsid w:val="001624ED"/>
    <w:rsid w:val="0016333C"/>
    <w:rsid w:val="001638E8"/>
    <w:rsid w:val="001659BA"/>
    <w:rsid w:val="001661A0"/>
    <w:rsid w:val="001668BD"/>
    <w:rsid w:val="001708B8"/>
    <w:rsid w:val="00172E6A"/>
    <w:rsid w:val="00173FF8"/>
    <w:rsid w:val="00175012"/>
    <w:rsid w:val="00177085"/>
    <w:rsid w:val="00183847"/>
    <w:rsid w:val="00183A68"/>
    <w:rsid w:val="00183FB0"/>
    <w:rsid w:val="00186CE9"/>
    <w:rsid w:val="00191623"/>
    <w:rsid w:val="0019306A"/>
    <w:rsid w:val="00194245"/>
    <w:rsid w:val="00194720"/>
    <w:rsid w:val="001962F0"/>
    <w:rsid w:val="001968D2"/>
    <w:rsid w:val="00196FBC"/>
    <w:rsid w:val="001A0311"/>
    <w:rsid w:val="001A18BF"/>
    <w:rsid w:val="001A49C7"/>
    <w:rsid w:val="001A4ACC"/>
    <w:rsid w:val="001A652E"/>
    <w:rsid w:val="001B0D48"/>
    <w:rsid w:val="001B2EC5"/>
    <w:rsid w:val="001B31F6"/>
    <w:rsid w:val="001B4824"/>
    <w:rsid w:val="001B4DD2"/>
    <w:rsid w:val="001B5849"/>
    <w:rsid w:val="001B6591"/>
    <w:rsid w:val="001B7B5F"/>
    <w:rsid w:val="001C0534"/>
    <w:rsid w:val="001C140C"/>
    <w:rsid w:val="001C2116"/>
    <w:rsid w:val="001C3591"/>
    <w:rsid w:val="001C5909"/>
    <w:rsid w:val="001C6DA1"/>
    <w:rsid w:val="001D1F90"/>
    <w:rsid w:val="001D2497"/>
    <w:rsid w:val="001D3758"/>
    <w:rsid w:val="001D710F"/>
    <w:rsid w:val="001D7330"/>
    <w:rsid w:val="001D7FD0"/>
    <w:rsid w:val="001E0437"/>
    <w:rsid w:val="001E15E6"/>
    <w:rsid w:val="001E33DB"/>
    <w:rsid w:val="001E4A11"/>
    <w:rsid w:val="001E5349"/>
    <w:rsid w:val="001E5775"/>
    <w:rsid w:val="001E5AAD"/>
    <w:rsid w:val="001E75BB"/>
    <w:rsid w:val="001F036A"/>
    <w:rsid w:val="001F05C6"/>
    <w:rsid w:val="001F2182"/>
    <w:rsid w:val="001F29DC"/>
    <w:rsid w:val="001F2F62"/>
    <w:rsid w:val="001F31D6"/>
    <w:rsid w:val="001F344D"/>
    <w:rsid w:val="001F34F6"/>
    <w:rsid w:val="001F5AD7"/>
    <w:rsid w:val="001F66A9"/>
    <w:rsid w:val="001F6B62"/>
    <w:rsid w:val="001F727D"/>
    <w:rsid w:val="00200939"/>
    <w:rsid w:val="00201A6C"/>
    <w:rsid w:val="00202AD3"/>
    <w:rsid w:val="002030CE"/>
    <w:rsid w:val="00203339"/>
    <w:rsid w:val="002063BB"/>
    <w:rsid w:val="00206F0A"/>
    <w:rsid w:val="00210DDE"/>
    <w:rsid w:val="00212791"/>
    <w:rsid w:val="0021282E"/>
    <w:rsid w:val="00212CFF"/>
    <w:rsid w:val="0021308F"/>
    <w:rsid w:val="0021376A"/>
    <w:rsid w:val="0022105D"/>
    <w:rsid w:val="0022486C"/>
    <w:rsid w:val="0022706B"/>
    <w:rsid w:val="0022719A"/>
    <w:rsid w:val="00230888"/>
    <w:rsid w:val="00231742"/>
    <w:rsid w:val="0023444B"/>
    <w:rsid w:val="002355CA"/>
    <w:rsid w:val="00235A34"/>
    <w:rsid w:val="00237D38"/>
    <w:rsid w:val="00240705"/>
    <w:rsid w:val="002416D0"/>
    <w:rsid w:val="00242D6B"/>
    <w:rsid w:val="002441CE"/>
    <w:rsid w:val="002445BF"/>
    <w:rsid w:val="0024514A"/>
    <w:rsid w:val="002457EC"/>
    <w:rsid w:val="002502B9"/>
    <w:rsid w:val="00250EC2"/>
    <w:rsid w:val="00251F38"/>
    <w:rsid w:val="00251F8E"/>
    <w:rsid w:val="00252E5B"/>
    <w:rsid w:val="00254264"/>
    <w:rsid w:val="00254BBF"/>
    <w:rsid w:val="002559BD"/>
    <w:rsid w:val="002567BF"/>
    <w:rsid w:val="0025703A"/>
    <w:rsid w:val="0025742C"/>
    <w:rsid w:val="00262BF3"/>
    <w:rsid w:val="00263897"/>
    <w:rsid w:val="002643DE"/>
    <w:rsid w:val="0026549A"/>
    <w:rsid w:val="00265D1F"/>
    <w:rsid w:val="00266418"/>
    <w:rsid w:val="00266A3C"/>
    <w:rsid w:val="002674DD"/>
    <w:rsid w:val="00267D46"/>
    <w:rsid w:val="002710BC"/>
    <w:rsid w:val="002740A8"/>
    <w:rsid w:val="002749A1"/>
    <w:rsid w:val="00276590"/>
    <w:rsid w:val="00277B25"/>
    <w:rsid w:val="00277EC7"/>
    <w:rsid w:val="00280C34"/>
    <w:rsid w:val="00280E12"/>
    <w:rsid w:val="0028332D"/>
    <w:rsid w:val="00283389"/>
    <w:rsid w:val="00283BE2"/>
    <w:rsid w:val="002868E7"/>
    <w:rsid w:val="00286FB8"/>
    <w:rsid w:val="00287E9C"/>
    <w:rsid w:val="00290EEA"/>
    <w:rsid w:val="002913AA"/>
    <w:rsid w:val="00292554"/>
    <w:rsid w:val="00293A8D"/>
    <w:rsid w:val="0029433E"/>
    <w:rsid w:val="0029478E"/>
    <w:rsid w:val="002952D4"/>
    <w:rsid w:val="00295F2E"/>
    <w:rsid w:val="00296546"/>
    <w:rsid w:val="002A0D97"/>
    <w:rsid w:val="002A40E2"/>
    <w:rsid w:val="002A473B"/>
    <w:rsid w:val="002A4BB5"/>
    <w:rsid w:val="002A6B6E"/>
    <w:rsid w:val="002A6EC3"/>
    <w:rsid w:val="002A7A0D"/>
    <w:rsid w:val="002B1CEC"/>
    <w:rsid w:val="002B23C2"/>
    <w:rsid w:val="002C03C3"/>
    <w:rsid w:val="002C30A0"/>
    <w:rsid w:val="002C7510"/>
    <w:rsid w:val="002D00CC"/>
    <w:rsid w:val="002D1514"/>
    <w:rsid w:val="002D1C90"/>
    <w:rsid w:val="002D431B"/>
    <w:rsid w:val="002D43C0"/>
    <w:rsid w:val="002D6487"/>
    <w:rsid w:val="002D6EFB"/>
    <w:rsid w:val="002D77BD"/>
    <w:rsid w:val="002D7AFA"/>
    <w:rsid w:val="002E05B0"/>
    <w:rsid w:val="002E18FF"/>
    <w:rsid w:val="002E3FB7"/>
    <w:rsid w:val="002E60BF"/>
    <w:rsid w:val="002E64C1"/>
    <w:rsid w:val="002E6BDC"/>
    <w:rsid w:val="002E6C08"/>
    <w:rsid w:val="002E6F3A"/>
    <w:rsid w:val="002E7CF0"/>
    <w:rsid w:val="002E7DA2"/>
    <w:rsid w:val="002F19EF"/>
    <w:rsid w:val="002F1DC5"/>
    <w:rsid w:val="002F2868"/>
    <w:rsid w:val="002F2DF7"/>
    <w:rsid w:val="002F2FDE"/>
    <w:rsid w:val="002F45F0"/>
    <w:rsid w:val="002F4A09"/>
    <w:rsid w:val="002F5587"/>
    <w:rsid w:val="002F586D"/>
    <w:rsid w:val="002F5A4A"/>
    <w:rsid w:val="002F60FC"/>
    <w:rsid w:val="0030093A"/>
    <w:rsid w:val="00304053"/>
    <w:rsid w:val="00307E73"/>
    <w:rsid w:val="00311E5A"/>
    <w:rsid w:val="00314BEC"/>
    <w:rsid w:val="0031533D"/>
    <w:rsid w:val="0031539F"/>
    <w:rsid w:val="00316A74"/>
    <w:rsid w:val="003177EA"/>
    <w:rsid w:val="00320B36"/>
    <w:rsid w:val="00320DA8"/>
    <w:rsid w:val="00321EA5"/>
    <w:rsid w:val="00322081"/>
    <w:rsid w:val="003220BF"/>
    <w:rsid w:val="00322906"/>
    <w:rsid w:val="00324937"/>
    <w:rsid w:val="00324E7A"/>
    <w:rsid w:val="003325F1"/>
    <w:rsid w:val="00332E0E"/>
    <w:rsid w:val="00333F6E"/>
    <w:rsid w:val="00334501"/>
    <w:rsid w:val="003350B8"/>
    <w:rsid w:val="00335953"/>
    <w:rsid w:val="003368EA"/>
    <w:rsid w:val="00337366"/>
    <w:rsid w:val="00337E2B"/>
    <w:rsid w:val="00337EF3"/>
    <w:rsid w:val="00340268"/>
    <w:rsid w:val="00341368"/>
    <w:rsid w:val="00343388"/>
    <w:rsid w:val="003436C7"/>
    <w:rsid w:val="00343A5F"/>
    <w:rsid w:val="00345FF0"/>
    <w:rsid w:val="003473D0"/>
    <w:rsid w:val="003517F5"/>
    <w:rsid w:val="00351A32"/>
    <w:rsid w:val="00352E11"/>
    <w:rsid w:val="00353894"/>
    <w:rsid w:val="00355541"/>
    <w:rsid w:val="003604CA"/>
    <w:rsid w:val="00360FCD"/>
    <w:rsid w:val="00361273"/>
    <w:rsid w:val="0036300E"/>
    <w:rsid w:val="00364BD6"/>
    <w:rsid w:val="00365D76"/>
    <w:rsid w:val="00367054"/>
    <w:rsid w:val="0037062A"/>
    <w:rsid w:val="00370C27"/>
    <w:rsid w:val="00371648"/>
    <w:rsid w:val="00371BB3"/>
    <w:rsid w:val="0037458D"/>
    <w:rsid w:val="00374F59"/>
    <w:rsid w:val="00376A68"/>
    <w:rsid w:val="00376F5D"/>
    <w:rsid w:val="00377087"/>
    <w:rsid w:val="003771E6"/>
    <w:rsid w:val="00377439"/>
    <w:rsid w:val="00380034"/>
    <w:rsid w:val="003800DF"/>
    <w:rsid w:val="003821A8"/>
    <w:rsid w:val="003821AF"/>
    <w:rsid w:val="00384E65"/>
    <w:rsid w:val="00385FF6"/>
    <w:rsid w:val="003862BD"/>
    <w:rsid w:val="00392C5B"/>
    <w:rsid w:val="00392F3C"/>
    <w:rsid w:val="00393E0C"/>
    <w:rsid w:val="003957DE"/>
    <w:rsid w:val="00396BDC"/>
    <w:rsid w:val="00397C30"/>
    <w:rsid w:val="00397CAC"/>
    <w:rsid w:val="003A03DF"/>
    <w:rsid w:val="003A247D"/>
    <w:rsid w:val="003A2F6D"/>
    <w:rsid w:val="003A41E2"/>
    <w:rsid w:val="003A4EF6"/>
    <w:rsid w:val="003A5F40"/>
    <w:rsid w:val="003A688E"/>
    <w:rsid w:val="003A70FC"/>
    <w:rsid w:val="003B15E5"/>
    <w:rsid w:val="003B1A2D"/>
    <w:rsid w:val="003B1CA3"/>
    <w:rsid w:val="003B281E"/>
    <w:rsid w:val="003B2DAB"/>
    <w:rsid w:val="003B2FBC"/>
    <w:rsid w:val="003B3DDE"/>
    <w:rsid w:val="003B6A65"/>
    <w:rsid w:val="003B77F3"/>
    <w:rsid w:val="003C01A2"/>
    <w:rsid w:val="003C0210"/>
    <w:rsid w:val="003C08A4"/>
    <w:rsid w:val="003C2FA5"/>
    <w:rsid w:val="003C33F6"/>
    <w:rsid w:val="003C3564"/>
    <w:rsid w:val="003C524C"/>
    <w:rsid w:val="003C59ED"/>
    <w:rsid w:val="003D0E33"/>
    <w:rsid w:val="003D0F7B"/>
    <w:rsid w:val="003D4F60"/>
    <w:rsid w:val="003E07BB"/>
    <w:rsid w:val="003E1988"/>
    <w:rsid w:val="003E226E"/>
    <w:rsid w:val="003E30EF"/>
    <w:rsid w:val="003E3C82"/>
    <w:rsid w:val="003E4928"/>
    <w:rsid w:val="003F1512"/>
    <w:rsid w:val="003F25E2"/>
    <w:rsid w:val="003F344B"/>
    <w:rsid w:val="003F3810"/>
    <w:rsid w:val="003F4B61"/>
    <w:rsid w:val="003F503D"/>
    <w:rsid w:val="003F64BD"/>
    <w:rsid w:val="004009B9"/>
    <w:rsid w:val="00400DA3"/>
    <w:rsid w:val="004017E1"/>
    <w:rsid w:val="00402782"/>
    <w:rsid w:val="00402950"/>
    <w:rsid w:val="00402A8A"/>
    <w:rsid w:val="00403D1B"/>
    <w:rsid w:val="00404C9A"/>
    <w:rsid w:val="00404D83"/>
    <w:rsid w:val="00412B67"/>
    <w:rsid w:val="00413366"/>
    <w:rsid w:val="00415FC2"/>
    <w:rsid w:val="00421537"/>
    <w:rsid w:val="00422327"/>
    <w:rsid w:val="0042237D"/>
    <w:rsid w:val="00423F15"/>
    <w:rsid w:val="00424909"/>
    <w:rsid w:val="004251D5"/>
    <w:rsid w:val="004253D9"/>
    <w:rsid w:val="00425D3D"/>
    <w:rsid w:val="0042600F"/>
    <w:rsid w:val="004260D6"/>
    <w:rsid w:val="00431D2C"/>
    <w:rsid w:val="004373F4"/>
    <w:rsid w:val="0043780E"/>
    <w:rsid w:val="00441BBD"/>
    <w:rsid w:val="00444289"/>
    <w:rsid w:val="00444CD4"/>
    <w:rsid w:val="00445EDF"/>
    <w:rsid w:val="0045123C"/>
    <w:rsid w:val="0045124E"/>
    <w:rsid w:val="00452D81"/>
    <w:rsid w:val="00452E13"/>
    <w:rsid w:val="00453385"/>
    <w:rsid w:val="00453ABF"/>
    <w:rsid w:val="00453B07"/>
    <w:rsid w:val="00454152"/>
    <w:rsid w:val="00455A1C"/>
    <w:rsid w:val="00460D28"/>
    <w:rsid w:val="0046143F"/>
    <w:rsid w:val="00462086"/>
    <w:rsid w:val="00462F4B"/>
    <w:rsid w:val="00463B67"/>
    <w:rsid w:val="004667C0"/>
    <w:rsid w:val="00471388"/>
    <w:rsid w:val="0047236C"/>
    <w:rsid w:val="00473265"/>
    <w:rsid w:val="004755B5"/>
    <w:rsid w:val="004776EE"/>
    <w:rsid w:val="004823D6"/>
    <w:rsid w:val="00482776"/>
    <w:rsid w:val="00482EBB"/>
    <w:rsid w:val="00483F6B"/>
    <w:rsid w:val="00484797"/>
    <w:rsid w:val="004871FF"/>
    <w:rsid w:val="004874AE"/>
    <w:rsid w:val="004874C5"/>
    <w:rsid w:val="00487B84"/>
    <w:rsid w:val="0049111D"/>
    <w:rsid w:val="004929A4"/>
    <w:rsid w:val="00492EC8"/>
    <w:rsid w:val="00494948"/>
    <w:rsid w:val="00496F31"/>
    <w:rsid w:val="00497269"/>
    <w:rsid w:val="004A05CD"/>
    <w:rsid w:val="004A12FD"/>
    <w:rsid w:val="004A1B8C"/>
    <w:rsid w:val="004A40B2"/>
    <w:rsid w:val="004A4FA3"/>
    <w:rsid w:val="004A5DA5"/>
    <w:rsid w:val="004A5ED1"/>
    <w:rsid w:val="004A7A98"/>
    <w:rsid w:val="004A7D5A"/>
    <w:rsid w:val="004B606D"/>
    <w:rsid w:val="004C0531"/>
    <w:rsid w:val="004C0C40"/>
    <w:rsid w:val="004C13A9"/>
    <w:rsid w:val="004C1AEF"/>
    <w:rsid w:val="004C1B0D"/>
    <w:rsid w:val="004C5A0B"/>
    <w:rsid w:val="004C60F1"/>
    <w:rsid w:val="004C660A"/>
    <w:rsid w:val="004C7CB2"/>
    <w:rsid w:val="004D0792"/>
    <w:rsid w:val="004D1F50"/>
    <w:rsid w:val="004D5BE8"/>
    <w:rsid w:val="004D6DF3"/>
    <w:rsid w:val="004E0A00"/>
    <w:rsid w:val="004E2D21"/>
    <w:rsid w:val="004E31EF"/>
    <w:rsid w:val="004E38D7"/>
    <w:rsid w:val="004E42F4"/>
    <w:rsid w:val="004E51D4"/>
    <w:rsid w:val="004E5FA0"/>
    <w:rsid w:val="004E6C39"/>
    <w:rsid w:val="004F3393"/>
    <w:rsid w:val="004F4070"/>
    <w:rsid w:val="004F61D8"/>
    <w:rsid w:val="004F6A50"/>
    <w:rsid w:val="00500ECF"/>
    <w:rsid w:val="005027AF"/>
    <w:rsid w:val="00502E88"/>
    <w:rsid w:val="00503E17"/>
    <w:rsid w:val="00504599"/>
    <w:rsid w:val="005049AF"/>
    <w:rsid w:val="00505540"/>
    <w:rsid w:val="0050592D"/>
    <w:rsid w:val="00505FED"/>
    <w:rsid w:val="0051022E"/>
    <w:rsid w:val="00512331"/>
    <w:rsid w:val="00513380"/>
    <w:rsid w:val="00513C1C"/>
    <w:rsid w:val="005140A1"/>
    <w:rsid w:val="005145C9"/>
    <w:rsid w:val="00516585"/>
    <w:rsid w:val="00516C15"/>
    <w:rsid w:val="00520F97"/>
    <w:rsid w:val="00521EDF"/>
    <w:rsid w:val="005230A5"/>
    <w:rsid w:val="00526735"/>
    <w:rsid w:val="00527B31"/>
    <w:rsid w:val="005303BC"/>
    <w:rsid w:val="00530FA9"/>
    <w:rsid w:val="005338FE"/>
    <w:rsid w:val="005364FB"/>
    <w:rsid w:val="00536E5C"/>
    <w:rsid w:val="00537D43"/>
    <w:rsid w:val="005402C5"/>
    <w:rsid w:val="005414F5"/>
    <w:rsid w:val="0054587E"/>
    <w:rsid w:val="00545B74"/>
    <w:rsid w:val="00545C58"/>
    <w:rsid w:val="005463AA"/>
    <w:rsid w:val="00547416"/>
    <w:rsid w:val="0055009E"/>
    <w:rsid w:val="00550D5E"/>
    <w:rsid w:val="0055151C"/>
    <w:rsid w:val="0055253D"/>
    <w:rsid w:val="00552667"/>
    <w:rsid w:val="00553800"/>
    <w:rsid w:val="00555E4F"/>
    <w:rsid w:val="00556362"/>
    <w:rsid w:val="005563CE"/>
    <w:rsid w:val="00556560"/>
    <w:rsid w:val="005566EC"/>
    <w:rsid w:val="0056321A"/>
    <w:rsid w:val="00565C90"/>
    <w:rsid w:val="00566EBF"/>
    <w:rsid w:val="00570747"/>
    <w:rsid w:val="005717C8"/>
    <w:rsid w:val="005722D0"/>
    <w:rsid w:val="00572653"/>
    <w:rsid w:val="00573E00"/>
    <w:rsid w:val="00576562"/>
    <w:rsid w:val="005766BA"/>
    <w:rsid w:val="00580414"/>
    <w:rsid w:val="005804FB"/>
    <w:rsid w:val="00581311"/>
    <w:rsid w:val="00581EA6"/>
    <w:rsid w:val="00581F1E"/>
    <w:rsid w:val="00583488"/>
    <w:rsid w:val="00583ADE"/>
    <w:rsid w:val="00584824"/>
    <w:rsid w:val="0058583A"/>
    <w:rsid w:val="00585C04"/>
    <w:rsid w:val="00586CD8"/>
    <w:rsid w:val="00587E85"/>
    <w:rsid w:val="005937A1"/>
    <w:rsid w:val="00594AF0"/>
    <w:rsid w:val="00596030"/>
    <w:rsid w:val="005A0A5D"/>
    <w:rsid w:val="005A241E"/>
    <w:rsid w:val="005A6E48"/>
    <w:rsid w:val="005B2779"/>
    <w:rsid w:val="005B2EB5"/>
    <w:rsid w:val="005B3FFC"/>
    <w:rsid w:val="005B401D"/>
    <w:rsid w:val="005B5EB4"/>
    <w:rsid w:val="005B762A"/>
    <w:rsid w:val="005C15B9"/>
    <w:rsid w:val="005C34FC"/>
    <w:rsid w:val="005C3FBC"/>
    <w:rsid w:val="005C6A99"/>
    <w:rsid w:val="005C7BB4"/>
    <w:rsid w:val="005C7D6E"/>
    <w:rsid w:val="005D3196"/>
    <w:rsid w:val="005D6D6F"/>
    <w:rsid w:val="005D79CD"/>
    <w:rsid w:val="005E32F4"/>
    <w:rsid w:val="005E3DAC"/>
    <w:rsid w:val="005E4B6E"/>
    <w:rsid w:val="005E4C4B"/>
    <w:rsid w:val="005E536B"/>
    <w:rsid w:val="005E541F"/>
    <w:rsid w:val="005E6503"/>
    <w:rsid w:val="005E7B5B"/>
    <w:rsid w:val="005F02BB"/>
    <w:rsid w:val="005F0CAB"/>
    <w:rsid w:val="005F1707"/>
    <w:rsid w:val="005F30D4"/>
    <w:rsid w:val="005F4F24"/>
    <w:rsid w:val="005F5B06"/>
    <w:rsid w:val="00600731"/>
    <w:rsid w:val="006045A3"/>
    <w:rsid w:val="00604EDA"/>
    <w:rsid w:val="006050D0"/>
    <w:rsid w:val="0060511F"/>
    <w:rsid w:val="00606A72"/>
    <w:rsid w:val="00610BAF"/>
    <w:rsid w:val="00611C30"/>
    <w:rsid w:val="00613313"/>
    <w:rsid w:val="00613B01"/>
    <w:rsid w:val="00614914"/>
    <w:rsid w:val="00615E15"/>
    <w:rsid w:val="00616BBC"/>
    <w:rsid w:val="00617911"/>
    <w:rsid w:val="00620BB2"/>
    <w:rsid w:val="006228B3"/>
    <w:rsid w:val="00624554"/>
    <w:rsid w:val="0062543E"/>
    <w:rsid w:val="006260F6"/>
    <w:rsid w:val="00626FCD"/>
    <w:rsid w:val="006311B7"/>
    <w:rsid w:val="00631440"/>
    <w:rsid w:val="00632E79"/>
    <w:rsid w:val="00633E74"/>
    <w:rsid w:val="00634A9E"/>
    <w:rsid w:val="0063510D"/>
    <w:rsid w:val="00635EF0"/>
    <w:rsid w:val="00636A3F"/>
    <w:rsid w:val="0064054F"/>
    <w:rsid w:val="006415B5"/>
    <w:rsid w:val="006424B3"/>
    <w:rsid w:val="00642F8F"/>
    <w:rsid w:val="006439B1"/>
    <w:rsid w:val="00644224"/>
    <w:rsid w:val="00646B1E"/>
    <w:rsid w:val="00647FF6"/>
    <w:rsid w:val="00654A72"/>
    <w:rsid w:val="006558A1"/>
    <w:rsid w:val="0065671D"/>
    <w:rsid w:val="00661022"/>
    <w:rsid w:val="006615E1"/>
    <w:rsid w:val="00661B63"/>
    <w:rsid w:val="006637E2"/>
    <w:rsid w:val="00665995"/>
    <w:rsid w:val="0066634D"/>
    <w:rsid w:val="00667193"/>
    <w:rsid w:val="00667680"/>
    <w:rsid w:val="00667935"/>
    <w:rsid w:val="00672CAA"/>
    <w:rsid w:val="00672D72"/>
    <w:rsid w:val="00675A24"/>
    <w:rsid w:val="0067770D"/>
    <w:rsid w:val="00680E0F"/>
    <w:rsid w:val="00680FCA"/>
    <w:rsid w:val="006823FE"/>
    <w:rsid w:val="006837D4"/>
    <w:rsid w:val="00685A61"/>
    <w:rsid w:val="00686FDF"/>
    <w:rsid w:val="006876C7"/>
    <w:rsid w:val="00690E7E"/>
    <w:rsid w:val="00697CF4"/>
    <w:rsid w:val="006A0525"/>
    <w:rsid w:val="006A1332"/>
    <w:rsid w:val="006A1623"/>
    <w:rsid w:val="006A2B4F"/>
    <w:rsid w:val="006A4CC0"/>
    <w:rsid w:val="006A5492"/>
    <w:rsid w:val="006B085F"/>
    <w:rsid w:val="006B192F"/>
    <w:rsid w:val="006B2824"/>
    <w:rsid w:val="006B380A"/>
    <w:rsid w:val="006B63EE"/>
    <w:rsid w:val="006B74C3"/>
    <w:rsid w:val="006B7CFD"/>
    <w:rsid w:val="006C0987"/>
    <w:rsid w:val="006C0F59"/>
    <w:rsid w:val="006C146E"/>
    <w:rsid w:val="006C1B21"/>
    <w:rsid w:val="006C2227"/>
    <w:rsid w:val="006C412D"/>
    <w:rsid w:val="006C4AAF"/>
    <w:rsid w:val="006D0581"/>
    <w:rsid w:val="006D11CB"/>
    <w:rsid w:val="006D1334"/>
    <w:rsid w:val="006D1FEC"/>
    <w:rsid w:val="006D22B3"/>
    <w:rsid w:val="006D3631"/>
    <w:rsid w:val="006D4A65"/>
    <w:rsid w:val="006D5FFA"/>
    <w:rsid w:val="006D72EE"/>
    <w:rsid w:val="006E095D"/>
    <w:rsid w:val="006E240B"/>
    <w:rsid w:val="006E3ABA"/>
    <w:rsid w:val="006E4A89"/>
    <w:rsid w:val="006F0647"/>
    <w:rsid w:val="006F06C9"/>
    <w:rsid w:val="006F0B6A"/>
    <w:rsid w:val="006F1879"/>
    <w:rsid w:val="006F2553"/>
    <w:rsid w:val="006F2596"/>
    <w:rsid w:val="006F28C9"/>
    <w:rsid w:val="006F30DB"/>
    <w:rsid w:val="006F4316"/>
    <w:rsid w:val="006F48ED"/>
    <w:rsid w:val="006F65D4"/>
    <w:rsid w:val="00701639"/>
    <w:rsid w:val="00703F8B"/>
    <w:rsid w:val="00706BA6"/>
    <w:rsid w:val="00707366"/>
    <w:rsid w:val="0070789C"/>
    <w:rsid w:val="00707F06"/>
    <w:rsid w:val="0071074B"/>
    <w:rsid w:val="00710937"/>
    <w:rsid w:val="0071118C"/>
    <w:rsid w:val="00714B6A"/>
    <w:rsid w:val="00714E14"/>
    <w:rsid w:val="00716EAE"/>
    <w:rsid w:val="00717481"/>
    <w:rsid w:val="00717DFC"/>
    <w:rsid w:val="007204AA"/>
    <w:rsid w:val="0072121F"/>
    <w:rsid w:val="0072350A"/>
    <w:rsid w:val="0072361B"/>
    <w:rsid w:val="00723B4B"/>
    <w:rsid w:val="007242BC"/>
    <w:rsid w:val="00724418"/>
    <w:rsid w:val="00730AA0"/>
    <w:rsid w:val="007310B0"/>
    <w:rsid w:val="0073431C"/>
    <w:rsid w:val="0073475E"/>
    <w:rsid w:val="00734C08"/>
    <w:rsid w:val="0073525E"/>
    <w:rsid w:val="00737138"/>
    <w:rsid w:val="0074002D"/>
    <w:rsid w:val="00740E39"/>
    <w:rsid w:val="00741EED"/>
    <w:rsid w:val="0074214E"/>
    <w:rsid w:val="00743E35"/>
    <w:rsid w:val="007461CD"/>
    <w:rsid w:val="00746907"/>
    <w:rsid w:val="00750740"/>
    <w:rsid w:val="007545FC"/>
    <w:rsid w:val="00754C64"/>
    <w:rsid w:val="00754E2B"/>
    <w:rsid w:val="00756C67"/>
    <w:rsid w:val="00756EB4"/>
    <w:rsid w:val="00757AE8"/>
    <w:rsid w:val="00757DBE"/>
    <w:rsid w:val="00760F98"/>
    <w:rsid w:val="0076330D"/>
    <w:rsid w:val="007642C3"/>
    <w:rsid w:val="00764FD8"/>
    <w:rsid w:val="00765095"/>
    <w:rsid w:val="00771C75"/>
    <w:rsid w:val="00773181"/>
    <w:rsid w:val="00774DDD"/>
    <w:rsid w:val="007753A3"/>
    <w:rsid w:val="00775CBE"/>
    <w:rsid w:val="00776792"/>
    <w:rsid w:val="00776D79"/>
    <w:rsid w:val="007770BF"/>
    <w:rsid w:val="007814B6"/>
    <w:rsid w:val="007824F6"/>
    <w:rsid w:val="00783C13"/>
    <w:rsid w:val="00784234"/>
    <w:rsid w:val="007846FC"/>
    <w:rsid w:val="0078486A"/>
    <w:rsid w:val="00785065"/>
    <w:rsid w:val="007851E4"/>
    <w:rsid w:val="00785D99"/>
    <w:rsid w:val="007862FF"/>
    <w:rsid w:val="0079018F"/>
    <w:rsid w:val="00792897"/>
    <w:rsid w:val="007943EF"/>
    <w:rsid w:val="007946FC"/>
    <w:rsid w:val="00794CD7"/>
    <w:rsid w:val="0079660C"/>
    <w:rsid w:val="007968CC"/>
    <w:rsid w:val="007979FC"/>
    <w:rsid w:val="007A05E5"/>
    <w:rsid w:val="007A0E5E"/>
    <w:rsid w:val="007A1AF8"/>
    <w:rsid w:val="007A27B9"/>
    <w:rsid w:val="007A2B9B"/>
    <w:rsid w:val="007A405B"/>
    <w:rsid w:val="007A44FF"/>
    <w:rsid w:val="007A5FC0"/>
    <w:rsid w:val="007B1AAA"/>
    <w:rsid w:val="007B2E53"/>
    <w:rsid w:val="007B304A"/>
    <w:rsid w:val="007B4584"/>
    <w:rsid w:val="007B5107"/>
    <w:rsid w:val="007B55DC"/>
    <w:rsid w:val="007B673F"/>
    <w:rsid w:val="007B6DCB"/>
    <w:rsid w:val="007B722E"/>
    <w:rsid w:val="007B759F"/>
    <w:rsid w:val="007B7BCB"/>
    <w:rsid w:val="007B7DAF"/>
    <w:rsid w:val="007C18FA"/>
    <w:rsid w:val="007C1E41"/>
    <w:rsid w:val="007C1F72"/>
    <w:rsid w:val="007C2958"/>
    <w:rsid w:val="007C2EF5"/>
    <w:rsid w:val="007C5161"/>
    <w:rsid w:val="007C5644"/>
    <w:rsid w:val="007D2C94"/>
    <w:rsid w:val="007D3EF3"/>
    <w:rsid w:val="007D5C2E"/>
    <w:rsid w:val="007D702C"/>
    <w:rsid w:val="007D70BA"/>
    <w:rsid w:val="007D7F8D"/>
    <w:rsid w:val="007E0556"/>
    <w:rsid w:val="007E06EA"/>
    <w:rsid w:val="007E0D4F"/>
    <w:rsid w:val="007E17DD"/>
    <w:rsid w:val="007E26B8"/>
    <w:rsid w:val="007E359B"/>
    <w:rsid w:val="007E386E"/>
    <w:rsid w:val="007E395D"/>
    <w:rsid w:val="007E535C"/>
    <w:rsid w:val="007E663E"/>
    <w:rsid w:val="007E6D60"/>
    <w:rsid w:val="007E73F1"/>
    <w:rsid w:val="007F019D"/>
    <w:rsid w:val="007F01A1"/>
    <w:rsid w:val="007F02E5"/>
    <w:rsid w:val="007F052F"/>
    <w:rsid w:val="007F1BF1"/>
    <w:rsid w:val="007F3047"/>
    <w:rsid w:val="007F3D8B"/>
    <w:rsid w:val="007F3F27"/>
    <w:rsid w:val="007F6499"/>
    <w:rsid w:val="008033DE"/>
    <w:rsid w:val="00805142"/>
    <w:rsid w:val="0080698D"/>
    <w:rsid w:val="0081135D"/>
    <w:rsid w:val="00811CB4"/>
    <w:rsid w:val="00815FFB"/>
    <w:rsid w:val="00816505"/>
    <w:rsid w:val="00817593"/>
    <w:rsid w:val="008179DF"/>
    <w:rsid w:val="008202C9"/>
    <w:rsid w:val="00821D9B"/>
    <w:rsid w:val="00822B90"/>
    <w:rsid w:val="0082533F"/>
    <w:rsid w:val="0083148A"/>
    <w:rsid w:val="00831D95"/>
    <w:rsid w:val="008324A1"/>
    <w:rsid w:val="00832F89"/>
    <w:rsid w:val="0083492B"/>
    <w:rsid w:val="008353F3"/>
    <w:rsid w:val="00837471"/>
    <w:rsid w:val="00837E3A"/>
    <w:rsid w:val="00841170"/>
    <w:rsid w:val="00842E9B"/>
    <w:rsid w:val="0084326D"/>
    <w:rsid w:val="008436C4"/>
    <w:rsid w:val="0084400C"/>
    <w:rsid w:val="00844919"/>
    <w:rsid w:val="008449BF"/>
    <w:rsid w:val="0085280B"/>
    <w:rsid w:val="008541A2"/>
    <w:rsid w:val="008546A2"/>
    <w:rsid w:val="0085688B"/>
    <w:rsid w:val="00856D89"/>
    <w:rsid w:val="00860128"/>
    <w:rsid w:val="0086015C"/>
    <w:rsid w:val="00860B1A"/>
    <w:rsid w:val="00861B41"/>
    <w:rsid w:val="00861F7E"/>
    <w:rsid w:val="008629A0"/>
    <w:rsid w:val="008629D2"/>
    <w:rsid w:val="00862FC1"/>
    <w:rsid w:val="008646DF"/>
    <w:rsid w:val="00865CD7"/>
    <w:rsid w:val="0086746A"/>
    <w:rsid w:val="008706A7"/>
    <w:rsid w:val="008721FD"/>
    <w:rsid w:val="00872ED0"/>
    <w:rsid w:val="00874746"/>
    <w:rsid w:val="00874CE7"/>
    <w:rsid w:val="00875371"/>
    <w:rsid w:val="00875FC9"/>
    <w:rsid w:val="00876518"/>
    <w:rsid w:val="0087685D"/>
    <w:rsid w:val="0087764E"/>
    <w:rsid w:val="00877BE0"/>
    <w:rsid w:val="00881838"/>
    <w:rsid w:val="00882910"/>
    <w:rsid w:val="008843CB"/>
    <w:rsid w:val="00886A81"/>
    <w:rsid w:val="00887DFE"/>
    <w:rsid w:val="008902E7"/>
    <w:rsid w:val="0089093F"/>
    <w:rsid w:val="00894AE9"/>
    <w:rsid w:val="00895DBC"/>
    <w:rsid w:val="00896301"/>
    <w:rsid w:val="00896699"/>
    <w:rsid w:val="008967D2"/>
    <w:rsid w:val="00896BE4"/>
    <w:rsid w:val="00896F31"/>
    <w:rsid w:val="00897DD3"/>
    <w:rsid w:val="008A0C83"/>
    <w:rsid w:val="008A1370"/>
    <w:rsid w:val="008A1B32"/>
    <w:rsid w:val="008A3825"/>
    <w:rsid w:val="008A5DBF"/>
    <w:rsid w:val="008B11DF"/>
    <w:rsid w:val="008B1544"/>
    <w:rsid w:val="008B1F43"/>
    <w:rsid w:val="008B2600"/>
    <w:rsid w:val="008B37A5"/>
    <w:rsid w:val="008B38AB"/>
    <w:rsid w:val="008B3F6A"/>
    <w:rsid w:val="008B524A"/>
    <w:rsid w:val="008B63C9"/>
    <w:rsid w:val="008B76E7"/>
    <w:rsid w:val="008C0A0C"/>
    <w:rsid w:val="008C1601"/>
    <w:rsid w:val="008C227D"/>
    <w:rsid w:val="008C30B2"/>
    <w:rsid w:val="008C4D82"/>
    <w:rsid w:val="008C5BCA"/>
    <w:rsid w:val="008C6B11"/>
    <w:rsid w:val="008C734A"/>
    <w:rsid w:val="008D060A"/>
    <w:rsid w:val="008D2F56"/>
    <w:rsid w:val="008D41B6"/>
    <w:rsid w:val="008D5852"/>
    <w:rsid w:val="008D696B"/>
    <w:rsid w:val="008D6A8F"/>
    <w:rsid w:val="008E0554"/>
    <w:rsid w:val="008E1C62"/>
    <w:rsid w:val="008E20D0"/>
    <w:rsid w:val="008E240D"/>
    <w:rsid w:val="008E2AA9"/>
    <w:rsid w:val="008E3074"/>
    <w:rsid w:val="008E3C78"/>
    <w:rsid w:val="008E43F0"/>
    <w:rsid w:val="008E55A0"/>
    <w:rsid w:val="008E5ACA"/>
    <w:rsid w:val="008E6488"/>
    <w:rsid w:val="008E68EB"/>
    <w:rsid w:val="008E6DED"/>
    <w:rsid w:val="008F1A42"/>
    <w:rsid w:val="008F1AC9"/>
    <w:rsid w:val="008F1DB4"/>
    <w:rsid w:val="008F38FB"/>
    <w:rsid w:val="008F5370"/>
    <w:rsid w:val="008F6A38"/>
    <w:rsid w:val="008F6A99"/>
    <w:rsid w:val="008F7185"/>
    <w:rsid w:val="008F7701"/>
    <w:rsid w:val="008F7BC9"/>
    <w:rsid w:val="00900333"/>
    <w:rsid w:val="00900741"/>
    <w:rsid w:val="009008B4"/>
    <w:rsid w:val="009017EA"/>
    <w:rsid w:val="009035CF"/>
    <w:rsid w:val="009044ED"/>
    <w:rsid w:val="009059AC"/>
    <w:rsid w:val="00906773"/>
    <w:rsid w:val="00906D63"/>
    <w:rsid w:val="0091004B"/>
    <w:rsid w:val="00914708"/>
    <w:rsid w:val="00914869"/>
    <w:rsid w:val="00914898"/>
    <w:rsid w:val="00914C29"/>
    <w:rsid w:val="009154AD"/>
    <w:rsid w:val="00916129"/>
    <w:rsid w:val="00916B38"/>
    <w:rsid w:val="00916B63"/>
    <w:rsid w:val="00917198"/>
    <w:rsid w:val="00917EA7"/>
    <w:rsid w:val="00924E1E"/>
    <w:rsid w:val="00927C2E"/>
    <w:rsid w:val="00930913"/>
    <w:rsid w:val="00932BF1"/>
    <w:rsid w:val="00934B36"/>
    <w:rsid w:val="0093508E"/>
    <w:rsid w:val="00935E63"/>
    <w:rsid w:val="00937148"/>
    <w:rsid w:val="00940F7F"/>
    <w:rsid w:val="00941490"/>
    <w:rsid w:val="00941CF5"/>
    <w:rsid w:val="009434EA"/>
    <w:rsid w:val="00944537"/>
    <w:rsid w:val="00946CD2"/>
    <w:rsid w:val="00947A20"/>
    <w:rsid w:val="0095094B"/>
    <w:rsid w:val="009509BB"/>
    <w:rsid w:val="00951AE4"/>
    <w:rsid w:val="009531F8"/>
    <w:rsid w:val="00957B69"/>
    <w:rsid w:val="00957DF9"/>
    <w:rsid w:val="00960617"/>
    <w:rsid w:val="00962396"/>
    <w:rsid w:val="009639A8"/>
    <w:rsid w:val="00963E76"/>
    <w:rsid w:val="0096423F"/>
    <w:rsid w:val="00971D68"/>
    <w:rsid w:val="00972395"/>
    <w:rsid w:val="00972999"/>
    <w:rsid w:val="009734FC"/>
    <w:rsid w:val="00974536"/>
    <w:rsid w:val="009764C4"/>
    <w:rsid w:val="0097765A"/>
    <w:rsid w:val="00980211"/>
    <w:rsid w:val="00980D3C"/>
    <w:rsid w:val="00981862"/>
    <w:rsid w:val="00981AA2"/>
    <w:rsid w:val="009836CF"/>
    <w:rsid w:val="0098548D"/>
    <w:rsid w:val="00985BE5"/>
    <w:rsid w:val="00987EA2"/>
    <w:rsid w:val="00991304"/>
    <w:rsid w:val="00991D60"/>
    <w:rsid w:val="00996BAD"/>
    <w:rsid w:val="009A04DE"/>
    <w:rsid w:val="009A09C2"/>
    <w:rsid w:val="009A19EF"/>
    <w:rsid w:val="009A2676"/>
    <w:rsid w:val="009A376B"/>
    <w:rsid w:val="009A4112"/>
    <w:rsid w:val="009A4CFA"/>
    <w:rsid w:val="009A50C1"/>
    <w:rsid w:val="009A545B"/>
    <w:rsid w:val="009A60BB"/>
    <w:rsid w:val="009A63B9"/>
    <w:rsid w:val="009A68E7"/>
    <w:rsid w:val="009B07F1"/>
    <w:rsid w:val="009B19A4"/>
    <w:rsid w:val="009B2191"/>
    <w:rsid w:val="009B4153"/>
    <w:rsid w:val="009B5192"/>
    <w:rsid w:val="009B6711"/>
    <w:rsid w:val="009C0F6E"/>
    <w:rsid w:val="009C1092"/>
    <w:rsid w:val="009C374A"/>
    <w:rsid w:val="009C445E"/>
    <w:rsid w:val="009C5C27"/>
    <w:rsid w:val="009D67ED"/>
    <w:rsid w:val="009D7666"/>
    <w:rsid w:val="009D774E"/>
    <w:rsid w:val="009D7D03"/>
    <w:rsid w:val="009E030A"/>
    <w:rsid w:val="009E0A68"/>
    <w:rsid w:val="009E10E4"/>
    <w:rsid w:val="009E3382"/>
    <w:rsid w:val="009E43EA"/>
    <w:rsid w:val="009E47D0"/>
    <w:rsid w:val="009E514E"/>
    <w:rsid w:val="009E524F"/>
    <w:rsid w:val="009E6941"/>
    <w:rsid w:val="009E6A24"/>
    <w:rsid w:val="009E7F19"/>
    <w:rsid w:val="009F148A"/>
    <w:rsid w:val="009F1B32"/>
    <w:rsid w:val="009F4FFC"/>
    <w:rsid w:val="009F50CA"/>
    <w:rsid w:val="009F595E"/>
    <w:rsid w:val="009F71B2"/>
    <w:rsid w:val="009F7325"/>
    <w:rsid w:val="009F7354"/>
    <w:rsid w:val="009F799C"/>
    <w:rsid w:val="00A03E2E"/>
    <w:rsid w:val="00A0488B"/>
    <w:rsid w:val="00A05C6D"/>
    <w:rsid w:val="00A05F2F"/>
    <w:rsid w:val="00A06B89"/>
    <w:rsid w:val="00A0742C"/>
    <w:rsid w:val="00A0743C"/>
    <w:rsid w:val="00A130AD"/>
    <w:rsid w:val="00A137B3"/>
    <w:rsid w:val="00A13D8E"/>
    <w:rsid w:val="00A1753D"/>
    <w:rsid w:val="00A22D0E"/>
    <w:rsid w:val="00A24C77"/>
    <w:rsid w:val="00A260A3"/>
    <w:rsid w:val="00A269EE"/>
    <w:rsid w:val="00A26F0A"/>
    <w:rsid w:val="00A27B07"/>
    <w:rsid w:val="00A27DF3"/>
    <w:rsid w:val="00A35250"/>
    <w:rsid w:val="00A35727"/>
    <w:rsid w:val="00A35761"/>
    <w:rsid w:val="00A40C12"/>
    <w:rsid w:val="00A40D19"/>
    <w:rsid w:val="00A4262C"/>
    <w:rsid w:val="00A4443D"/>
    <w:rsid w:val="00A46054"/>
    <w:rsid w:val="00A468DB"/>
    <w:rsid w:val="00A46A16"/>
    <w:rsid w:val="00A46D7A"/>
    <w:rsid w:val="00A47162"/>
    <w:rsid w:val="00A47C49"/>
    <w:rsid w:val="00A51C15"/>
    <w:rsid w:val="00A5317B"/>
    <w:rsid w:val="00A5363E"/>
    <w:rsid w:val="00A53B69"/>
    <w:rsid w:val="00A53F30"/>
    <w:rsid w:val="00A53F7E"/>
    <w:rsid w:val="00A54181"/>
    <w:rsid w:val="00A54966"/>
    <w:rsid w:val="00A54B22"/>
    <w:rsid w:val="00A557F7"/>
    <w:rsid w:val="00A5634F"/>
    <w:rsid w:val="00A56581"/>
    <w:rsid w:val="00A56666"/>
    <w:rsid w:val="00A60DA9"/>
    <w:rsid w:val="00A60DEB"/>
    <w:rsid w:val="00A60FAD"/>
    <w:rsid w:val="00A62479"/>
    <w:rsid w:val="00A625E2"/>
    <w:rsid w:val="00A62C8A"/>
    <w:rsid w:val="00A64227"/>
    <w:rsid w:val="00A676DD"/>
    <w:rsid w:val="00A71F92"/>
    <w:rsid w:val="00A724FF"/>
    <w:rsid w:val="00A72A8E"/>
    <w:rsid w:val="00A734AD"/>
    <w:rsid w:val="00A74603"/>
    <w:rsid w:val="00A8033E"/>
    <w:rsid w:val="00A826FC"/>
    <w:rsid w:val="00A8305C"/>
    <w:rsid w:val="00A833DC"/>
    <w:rsid w:val="00A84901"/>
    <w:rsid w:val="00A85165"/>
    <w:rsid w:val="00A85873"/>
    <w:rsid w:val="00A86111"/>
    <w:rsid w:val="00A867B0"/>
    <w:rsid w:val="00A86FCE"/>
    <w:rsid w:val="00A92138"/>
    <w:rsid w:val="00A945D0"/>
    <w:rsid w:val="00A950A9"/>
    <w:rsid w:val="00A96559"/>
    <w:rsid w:val="00A97BC8"/>
    <w:rsid w:val="00AA01EB"/>
    <w:rsid w:val="00AA0A11"/>
    <w:rsid w:val="00AA24C8"/>
    <w:rsid w:val="00AA2ADA"/>
    <w:rsid w:val="00AA5EB5"/>
    <w:rsid w:val="00AA7032"/>
    <w:rsid w:val="00AB1EB8"/>
    <w:rsid w:val="00AB32A8"/>
    <w:rsid w:val="00AB33B5"/>
    <w:rsid w:val="00AB3D51"/>
    <w:rsid w:val="00AB5143"/>
    <w:rsid w:val="00AB5789"/>
    <w:rsid w:val="00AB5CD7"/>
    <w:rsid w:val="00AB6161"/>
    <w:rsid w:val="00AC02E8"/>
    <w:rsid w:val="00AC0C1E"/>
    <w:rsid w:val="00AC0D03"/>
    <w:rsid w:val="00AC2219"/>
    <w:rsid w:val="00AC326D"/>
    <w:rsid w:val="00AC39FB"/>
    <w:rsid w:val="00AC5BB7"/>
    <w:rsid w:val="00AD13F5"/>
    <w:rsid w:val="00AD1A89"/>
    <w:rsid w:val="00AD43EC"/>
    <w:rsid w:val="00AD4C3B"/>
    <w:rsid w:val="00AD4D2B"/>
    <w:rsid w:val="00AD6A9F"/>
    <w:rsid w:val="00AD6DA6"/>
    <w:rsid w:val="00AE1493"/>
    <w:rsid w:val="00AE1AA4"/>
    <w:rsid w:val="00AE28E6"/>
    <w:rsid w:val="00AE2BF8"/>
    <w:rsid w:val="00AE3677"/>
    <w:rsid w:val="00AE4C22"/>
    <w:rsid w:val="00AE4E2B"/>
    <w:rsid w:val="00AE51B5"/>
    <w:rsid w:val="00AE5EF3"/>
    <w:rsid w:val="00AF1612"/>
    <w:rsid w:val="00AF195F"/>
    <w:rsid w:val="00AF1DA1"/>
    <w:rsid w:val="00AF207F"/>
    <w:rsid w:val="00AF365F"/>
    <w:rsid w:val="00AF53E1"/>
    <w:rsid w:val="00B01CB0"/>
    <w:rsid w:val="00B020D4"/>
    <w:rsid w:val="00B023DC"/>
    <w:rsid w:val="00B02A40"/>
    <w:rsid w:val="00B0502D"/>
    <w:rsid w:val="00B0589A"/>
    <w:rsid w:val="00B05E55"/>
    <w:rsid w:val="00B07A94"/>
    <w:rsid w:val="00B07E28"/>
    <w:rsid w:val="00B10133"/>
    <w:rsid w:val="00B10C5E"/>
    <w:rsid w:val="00B117D3"/>
    <w:rsid w:val="00B11E3F"/>
    <w:rsid w:val="00B1429F"/>
    <w:rsid w:val="00B14A34"/>
    <w:rsid w:val="00B161A7"/>
    <w:rsid w:val="00B169B6"/>
    <w:rsid w:val="00B21D15"/>
    <w:rsid w:val="00B2476E"/>
    <w:rsid w:val="00B26AF2"/>
    <w:rsid w:val="00B326EC"/>
    <w:rsid w:val="00B33113"/>
    <w:rsid w:val="00B3363C"/>
    <w:rsid w:val="00B3492B"/>
    <w:rsid w:val="00B372B1"/>
    <w:rsid w:val="00B406B1"/>
    <w:rsid w:val="00B41593"/>
    <w:rsid w:val="00B41664"/>
    <w:rsid w:val="00B42D7D"/>
    <w:rsid w:val="00B43BCE"/>
    <w:rsid w:val="00B46C08"/>
    <w:rsid w:val="00B4754F"/>
    <w:rsid w:val="00B47F4D"/>
    <w:rsid w:val="00B504F9"/>
    <w:rsid w:val="00B5402C"/>
    <w:rsid w:val="00B54C84"/>
    <w:rsid w:val="00B557ED"/>
    <w:rsid w:val="00B5639F"/>
    <w:rsid w:val="00B56C26"/>
    <w:rsid w:val="00B57C6B"/>
    <w:rsid w:val="00B57F56"/>
    <w:rsid w:val="00B61814"/>
    <w:rsid w:val="00B63633"/>
    <w:rsid w:val="00B63719"/>
    <w:rsid w:val="00B648C8"/>
    <w:rsid w:val="00B664C7"/>
    <w:rsid w:val="00B671B4"/>
    <w:rsid w:val="00B705DA"/>
    <w:rsid w:val="00B70A09"/>
    <w:rsid w:val="00B70A12"/>
    <w:rsid w:val="00B71900"/>
    <w:rsid w:val="00B71A4C"/>
    <w:rsid w:val="00B71AF9"/>
    <w:rsid w:val="00B73AE4"/>
    <w:rsid w:val="00B7530B"/>
    <w:rsid w:val="00B75561"/>
    <w:rsid w:val="00B779D0"/>
    <w:rsid w:val="00B77E12"/>
    <w:rsid w:val="00B82496"/>
    <w:rsid w:val="00B8266C"/>
    <w:rsid w:val="00B839AC"/>
    <w:rsid w:val="00B8475D"/>
    <w:rsid w:val="00B85254"/>
    <w:rsid w:val="00B87378"/>
    <w:rsid w:val="00B90B1B"/>
    <w:rsid w:val="00B92290"/>
    <w:rsid w:val="00B93264"/>
    <w:rsid w:val="00B94413"/>
    <w:rsid w:val="00B95274"/>
    <w:rsid w:val="00B964A1"/>
    <w:rsid w:val="00B971E2"/>
    <w:rsid w:val="00BA05EB"/>
    <w:rsid w:val="00BA1513"/>
    <w:rsid w:val="00BA3EE8"/>
    <w:rsid w:val="00BA681A"/>
    <w:rsid w:val="00BA7004"/>
    <w:rsid w:val="00BB229D"/>
    <w:rsid w:val="00BB28D2"/>
    <w:rsid w:val="00BB2A25"/>
    <w:rsid w:val="00BB2C35"/>
    <w:rsid w:val="00BB3632"/>
    <w:rsid w:val="00BB50BB"/>
    <w:rsid w:val="00BB6A39"/>
    <w:rsid w:val="00BC270B"/>
    <w:rsid w:val="00BC3C3D"/>
    <w:rsid w:val="00BC776D"/>
    <w:rsid w:val="00BD01FA"/>
    <w:rsid w:val="00BD044B"/>
    <w:rsid w:val="00BD30E6"/>
    <w:rsid w:val="00BD57B8"/>
    <w:rsid w:val="00BE0C56"/>
    <w:rsid w:val="00BE258A"/>
    <w:rsid w:val="00BE3300"/>
    <w:rsid w:val="00BE3CC2"/>
    <w:rsid w:val="00BE41EE"/>
    <w:rsid w:val="00BE448D"/>
    <w:rsid w:val="00BE4FB3"/>
    <w:rsid w:val="00BE5743"/>
    <w:rsid w:val="00BE5749"/>
    <w:rsid w:val="00BE6A58"/>
    <w:rsid w:val="00BE6DED"/>
    <w:rsid w:val="00BE7892"/>
    <w:rsid w:val="00BF0764"/>
    <w:rsid w:val="00BF092F"/>
    <w:rsid w:val="00BF279A"/>
    <w:rsid w:val="00BF3B3D"/>
    <w:rsid w:val="00BF5069"/>
    <w:rsid w:val="00BF5DF6"/>
    <w:rsid w:val="00BF7226"/>
    <w:rsid w:val="00BF7328"/>
    <w:rsid w:val="00C00DB5"/>
    <w:rsid w:val="00C016A3"/>
    <w:rsid w:val="00C04621"/>
    <w:rsid w:val="00C04905"/>
    <w:rsid w:val="00C0502D"/>
    <w:rsid w:val="00C0568C"/>
    <w:rsid w:val="00C05770"/>
    <w:rsid w:val="00C05C98"/>
    <w:rsid w:val="00C07960"/>
    <w:rsid w:val="00C11E55"/>
    <w:rsid w:val="00C14A13"/>
    <w:rsid w:val="00C16F09"/>
    <w:rsid w:val="00C16F6A"/>
    <w:rsid w:val="00C1767F"/>
    <w:rsid w:val="00C17864"/>
    <w:rsid w:val="00C22217"/>
    <w:rsid w:val="00C23ED5"/>
    <w:rsid w:val="00C250D6"/>
    <w:rsid w:val="00C2653C"/>
    <w:rsid w:val="00C31241"/>
    <w:rsid w:val="00C314B3"/>
    <w:rsid w:val="00C333F2"/>
    <w:rsid w:val="00C338EF"/>
    <w:rsid w:val="00C34324"/>
    <w:rsid w:val="00C34497"/>
    <w:rsid w:val="00C36CBC"/>
    <w:rsid w:val="00C37CF4"/>
    <w:rsid w:val="00C425F3"/>
    <w:rsid w:val="00C439C1"/>
    <w:rsid w:val="00C46EC4"/>
    <w:rsid w:val="00C47476"/>
    <w:rsid w:val="00C51286"/>
    <w:rsid w:val="00C51FDC"/>
    <w:rsid w:val="00C52870"/>
    <w:rsid w:val="00C55AF5"/>
    <w:rsid w:val="00C56E95"/>
    <w:rsid w:val="00C5787E"/>
    <w:rsid w:val="00C6120F"/>
    <w:rsid w:val="00C613E7"/>
    <w:rsid w:val="00C61B8B"/>
    <w:rsid w:val="00C61E4B"/>
    <w:rsid w:val="00C640E3"/>
    <w:rsid w:val="00C66159"/>
    <w:rsid w:val="00C6759D"/>
    <w:rsid w:val="00C70448"/>
    <w:rsid w:val="00C71726"/>
    <w:rsid w:val="00C72204"/>
    <w:rsid w:val="00C722E1"/>
    <w:rsid w:val="00C729C5"/>
    <w:rsid w:val="00C73306"/>
    <w:rsid w:val="00C73E10"/>
    <w:rsid w:val="00C73F8C"/>
    <w:rsid w:val="00C750BA"/>
    <w:rsid w:val="00C751E4"/>
    <w:rsid w:val="00C77DE5"/>
    <w:rsid w:val="00C8028B"/>
    <w:rsid w:val="00C815B5"/>
    <w:rsid w:val="00C819D6"/>
    <w:rsid w:val="00C83630"/>
    <w:rsid w:val="00C83655"/>
    <w:rsid w:val="00C842FA"/>
    <w:rsid w:val="00C84AB2"/>
    <w:rsid w:val="00C862D9"/>
    <w:rsid w:val="00C91C88"/>
    <w:rsid w:val="00C937D6"/>
    <w:rsid w:val="00C94C52"/>
    <w:rsid w:val="00C9656A"/>
    <w:rsid w:val="00C9676D"/>
    <w:rsid w:val="00CA0F05"/>
    <w:rsid w:val="00CA1E7C"/>
    <w:rsid w:val="00CA3DDA"/>
    <w:rsid w:val="00CB002B"/>
    <w:rsid w:val="00CB035E"/>
    <w:rsid w:val="00CB0D54"/>
    <w:rsid w:val="00CB1D9F"/>
    <w:rsid w:val="00CB32E1"/>
    <w:rsid w:val="00CB40C0"/>
    <w:rsid w:val="00CB45FD"/>
    <w:rsid w:val="00CB5B2A"/>
    <w:rsid w:val="00CB6356"/>
    <w:rsid w:val="00CB7427"/>
    <w:rsid w:val="00CB7A40"/>
    <w:rsid w:val="00CC053B"/>
    <w:rsid w:val="00CC2A48"/>
    <w:rsid w:val="00CC3310"/>
    <w:rsid w:val="00CC337D"/>
    <w:rsid w:val="00CC4E0B"/>
    <w:rsid w:val="00CC5504"/>
    <w:rsid w:val="00CC7635"/>
    <w:rsid w:val="00CD0A18"/>
    <w:rsid w:val="00CD240A"/>
    <w:rsid w:val="00CD536D"/>
    <w:rsid w:val="00CD5BFC"/>
    <w:rsid w:val="00CD7AB5"/>
    <w:rsid w:val="00CD7E26"/>
    <w:rsid w:val="00CE0014"/>
    <w:rsid w:val="00CE1616"/>
    <w:rsid w:val="00CE3711"/>
    <w:rsid w:val="00CE4B7D"/>
    <w:rsid w:val="00CE4EF2"/>
    <w:rsid w:val="00CE5036"/>
    <w:rsid w:val="00CE564D"/>
    <w:rsid w:val="00CE5B87"/>
    <w:rsid w:val="00CE6B7B"/>
    <w:rsid w:val="00CE7E80"/>
    <w:rsid w:val="00CF00CE"/>
    <w:rsid w:val="00CF404A"/>
    <w:rsid w:val="00CF4C58"/>
    <w:rsid w:val="00CF5560"/>
    <w:rsid w:val="00CF587F"/>
    <w:rsid w:val="00CF6277"/>
    <w:rsid w:val="00CF7719"/>
    <w:rsid w:val="00D01878"/>
    <w:rsid w:val="00D02913"/>
    <w:rsid w:val="00D02C4A"/>
    <w:rsid w:val="00D04981"/>
    <w:rsid w:val="00D07104"/>
    <w:rsid w:val="00D104E7"/>
    <w:rsid w:val="00D10915"/>
    <w:rsid w:val="00D10DB3"/>
    <w:rsid w:val="00D13225"/>
    <w:rsid w:val="00D157BC"/>
    <w:rsid w:val="00D16602"/>
    <w:rsid w:val="00D16E46"/>
    <w:rsid w:val="00D175A5"/>
    <w:rsid w:val="00D175F1"/>
    <w:rsid w:val="00D21664"/>
    <w:rsid w:val="00D21D14"/>
    <w:rsid w:val="00D226FB"/>
    <w:rsid w:val="00D241F7"/>
    <w:rsid w:val="00D269E9"/>
    <w:rsid w:val="00D26D9B"/>
    <w:rsid w:val="00D277C5"/>
    <w:rsid w:val="00D311A1"/>
    <w:rsid w:val="00D328E6"/>
    <w:rsid w:val="00D3514F"/>
    <w:rsid w:val="00D35204"/>
    <w:rsid w:val="00D36CFF"/>
    <w:rsid w:val="00D405D9"/>
    <w:rsid w:val="00D40855"/>
    <w:rsid w:val="00D40D37"/>
    <w:rsid w:val="00D46AD5"/>
    <w:rsid w:val="00D47B7B"/>
    <w:rsid w:val="00D5090C"/>
    <w:rsid w:val="00D50F13"/>
    <w:rsid w:val="00D528B9"/>
    <w:rsid w:val="00D54698"/>
    <w:rsid w:val="00D54E3D"/>
    <w:rsid w:val="00D56201"/>
    <w:rsid w:val="00D5632C"/>
    <w:rsid w:val="00D642C2"/>
    <w:rsid w:val="00D64E14"/>
    <w:rsid w:val="00D67005"/>
    <w:rsid w:val="00D67E0E"/>
    <w:rsid w:val="00D71510"/>
    <w:rsid w:val="00D75245"/>
    <w:rsid w:val="00D76A97"/>
    <w:rsid w:val="00D775EA"/>
    <w:rsid w:val="00D80366"/>
    <w:rsid w:val="00D812CC"/>
    <w:rsid w:val="00D81D39"/>
    <w:rsid w:val="00D81F0F"/>
    <w:rsid w:val="00D82689"/>
    <w:rsid w:val="00D82A88"/>
    <w:rsid w:val="00D82C20"/>
    <w:rsid w:val="00D851E1"/>
    <w:rsid w:val="00D85AE1"/>
    <w:rsid w:val="00D8614D"/>
    <w:rsid w:val="00D8787D"/>
    <w:rsid w:val="00D87898"/>
    <w:rsid w:val="00D908FE"/>
    <w:rsid w:val="00D93549"/>
    <w:rsid w:val="00D959EC"/>
    <w:rsid w:val="00D968B0"/>
    <w:rsid w:val="00DA12FE"/>
    <w:rsid w:val="00DA42F5"/>
    <w:rsid w:val="00DA64BA"/>
    <w:rsid w:val="00DB1777"/>
    <w:rsid w:val="00DB1ECF"/>
    <w:rsid w:val="00DB2B31"/>
    <w:rsid w:val="00DB2D43"/>
    <w:rsid w:val="00DB2E96"/>
    <w:rsid w:val="00DB3CF6"/>
    <w:rsid w:val="00DB40B0"/>
    <w:rsid w:val="00DB6752"/>
    <w:rsid w:val="00DB6BC6"/>
    <w:rsid w:val="00DB6DF2"/>
    <w:rsid w:val="00DB71A4"/>
    <w:rsid w:val="00DC1A12"/>
    <w:rsid w:val="00DC53B0"/>
    <w:rsid w:val="00DC5D4E"/>
    <w:rsid w:val="00DC7157"/>
    <w:rsid w:val="00DD0863"/>
    <w:rsid w:val="00DD1327"/>
    <w:rsid w:val="00DD1BC6"/>
    <w:rsid w:val="00DD1DF6"/>
    <w:rsid w:val="00DD3B6B"/>
    <w:rsid w:val="00DD3EF0"/>
    <w:rsid w:val="00DD4924"/>
    <w:rsid w:val="00DD4F30"/>
    <w:rsid w:val="00DE04EB"/>
    <w:rsid w:val="00DE050E"/>
    <w:rsid w:val="00DE0E93"/>
    <w:rsid w:val="00DE605A"/>
    <w:rsid w:val="00DF38D1"/>
    <w:rsid w:val="00DF40DC"/>
    <w:rsid w:val="00DF41B8"/>
    <w:rsid w:val="00DF4B47"/>
    <w:rsid w:val="00DF4F35"/>
    <w:rsid w:val="00DF70BD"/>
    <w:rsid w:val="00E00992"/>
    <w:rsid w:val="00E025E0"/>
    <w:rsid w:val="00E027D1"/>
    <w:rsid w:val="00E04FB7"/>
    <w:rsid w:val="00E0769C"/>
    <w:rsid w:val="00E07C8E"/>
    <w:rsid w:val="00E07DDD"/>
    <w:rsid w:val="00E1057E"/>
    <w:rsid w:val="00E11888"/>
    <w:rsid w:val="00E124CD"/>
    <w:rsid w:val="00E1371B"/>
    <w:rsid w:val="00E137EB"/>
    <w:rsid w:val="00E15E76"/>
    <w:rsid w:val="00E15FDF"/>
    <w:rsid w:val="00E16569"/>
    <w:rsid w:val="00E16763"/>
    <w:rsid w:val="00E173B4"/>
    <w:rsid w:val="00E21CE9"/>
    <w:rsid w:val="00E22003"/>
    <w:rsid w:val="00E22AE8"/>
    <w:rsid w:val="00E2427F"/>
    <w:rsid w:val="00E2456E"/>
    <w:rsid w:val="00E25436"/>
    <w:rsid w:val="00E2570B"/>
    <w:rsid w:val="00E272BF"/>
    <w:rsid w:val="00E275A0"/>
    <w:rsid w:val="00E27C19"/>
    <w:rsid w:val="00E306B6"/>
    <w:rsid w:val="00E31DD8"/>
    <w:rsid w:val="00E32450"/>
    <w:rsid w:val="00E33949"/>
    <w:rsid w:val="00E3536C"/>
    <w:rsid w:val="00E3586F"/>
    <w:rsid w:val="00E36095"/>
    <w:rsid w:val="00E36326"/>
    <w:rsid w:val="00E363C9"/>
    <w:rsid w:val="00E36CF1"/>
    <w:rsid w:val="00E37BDF"/>
    <w:rsid w:val="00E37DC2"/>
    <w:rsid w:val="00E4039A"/>
    <w:rsid w:val="00E41326"/>
    <w:rsid w:val="00E42B11"/>
    <w:rsid w:val="00E443C1"/>
    <w:rsid w:val="00E4519B"/>
    <w:rsid w:val="00E46AFD"/>
    <w:rsid w:val="00E47918"/>
    <w:rsid w:val="00E514F9"/>
    <w:rsid w:val="00E56EEB"/>
    <w:rsid w:val="00E62016"/>
    <w:rsid w:val="00E622E5"/>
    <w:rsid w:val="00E645C6"/>
    <w:rsid w:val="00E65892"/>
    <w:rsid w:val="00E65AAA"/>
    <w:rsid w:val="00E67C15"/>
    <w:rsid w:val="00E717D1"/>
    <w:rsid w:val="00E73189"/>
    <w:rsid w:val="00E737FD"/>
    <w:rsid w:val="00E73961"/>
    <w:rsid w:val="00E76CEF"/>
    <w:rsid w:val="00E76DD8"/>
    <w:rsid w:val="00E831B4"/>
    <w:rsid w:val="00E84B25"/>
    <w:rsid w:val="00E86C8C"/>
    <w:rsid w:val="00E874A8"/>
    <w:rsid w:val="00E8795D"/>
    <w:rsid w:val="00E904C0"/>
    <w:rsid w:val="00E917B1"/>
    <w:rsid w:val="00E91C5A"/>
    <w:rsid w:val="00E933E2"/>
    <w:rsid w:val="00E93D4F"/>
    <w:rsid w:val="00E95E10"/>
    <w:rsid w:val="00E969BA"/>
    <w:rsid w:val="00E9730F"/>
    <w:rsid w:val="00EA0993"/>
    <w:rsid w:val="00EA3E03"/>
    <w:rsid w:val="00EA4842"/>
    <w:rsid w:val="00EA5050"/>
    <w:rsid w:val="00EA50D3"/>
    <w:rsid w:val="00EB0188"/>
    <w:rsid w:val="00EB05CB"/>
    <w:rsid w:val="00EB23D6"/>
    <w:rsid w:val="00EB2994"/>
    <w:rsid w:val="00EB33F7"/>
    <w:rsid w:val="00EB5138"/>
    <w:rsid w:val="00EB53C5"/>
    <w:rsid w:val="00EB5894"/>
    <w:rsid w:val="00EB5CF5"/>
    <w:rsid w:val="00EB6B27"/>
    <w:rsid w:val="00EC2AD3"/>
    <w:rsid w:val="00EC6687"/>
    <w:rsid w:val="00ED00EF"/>
    <w:rsid w:val="00ED072B"/>
    <w:rsid w:val="00ED08A9"/>
    <w:rsid w:val="00ED0E88"/>
    <w:rsid w:val="00ED1FE3"/>
    <w:rsid w:val="00ED2241"/>
    <w:rsid w:val="00ED33F7"/>
    <w:rsid w:val="00ED375B"/>
    <w:rsid w:val="00ED57DD"/>
    <w:rsid w:val="00ED6917"/>
    <w:rsid w:val="00ED7460"/>
    <w:rsid w:val="00EE24FD"/>
    <w:rsid w:val="00EE31AD"/>
    <w:rsid w:val="00EE4230"/>
    <w:rsid w:val="00EE535C"/>
    <w:rsid w:val="00EE5A56"/>
    <w:rsid w:val="00EE6977"/>
    <w:rsid w:val="00EE7B59"/>
    <w:rsid w:val="00EF107E"/>
    <w:rsid w:val="00EF2B65"/>
    <w:rsid w:val="00EF3F58"/>
    <w:rsid w:val="00EF416D"/>
    <w:rsid w:val="00EF5AC4"/>
    <w:rsid w:val="00EF6191"/>
    <w:rsid w:val="00EF666B"/>
    <w:rsid w:val="00EF6B25"/>
    <w:rsid w:val="00EF7B6A"/>
    <w:rsid w:val="00F011CD"/>
    <w:rsid w:val="00F01BA0"/>
    <w:rsid w:val="00F0505C"/>
    <w:rsid w:val="00F050BE"/>
    <w:rsid w:val="00F054C1"/>
    <w:rsid w:val="00F10A87"/>
    <w:rsid w:val="00F125FA"/>
    <w:rsid w:val="00F15A70"/>
    <w:rsid w:val="00F178AD"/>
    <w:rsid w:val="00F17FB5"/>
    <w:rsid w:val="00F20027"/>
    <w:rsid w:val="00F20668"/>
    <w:rsid w:val="00F23348"/>
    <w:rsid w:val="00F25194"/>
    <w:rsid w:val="00F26076"/>
    <w:rsid w:val="00F26821"/>
    <w:rsid w:val="00F26D90"/>
    <w:rsid w:val="00F27F26"/>
    <w:rsid w:val="00F314BB"/>
    <w:rsid w:val="00F314D4"/>
    <w:rsid w:val="00F31775"/>
    <w:rsid w:val="00F31B67"/>
    <w:rsid w:val="00F320DF"/>
    <w:rsid w:val="00F32BEE"/>
    <w:rsid w:val="00F32D93"/>
    <w:rsid w:val="00F3519D"/>
    <w:rsid w:val="00F35426"/>
    <w:rsid w:val="00F355AE"/>
    <w:rsid w:val="00F36AE9"/>
    <w:rsid w:val="00F43DA9"/>
    <w:rsid w:val="00F51BC3"/>
    <w:rsid w:val="00F52C8F"/>
    <w:rsid w:val="00F53F5B"/>
    <w:rsid w:val="00F53F8C"/>
    <w:rsid w:val="00F5443A"/>
    <w:rsid w:val="00F550F5"/>
    <w:rsid w:val="00F552AD"/>
    <w:rsid w:val="00F553D9"/>
    <w:rsid w:val="00F5629D"/>
    <w:rsid w:val="00F607EB"/>
    <w:rsid w:val="00F628D9"/>
    <w:rsid w:val="00F65602"/>
    <w:rsid w:val="00F65748"/>
    <w:rsid w:val="00F664F3"/>
    <w:rsid w:val="00F67D3F"/>
    <w:rsid w:val="00F70462"/>
    <w:rsid w:val="00F70CED"/>
    <w:rsid w:val="00F71D82"/>
    <w:rsid w:val="00F75B2B"/>
    <w:rsid w:val="00F76260"/>
    <w:rsid w:val="00F763FF"/>
    <w:rsid w:val="00F77610"/>
    <w:rsid w:val="00F80473"/>
    <w:rsid w:val="00F81F24"/>
    <w:rsid w:val="00F82D9F"/>
    <w:rsid w:val="00F838C7"/>
    <w:rsid w:val="00F84ACC"/>
    <w:rsid w:val="00F84FAF"/>
    <w:rsid w:val="00F85B53"/>
    <w:rsid w:val="00F85D63"/>
    <w:rsid w:val="00F86F64"/>
    <w:rsid w:val="00F87D2B"/>
    <w:rsid w:val="00F91D56"/>
    <w:rsid w:val="00F9202C"/>
    <w:rsid w:val="00F93928"/>
    <w:rsid w:val="00F93A90"/>
    <w:rsid w:val="00F951A5"/>
    <w:rsid w:val="00F95C42"/>
    <w:rsid w:val="00F96B0B"/>
    <w:rsid w:val="00F974B6"/>
    <w:rsid w:val="00FA1176"/>
    <w:rsid w:val="00FA1AF4"/>
    <w:rsid w:val="00FA252E"/>
    <w:rsid w:val="00FA30E4"/>
    <w:rsid w:val="00FA4CEE"/>
    <w:rsid w:val="00FA7B99"/>
    <w:rsid w:val="00FB10B4"/>
    <w:rsid w:val="00FB14E8"/>
    <w:rsid w:val="00FB3FC9"/>
    <w:rsid w:val="00FC2746"/>
    <w:rsid w:val="00FC27B9"/>
    <w:rsid w:val="00FC3C70"/>
    <w:rsid w:val="00FC473E"/>
    <w:rsid w:val="00FC5478"/>
    <w:rsid w:val="00FC5EAA"/>
    <w:rsid w:val="00FC6756"/>
    <w:rsid w:val="00FD0151"/>
    <w:rsid w:val="00FD0412"/>
    <w:rsid w:val="00FD1C3E"/>
    <w:rsid w:val="00FD2431"/>
    <w:rsid w:val="00FD65F3"/>
    <w:rsid w:val="00FD6CEA"/>
    <w:rsid w:val="00FD6E9F"/>
    <w:rsid w:val="00FD7E35"/>
    <w:rsid w:val="00FE3B9F"/>
    <w:rsid w:val="00FE5B87"/>
    <w:rsid w:val="00FE63F9"/>
    <w:rsid w:val="00FF0491"/>
    <w:rsid w:val="00FF1288"/>
    <w:rsid w:val="00FF1B6D"/>
    <w:rsid w:val="00FF3111"/>
    <w:rsid w:val="00FF4C3B"/>
    <w:rsid w:val="00FF7841"/>
    <w:rsid w:val="01C1272A"/>
    <w:rsid w:val="034C6DB9"/>
    <w:rsid w:val="085660F6"/>
    <w:rsid w:val="0B0D27CA"/>
    <w:rsid w:val="0B1F7761"/>
    <w:rsid w:val="0D662F16"/>
    <w:rsid w:val="11E6281C"/>
    <w:rsid w:val="142074BF"/>
    <w:rsid w:val="144A0ED5"/>
    <w:rsid w:val="18186519"/>
    <w:rsid w:val="1D97582D"/>
    <w:rsid w:val="1E666187"/>
    <w:rsid w:val="1FFF849F"/>
    <w:rsid w:val="231360ED"/>
    <w:rsid w:val="23B57963"/>
    <w:rsid w:val="243364E8"/>
    <w:rsid w:val="249B621D"/>
    <w:rsid w:val="25070C51"/>
    <w:rsid w:val="26F1328F"/>
    <w:rsid w:val="275F5762"/>
    <w:rsid w:val="2D2F4284"/>
    <w:rsid w:val="32C65346"/>
    <w:rsid w:val="338372B9"/>
    <w:rsid w:val="3515228E"/>
    <w:rsid w:val="36C277A1"/>
    <w:rsid w:val="381961EB"/>
    <w:rsid w:val="3995359A"/>
    <w:rsid w:val="3FFF70BE"/>
    <w:rsid w:val="41F157BB"/>
    <w:rsid w:val="4686420B"/>
    <w:rsid w:val="48AB0628"/>
    <w:rsid w:val="497E0F0F"/>
    <w:rsid w:val="4C802161"/>
    <w:rsid w:val="4FC25E62"/>
    <w:rsid w:val="54107234"/>
    <w:rsid w:val="54FE05AA"/>
    <w:rsid w:val="59411DEA"/>
    <w:rsid w:val="69BF78C9"/>
    <w:rsid w:val="6A7938C4"/>
    <w:rsid w:val="6BA50795"/>
    <w:rsid w:val="6D2E5524"/>
    <w:rsid w:val="6DE2D090"/>
    <w:rsid w:val="6EE6943A"/>
    <w:rsid w:val="6FAC6286"/>
    <w:rsid w:val="70AA641B"/>
    <w:rsid w:val="748F78B2"/>
    <w:rsid w:val="758E19DF"/>
    <w:rsid w:val="76A9516C"/>
    <w:rsid w:val="76C248A0"/>
    <w:rsid w:val="7766576B"/>
    <w:rsid w:val="77CEE808"/>
    <w:rsid w:val="7BCF7CC5"/>
    <w:rsid w:val="7EA660AF"/>
    <w:rsid w:val="7ECF0A00"/>
    <w:rsid w:val="7FF65076"/>
    <w:rsid w:val="BFFE8D17"/>
    <w:rsid w:val="F7DF788A"/>
    <w:rsid w:val="F7FF5ECB"/>
    <w:rsid w:val="FFEF6A1D"/>
    <w:rsid w:val="FFF75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qFormat/>
    <w:uiPriority w:val="0"/>
    <w:pPr>
      <w:jc w:val="left"/>
    </w:pPr>
    <w:rPr>
      <w:rFonts w:eastAsia="宋体"/>
      <w:kern w:val="0"/>
      <w:sz w:val="20"/>
    </w:rPr>
  </w:style>
  <w:style w:type="paragraph" w:styleId="3">
    <w:name w:val="Body Text"/>
    <w:basedOn w:val="1"/>
    <w:link w:val="14"/>
    <w:qFormat/>
    <w:uiPriority w:val="0"/>
    <w:pPr>
      <w:snapToGrid w:val="0"/>
      <w:spacing w:line="252" w:lineRule="auto"/>
      <w:jc w:val="center"/>
    </w:pPr>
    <w:rPr>
      <w:rFonts w:ascii="宋体" w:hAnsi="宋体" w:eastAsia="方正小标宋简体"/>
      <w:bCs/>
      <w:kern w:val="0"/>
      <w:sz w:val="44"/>
      <w:szCs w:val="36"/>
    </w:rPr>
  </w:style>
  <w:style w:type="paragraph" w:styleId="4">
    <w:name w:val="Balloon Text"/>
    <w:basedOn w:val="1"/>
    <w:link w:val="15"/>
    <w:unhideWhenUsed/>
    <w:qFormat/>
    <w:uiPriority w:val="99"/>
    <w:rPr>
      <w:kern w:val="0"/>
      <w:sz w:val="18"/>
      <w:szCs w:val="18"/>
    </w:rPr>
  </w:style>
  <w:style w:type="paragraph" w:styleId="5">
    <w:name w:val="footer"/>
    <w:basedOn w:val="1"/>
    <w:link w:val="18"/>
    <w:unhideWhenUsed/>
    <w:qFormat/>
    <w:uiPriority w:val="99"/>
    <w:pPr>
      <w:tabs>
        <w:tab w:val="center" w:pos="4153"/>
        <w:tab w:val="right" w:pos="8306"/>
      </w:tabs>
      <w:snapToGrid w:val="0"/>
      <w:jc w:val="left"/>
    </w:pPr>
    <w:rPr>
      <w:kern w:val="0"/>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unhideWhenUsed/>
    <w:qFormat/>
    <w:uiPriority w:val="99"/>
    <w:pPr>
      <w:spacing w:before="100" w:beforeAutospacing="1" w:after="100" w:afterAutospacing="1"/>
      <w:jc w:val="left"/>
    </w:pPr>
    <w:rPr>
      <w:rFonts w:eastAsia="宋体"/>
      <w:kern w:val="0"/>
      <w:sz w:val="24"/>
    </w:rPr>
  </w:style>
  <w:style w:type="paragraph" w:styleId="8">
    <w:name w:val="annotation subject"/>
    <w:basedOn w:val="2"/>
    <w:next w:val="2"/>
    <w:link w:val="16"/>
    <w:unhideWhenUsed/>
    <w:qFormat/>
    <w:uiPriority w:val="99"/>
    <w:rPr>
      <w:rFonts w:eastAsia="仿宋_GB2312"/>
      <w:b/>
      <w:bCs/>
      <w:sz w:val="32"/>
    </w:rPr>
  </w:style>
  <w:style w:type="character" w:styleId="11">
    <w:name w:val="annotation reference"/>
    <w:unhideWhenUsed/>
    <w:qFormat/>
    <w:uiPriority w:val="0"/>
    <w:rPr>
      <w:sz w:val="21"/>
      <w:szCs w:val="21"/>
    </w:rPr>
  </w:style>
  <w:style w:type="character" w:customStyle="1" w:styleId="12">
    <w:name w:val="批注文字 Char"/>
    <w:link w:val="2"/>
    <w:qFormat/>
    <w:uiPriority w:val="0"/>
    <w:rPr>
      <w:rFonts w:ascii="Times New Roman" w:hAnsi="Times New Roman" w:eastAsia="宋体" w:cs="Times New Roman"/>
      <w:szCs w:val="24"/>
    </w:rPr>
  </w:style>
  <w:style w:type="character" w:customStyle="1" w:styleId="13">
    <w:name w:val="占位符文本1"/>
    <w:semiHidden/>
    <w:qFormat/>
    <w:uiPriority w:val="99"/>
    <w:rPr>
      <w:color w:val="808080"/>
    </w:rPr>
  </w:style>
  <w:style w:type="character" w:customStyle="1" w:styleId="14">
    <w:name w:val="正文文本 Char"/>
    <w:link w:val="3"/>
    <w:qFormat/>
    <w:uiPriority w:val="0"/>
    <w:rPr>
      <w:rFonts w:ascii="宋体" w:hAnsi="宋体" w:eastAsia="方正小标宋简体" w:cs="Times New Roman"/>
      <w:bCs/>
      <w:sz w:val="44"/>
      <w:szCs w:val="36"/>
    </w:rPr>
  </w:style>
  <w:style w:type="character" w:customStyle="1" w:styleId="15">
    <w:name w:val="批注框文本 Char"/>
    <w:link w:val="4"/>
    <w:semiHidden/>
    <w:qFormat/>
    <w:uiPriority w:val="99"/>
    <w:rPr>
      <w:rFonts w:ascii="Times New Roman" w:hAnsi="Times New Roman" w:eastAsia="仿宋_GB2312" w:cs="Times New Roman"/>
      <w:sz w:val="18"/>
      <w:szCs w:val="18"/>
    </w:rPr>
  </w:style>
  <w:style w:type="character" w:customStyle="1" w:styleId="16">
    <w:name w:val="批注主题 Char"/>
    <w:link w:val="8"/>
    <w:semiHidden/>
    <w:qFormat/>
    <w:uiPriority w:val="99"/>
    <w:rPr>
      <w:rFonts w:ascii="Times New Roman" w:hAnsi="Times New Roman" w:eastAsia="仿宋_GB2312" w:cs="Times New Roman"/>
      <w:b/>
      <w:bCs/>
      <w:sz w:val="32"/>
      <w:szCs w:val="24"/>
    </w:rPr>
  </w:style>
  <w:style w:type="character" w:customStyle="1" w:styleId="17">
    <w:name w:val="页眉 Char"/>
    <w:link w:val="6"/>
    <w:semiHidden/>
    <w:qFormat/>
    <w:uiPriority w:val="99"/>
    <w:rPr>
      <w:rFonts w:ascii="Times New Roman" w:hAnsi="Times New Roman" w:eastAsia="仿宋_GB2312" w:cs="Times New Roman"/>
      <w:sz w:val="18"/>
      <w:szCs w:val="18"/>
    </w:rPr>
  </w:style>
  <w:style w:type="character" w:customStyle="1" w:styleId="18">
    <w:name w:val="页脚 Char"/>
    <w:link w:val="5"/>
    <w:qFormat/>
    <w:uiPriority w:val="99"/>
    <w:rPr>
      <w:rFonts w:ascii="Times New Roman" w:hAnsi="Times New Roman" w:eastAsia="仿宋_GB2312" w:cs="Times New Roman"/>
      <w:sz w:val="18"/>
      <w:szCs w:val="18"/>
    </w:rPr>
  </w:style>
  <w:style w:type="paragraph" w:customStyle="1" w:styleId="19">
    <w:name w:val="列出段落1"/>
    <w:basedOn w:val="1"/>
    <w:qFormat/>
    <w:uiPriority w:val="34"/>
    <w:pPr>
      <w:spacing w:line="360" w:lineRule="auto"/>
      <w:ind w:firstLine="420" w:firstLineChars="200"/>
    </w:pPr>
    <w:rPr>
      <w:rFonts w:eastAsia="宋体"/>
      <w:sz w:val="24"/>
    </w:rPr>
  </w:style>
  <w:style w:type="paragraph" w:customStyle="1" w:styleId="20">
    <w:name w:val="修订1"/>
    <w:unhideWhenUsed/>
    <w:qFormat/>
    <w:uiPriority w:val="99"/>
    <w:rPr>
      <w:rFonts w:ascii="Times New Roman" w:hAnsi="Times New Roman" w:eastAsia="仿宋_GB2312" w:cs="Times New Roman"/>
      <w:kern w:val="2"/>
      <w:sz w:val="32"/>
      <w:szCs w:val="24"/>
      <w:lang w:val="en-US" w:eastAsia="zh-CN" w:bidi="ar-SA"/>
    </w:rPr>
  </w:style>
  <w:style w:type="paragraph" w:styleId="21">
    <w:name w:val="List Paragraph"/>
    <w:basedOn w:val="1"/>
    <w:qFormat/>
    <w:uiPriority w:val="34"/>
    <w:pPr>
      <w:ind w:firstLine="420" w:firstLineChars="200"/>
    </w:pPr>
  </w:style>
  <w:style w:type="paragraph" w:customStyle="1" w:styleId="22">
    <w:name w:val="Revision"/>
    <w:hidden/>
    <w:unhideWhenUsed/>
    <w:qFormat/>
    <w:uiPriority w:val="99"/>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9033</Words>
  <Characters>771</Characters>
  <Lines>6</Lines>
  <Paragraphs>19</Paragraphs>
  <TotalTime>21</TotalTime>
  <ScaleCrop>false</ScaleCrop>
  <LinksUpToDate>false</LinksUpToDate>
  <CharactersWithSpaces>9785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2021-08-05T17:35:00Z</dcterms:created>
  <dc:creator>Customer</dc:creator>
  <cp:lastModifiedBy>uos</cp:lastModifiedBy>
  <cp:lastPrinted>2021-08-05T17:40:00Z</cp:lastPrinted>
  <dcterms:modified xsi:type="dcterms:W3CDTF">2021-08-10T15:03:32Z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