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rPr>
          <w:color w:val="auto"/>
        </w:rPr>
      </w:pPr>
      <w:r>
        <w:rPr>
          <w:color w:val="auto"/>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color w:val="auto"/>
        </w:rPr>
        <w:instrText xml:space="preserve">ADDIN CNKISM.UserStyle</w:instrText>
      </w:r>
      <w:r>
        <w:rPr>
          <w:color w:val="auto"/>
        </w:rPr>
        <w:fldChar w:fldCharType="end"/>
      </w:r>
      <w:r>
        <mc:AlternateContent>
          <mc:Choice Requires="wps">
            <w:drawing>
              <wp:anchor distT="0" distB="0" distL="114300" distR="114300" simplePos="0" relativeHeight="251662336" behindDoc="0" locked="0" layoutInCell="1" allowOverlap="1">
                <wp:simplePos x="0" y="0"/>
                <wp:positionH relativeFrom="page">
                  <wp:posOffset>374650</wp:posOffset>
                </wp:positionH>
                <wp:positionV relativeFrom="page">
                  <wp:posOffset>8417560</wp:posOffset>
                </wp:positionV>
                <wp:extent cx="2555875" cy="44640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25560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662.8pt;height:35.15pt;width:201.25pt;mso-position-horizontal-relative:page;mso-position-vertical-relative:page;z-index:251662336;mso-width-relative:page;mso-height-relative:page;" filled="f" stroked="f" coordsize="21600,21600" o:gfxdata="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H/EhncAAAADAEAAA8AAAAAAAAAAQAgAAAAOAAAAGRy&#10;cy9kb3ducmV2LnhtbFBLAQIUABQAAAAIAIdO4kDr4ulKJAIAACQEAAAOAAAAAAAAAAEAIAAAAEEB&#10;AABkcnMvZTJvRG9jLnhtbFBLBQYAAAAABgAGAFkBAADXBQ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5288915</wp:posOffset>
                </wp:positionH>
                <wp:positionV relativeFrom="page">
                  <wp:posOffset>648335</wp:posOffset>
                </wp:positionV>
                <wp:extent cx="1979930" cy="134302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980000" cy="1342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44"/>
                                <w:szCs w:val="144"/>
                              </w:rPr>
                            </w:pPr>
                            <w:r>
                              <w:rPr>
                                <w:b/>
                                <w:bCs/>
                                <w:sz w:val="144"/>
                                <w:szCs w:val="144"/>
                              </w:rPr>
                              <w:t>SJG</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6.45pt;margin-top:51.05pt;height:105.75pt;width:155.9pt;mso-position-horizontal-relative:page;mso-position-vertical-relative:page;z-index:251659264;mso-width-relative:page;mso-height-relative:page;" filled="f" stroked="f" coordsize="21600,21600" o:gfxdata="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JTqV+TcAAAADAEAAA8AAAAAAAAAAQAgAAAAOAAAAGRy&#10;cy9kb3ducmV2LnhtbFBLAQIUABQAAAAIAIdO4kCCueXyJAIAACMEAAAOAAAAAAAAAAEAIAAAAEEB&#10;AABkcnMvZTJvRG9jLnhtbFBLBQYAAAAABgAGAFkBAADXBQAAAAA=&#10;">
                <v:fill on="f" focussize="0,0"/>
                <v:stroke on="f" weight="0.5pt"/>
                <v:imagedata o:title=""/>
                <o:lock v:ext="edit" aspectratio="f"/>
                <v:textbox>
                  <w:txbxContent>
                    <w:p>
                      <w:pPr>
                        <w:rPr>
                          <w:sz w:val="144"/>
                          <w:szCs w:val="144"/>
                        </w:rPr>
                      </w:pPr>
                      <w:r>
                        <w:rPr>
                          <w:b/>
                          <w:bCs/>
                          <w:sz w:val="144"/>
                          <w:szCs w:val="144"/>
                        </w:rPr>
                        <w:t>SJG</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4993640</wp:posOffset>
                </wp:positionH>
                <wp:positionV relativeFrom="page">
                  <wp:posOffset>2030730</wp:posOffset>
                </wp:positionV>
                <wp:extent cx="2181860" cy="59372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2181600" cy="59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eastAsia="黑体"/>
                                <w:b/>
                                <w:bCs/>
                                <w:spacing w:val="20"/>
                                <w:sz w:val="48"/>
                                <w:szCs w:val="48"/>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2022</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3.2pt;margin-top:159.9pt;height:46.75pt;width:171.8pt;mso-position-horizontal-relative:page;mso-position-vertical-relative:page;z-index:251660288;mso-width-relative:page;mso-height-relative:page;" filled="f" stroked="f" coordsize="21600,21600" o:gfxdata="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&#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P3VYq3QAAAAwBAAAPAAAAAAAAAAEAIAAAADgAAABk&#10;cnMvZG93bnJldi54bWxQSwECFAAUAAAACACHTuJAWowyOCQCAAAiBAAADgAAAAAAAAABACAAAABC&#10;AQAAZHJzL2Uyb0RvYy54bWxQSwUGAAAAAAYABgBZAQAA2AUAAAAA&#10;">
                <v:fill on="f" focussize="0,0"/>
                <v:stroke on="f" weight="0.5pt"/>
                <v:imagedata o:title=""/>
                <o:lock v:ext="edit" aspectratio="f"/>
                <v:textbox>
                  <w:txbxContent>
                    <w:p>
                      <w:pPr>
                        <w:jc w:val="distribute"/>
                        <w:rPr>
                          <w:rFonts w:eastAsia="黑体"/>
                          <w:b/>
                          <w:bCs/>
                          <w:spacing w:val="20"/>
                          <w:sz w:val="48"/>
                          <w:szCs w:val="48"/>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2022</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-93345</wp:posOffset>
                </wp:positionH>
                <wp:positionV relativeFrom="page">
                  <wp:posOffset>2642870</wp:posOffset>
                </wp:positionV>
                <wp:extent cx="77184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7718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pt;margin-top:208.1pt;height:0pt;width:607.75pt;mso-position-horizontal-relative:page;mso-position-vertical-relative:page;z-index:251666432;mso-width-relative:page;mso-height-relative:page;" filled="f" stroked="t" coordsize="21600,21600" o:gfxdata="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up&#10;R27WAAAADAEAAA8AAAAAAAAAAQAgAAAAOAAAAGRycy9kb3ducmV2LnhtbFBLAQIUABQAAAAIAIdO&#10;4kC+melI1gEAAJkDAAAOAAAAAAAAAAEAIAAAADsBAABkcnMvZTJvRG9jLnhtbFBLBQYAAAAABgAG&#10;AFkBAACD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4561840</wp:posOffset>
                </wp:positionH>
                <wp:positionV relativeFrom="page">
                  <wp:posOffset>8417560</wp:posOffset>
                </wp:positionV>
                <wp:extent cx="2577465" cy="446405"/>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25776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9.2pt;margin-top:662.8pt;height:35.15pt;width:202.95pt;mso-position-horizontal-relative:page;mso-position-vertical-relative:page;z-index:251663360;mso-width-relative:page;mso-height-relative:page;" filled="f" stroked="f" coordsize="21600,21600" o:gfxdata="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M01Lzd4AAAAOAQAADwAAAAAAAAABACAAAAA4AAAA&#10;ZHJzL2Rvd25yZXYueG1sUEsBAhQAFAAAAAgAh07iQKVMrQEkAgAAJAQAAA4AAAAAAAAAAQAgAAAA&#10;QwEAAGRycy9lMm9Eb2MueG1sUEsFBgAAAAAGAAYAWQEAANkFA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2022</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v:textbox>
              </v:shape>
            </w:pict>
          </mc:Fallback>
        </mc:AlternateContent>
      </w:r>
    </w:p>
    <w:p>
      <w:pPr>
        <w:pStyle w:val="32"/>
        <w:spacing w:line="360" w:lineRule="auto"/>
        <w:jc w:val="center"/>
        <w:rPr>
          <w:rFonts w:hAnsi="黑体" w:cs="黑体"/>
          <w:spacing w:val="20"/>
          <w:sz w:val="32"/>
          <w:szCs w:val="32"/>
        </w:rPr>
      </w:pPr>
      <w:r>
        <mc:AlternateContent>
          <mc:Choice Requires="wps">
            <w:drawing>
              <wp:anchor distT="0" distB="0" distL="114300" distR="114300" simplePos="0" relativeHeight="251661312" behindDoc="0" locked="0" layoutInCell="1" allowOverlap="1">
                <wp:simplePos x="0" y="0"/>
                <wp:positionH relativeFrom="page">
                  <wp:posOffset>1263015</wp:posOffset>
                </wp:positionH>
                <wp:positionV relativeFrom="page">
                  <wp:posOffset>1264285</wp:posOffset>
                </wp:positionV>
                <wp:extent cx="3776980" cy="723900"/>
                <wp:effectExtent l="0" t="0" r="0" b="635"/>
                <wp:wrapNone/>
                <wp:docPr id="3" name="文本框 3"/>
                <wp:cNvGraphicFramePr/>
                <a:graphic xmlns:a="http://schemas.openxmlformats.org/drawingml/2006/main">
                  <a:graphicData uri="http://schemas.microsoft.com/office/word/2010/wordprocessingShape">
                    <wps:wsp>
                      <wps:cNvSpPr txBox="true"/>
                      <wps:spPr>
                        <a:xfrm>
                          <a:off x="0" y="0"/>
                          <a:ext cx="3776980" cy="72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9.45pt;margin-top:99.55pt;height:57pt;width:297.4pt;mso-position-horizontal-relative:page;mso-position-vertical-relative:page;z-index:251661312;mso-width-relative:page;mso-height-relative:page;" filled="f" stroked="f" coordsize="21600,21600" o:gfxdata="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&#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aCVr22gAAAAsBAAAPAAAAAAAAAAEAIAAAADgAAABk&#10;cnMvZG93bnJldi54bWxQSwECFAAUAAAACACHTuJATRjD3icCAAAiBAAADgAAAAAAAAABACAAAAA/&#10;AQAAZHJzL2Uyb0RvYy54bWxQSwUGAAAAAAYABgBZAQAA2AUAAAAA&#10;">
                <v:fill on="f" focussize="0,0"/>
                <v:stroke on="f" weight="0.5pt"/>
                <v:imagedata o:title=""/>
                <o:lock v:ext="edit" aspectratio="f"/>
                <v:textbo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v:textbox>
              </v:shape>
            </w:pict>
          </mc:Fallback>
        </mc:AlternateContent>
      </w:r>
    </w:p>
    <w:p>
      <w:pPr>
        <w:pStyle w:val="30"/>
        <w:spacing w:after="240" w:line="360" w:lineRule="auto"/>
        <w:ind w:left="480"/>
        <w:jc w:val="right"/>
        <w:rPr>
          <w:rFonts w:eastAsia="黑体"/>
          <w:b/>
          <w:bCs/>
          <w:color w:val="auto"/>
          <w:spacing w:val="-11"/>
          <w:sz w:val="28"/>
          <w:szCs w:val="28"/>
        </w:rPr>
      </w:pPr>
    </w:p>
    <w:p>
      <w:pPr>
        <w:pStyle w:val="30"/>
        <w:spacing w:after="240" w:line="360" w:lineRule="auto"/>
        <w:ind w:left="480"/>
        <w:jc w:val="right"/>
        <w:rPr>
          <w:rFonts w:eastAsia="黑体"/>
          <w:b/>
          <w:bCs/>
          <w:color w:val="auto"/>
          <w:spacing w:val="-11"/>
          <w:sz w:val="28"/>
          <w:szCs w:val="28"/>
        </w:rPr>
      </w:pPr>
    </w:p>
    <w:p>
      <w:pPr>
        <w:pStyle w:val="31"/>
        <w:spacing w:line="360" w:lineRule="auto"/>
        <w:ind w:right="3840"/>
        <w:rPr>
          <w:rFonts w:eastAsia="黑体e眠副浡渀."/>
          <w:sz w:val="96"/>
          <w:szCs w:val="96"/>
        </w:rPr>
      </w:pPr>
    </w:p>
    <w:p>
      <w:pPr>
        <w:pStyle w:val="30"/>
        <w:rPr>
          <w:color w:val="auto"/>
        </w:rPr>
      </w:pPr>
      <w:r>
        <mc:AlternateContent>
          <mc:Choice Requires="wps">
            <w:drawing>
              <wp:anchor distT="0" distB="0" distL="114300" distR="114300" simplePos="0" relativeHeight="251668480" behindDoc="0" locked="0" layoutInCell="1" allowOverlap="1">
                <wp:simplePos x="0" y="0"/>
                <wp:positionH relativeFrom="page">
                  <wp:posOffset>1480820</wp:posOffset>
                </wp:positionH>
                <wp:positionV relativeFrom="page">
                  <wp:posOffset>3568065</wp:posOffset>
                </wp:positionV>
                <wp:extent cx="4789805" cy="69596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789723" cy="6957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cs="黑体"/>
                                <w:b/>
                                <w:bCs/>
                                <w:spacing w:val="20"/>
                                <w:sz w:val="56"/>
                                <w:szCs w:val="56"/>
                              </w:rPr>
                            </w:pPr>
                            <w:r>
                              <w:rPr>
                                <w:rFonts w:hint="eastAsia" w:ascii="宋体" w:hAnsi="宋体" w:cs="黑体"/>
                                <w:b/>
                                <w:bCs/>
                                <w:spacing w:val="20"/>
                                <w:sz w:val="56"/>
                                <w:szCs w:val="56"/>
                              </w:rPr>
                              <w:t>钢结构装配式住宅技术规程</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6.6pt;margin-top:280.95pt;height:54.8pt;width:377.15pt;mso-position-horizontal-relative:page;mso-position-vertical-relative:page;z-index:251668480;mso-width-relative:page;mso-height-relative:page;" filled="f" stroked="f" coordsize="21600,21600" o:gfxdata="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aQEBI3QAAAAsBAAAPAAAAAAAAAAEAIAAAADgAAABk&#10;cnMvZG93bnJldi54bWxQSwECFAAUAAAACACHTuJAHpub+yQCAAAiBAAADgAAAAAAAAABACAAAABC&#10;AQAAZHJzL2Uyb0RvYy54bWxQSwUGAAAAAAYABgBZAQAA2AUAAAAA&#10;">
                <v:fill on="f" focussize="0,0"/>
                <v:stroke on="f" weight="0.5pt"/>
                <v:imagedata o:title=""/>
                <o:lock v:ext="edit" aspectratio="f"/>
                <v:textbox>
                  <w:txbxContent>
                    <w:p>
                      <w:pPr>
                        <w:jc w:val="center"/>
                        <w:rPr>
                          <w:rFonts w:ascii="宋体" w:hAnsi="宋体" w:cs="黑体"/>
                          <w:b/>
                          <w:bCs/>
                          <w:spacing w:val="20"/>
                          <w:sz w:val="56"/>
                          <w:szCs w:val="56"/>
                        </w:rPr>
                      </w:pPr>
                      <w:r>
                        <w:rPr>
                          <w:rFonts w:hint="eastAsia" w:ascii="宋体" w:hAnsi="宋体" w:cs="黑体"/>
                          <w:b/>
                          <w:bCs/>
                          <w:spacing w:val="20"/>
                          <w:sz w:val="56"/>
                          <w:szCs w:val="56"/>
                        </w:rPr>
                        <w:t>钢结构装配式住宅技术规程</w:t>
                      </w:r>
                    </w:p>
                  </w:txbxContent>
                </v:textbox>
              </v:shape>
            </w:pict>
          </mc:Fallback>
        </mc:AlternateContent>
      </w:r>
    </w:p>
    <w:p>
      <w:pPr>
        <w:rPr>
          <w:kern w:val="0"/>
          <w:sz w:val="44"/>
          <w:szCs w:val="44"/>
        </w:rPr>
      </w:pPr>
    </w:p>
    <w:p>
      <w:pPr>
        <w:jc w:val="left"/>
        <w:rPr>
          <w:kern w:val="0"/>
          <w:sz w:val="44"/>
          <w:szCs w:val="44"/>
        </w:rPr>
      </w:pPr>
      <w:r>
        <w:rPr>
          <w:sz w:val="24"/>
          <w:szCs w:val="24"/>
        </w:rPr>
        <mc:AlternateContent>
          <mc:Choice Requires="wps">
            <w:drawing>
              <wp:anchor distT="0" distB="0" distL="114300" distR="114300" simplePos="0" relativeHeight="251669504" behindDoc="0" locked="0" layoutInCell="1" allowOverlap="1">
                <wp:simplePos x="0" y="0"/>
                <wp:positionH relativeFrom="page">
                  <wp:posOffset>1003300</wp:posOffset>
                </wp:positionH>
                <wp:positionV relativeFrom="page">
                  <wp:posOffset>4213860</wp:posOffset>
                </wp:positionV>
                <wp:extent cx="5744210" cy="565150"/>
                <wp:effectExtent l="0" t="0" r="0" b="6350"/>
                <wp:wrapNone/>
                <wp:docPr id="4" name="文本框 4"/>
                <wp:cNvGraphicFramePr/>
                <a:graphic xmlns:a="http://schemas.openxmlformats.org/drawingml/2006/main">
                  <a:graphicData uri="http://schemas.microsoft.com/office/word/2010/wordprocessingShape">
                    <wps:wsp>
                      <wps:cNvSpPr txBox="true"/>
                      <wps:spPr>
                        <a:xfrm>
                          <a:off x="0" y="0"/>
                          <a:ext cx="5744100" cy="565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eastAsia="黑体"/>
                                <w:b/>
                                <w:bCs/>
                                <w:spacing w:val="20"/>
                                <w:sz w:val="44"/>
                                <w:szCs w:val="44"/>
                              </w:rPr>
                            </w:pPr>
                            <w:r>
                              <w:rPr>
                                <w:bCs/>
                                <w:color w:val="000000"/>
                                <w:sz w:val="32"/>
                                <w:szCs w:val="32"/>
                              </w:rPr>
                              <w:t>Technical specification for assembled residence of steel structure</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9pt;margin-top:331.8pt;height:44.5pt;width:452.3pt;mso-position-horizontal-relative:page;mso-position-vertical-relative:page;z-index:251669504;mso-width-relative:page;mso-height-relative:page;" filled="f" stroked="f" coordsize="21600,21600" o:gfxdata="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Dc46Tj2gAAAAwBAAAPAAAAAAAAAAEAIAAAADgAAABkcnMv&#10;ZG93bnJldi54bWxQSwECFAAUAAAACACHTuJAcC8BmSQCAAAiBAAADgAAAAAAAAABACAAAAA/AQAA&#10;ZHJzL2Uyb0RvYy54bWxQSwUGAAAAAAYABgBZAQAA1QUAAAAA&#10;">
                <v:fill on="f" focussize="0,0"/>
                <v:stroke on="f" weight="0.5pt"/>
                <v:imagedata o:title=""/>
                <o:lock v:ext="edit" aspectratio="f"/>
                <v:textbox>
                  <w:txbxContent>
                    <w:p>
                      <w:pPr>
                        <w:jc w:val="center"/>
                        <w:rPr>
                          <w:rFonts w:eastAsia="黑体"/>
                          <w:b/>
                          <w:bCs/>
                          <w:spacing w:val="20"/>
                          <w:sz w:val="44"/>
                          <w:szCs w:val="44"/>
                        </w:rPr>
                      </w:pPr>
                      <w:r>
                        <w:rPr>
                          <w:bCs/>
                          <w:color w:val="000000"/>
                          <w:sz w:val="32"/>
                          <w:szCs w:val="32"/>
                        </w:rPr>
                        <w:t>Technical specification for assembled residence of steel structure</w:t>
                      </w:r>
                    </w:p>
                  </w:txbxContent>
                </v:textbox>
              </v:shape>
            </w:pict>
          </mc:Fallback>
        </mc:AlternateContent>
      </w:r>
    </w:p>
    <w:p>
      <w:pPr>
        <w:pStyle w:val="30"/>
        <w:spacing w:line="360" w:lineRule="auto"/>
        <w:ind w:left="480"/>
        <w:rPr>
          <w:color w:val="auto"/>
        </w:rPr>
      </w:pPr>
    </w:p>
    <w:p>
      <w:pPr>
        <w:pStyle w:val="30"/>
        <w:spacing w:line="360" w:lineRule="auto"/>
        <w:ind w:left="480"/>
        <w:jc w:val="center"/>
        <w:rPr>
          <w:color w:val="auto"/>
        </w:rPr>
      </w:pPr>
      <w:r>
        <w:rPr>
          <w:rFonts w:hint="eastAsia"/>
          <w:color w:val="auto"/>
          <w:sz w:val="32"/>
        </w:rPr>
        <w:t>（征求意见稿）</w:t>
      </w:r>
    </w:p>
    <w:p>
      <w:pPr>
        <w:pStyle w:val="30"/>
        <w:spacing w:line="360" w:lineRule="auto"/>
        <w:ind w:left="480"/>
        <w:rPr>
          <w:color w:val="auto"/>
        </w:rPr>
      </w:pPr>
    </w:p>
    <w:p>
      <w:pPr>
        <w:pStyle w:val="30"/>
        <w:spacing w:line="360" w:lineRule="auto"/>
        <w:ind w:left="480"/>
        <w:rPr>
          <w:color w:val="auto"/>
        </w:rPr>
      </w:pPr>
    </w:p>
    <w:p>
      <w:pPr>
        <w:pStyle w:val="30"/>
        <w:spacing w:line="360" w:lineRule="auto"/>
        <w:ind w:left="480"/>
        <w:rPr>
          <w:color w:val="auto"/>
        </w:rPr>
      </w:pPr>
    </w:p>
    <w:p>
      <w:pPr>
        <w:pStyle w:val="30"/>
        <w:spacing w:line="360" w:lineRule="auto"/>
        <w:ind w:left="480"/>
        <w:rPr>
          <w:color w:val="auto"/>
        </w:rPr>
      </w:pPr>
    </w:p>
    <w:p>
      <w:pPr>
        <w:pStyle w:val="30"/>
        <w:spacing w:line="360" w:lineRule="auto"/>
        <w:ind w:left="480"/>
        <w:rPr>
          <w:color w:val="auto"/>
        </w:rPr>
      </w:pPr>
    </w:p>
    <w:p>
      <w:pPr>
        <w:pStyle w:val="30"/>
        <w:ind w:left="480"/>
        <w:rPr>
          <w:color w:val="auto"/>
        </w:rPr>
      </w:pPr>
    </w:p>
    <w:p>
      <w:pPr>
        <w:pStyle w:val="30"/>
        <w:ind w:left="480"/>
        <w:rPr>
          <w:color w:val="auto"/>
        </w:rPr>
      </w:pPr>
    </w:p>
    <w:p>
      <w:pPr>
        <w:pStyle w:val="30"/>
        <w:ind w:left="480"/>
        <w:rPr>
          <w:color w:val="auto"/>
        </w:rPr>
      </w:pPr>
    </w:p>
    <w:p>
      <w:pPr>
        <w:pStyle w:val="30"/>
        <w:ind w:left="480"/>
        <w:rPr>
          <w:color w:val="auto"/>
        </w:rPr>
      </w:pPr>
    </w:p>
    <w:p>
      <w:pPr>
        <w:pStyle w:val="30"/>
        <w:ind w:left="480"/>
        <w:rPr>
          <w:color w:val="auto"/>
        </w:rPr>
      </w:pPr>
    </w:p>
    <w:p>
      <w:pPr>
        <w:pStyle w:val="30"/>
        <w:ind w:left="480"/>
        <w:rPr>
          <w:color w:val="auto"/>
        </w:rPr>
      </w:pPr>
    </w:p>
    <w:p>
      <w:pPr>
        <w:pStyle w:val="30"/>
        <w:ind w:left="480"/>
        <w:rPr>
          <w:color w:val="auto"/>
        </w:rPr>
      </w:pPr>
    </w:p>
    <w:p>
      <w:pPr>
        <w:pStyle w:val="30"/>
        <w:spacing w:line="360" w:lineRule="auto"/>
        <w:ind w:left="480"/>
        <w:rPr>
          <w:color w:val="auto"/>
        </w:rPr>
      </w:pPr>
    </w:p>
    <w:p>
      <w:pPr>
        <w:pStyle w:val="30"/>
        <w:spacing w:line="360" w:lineRule="auto"/>
        <w:ind w:left="480"/>
        <w:rPr>
          <w:color w:val="auto"/>
        </w:rPr>
      </w:pPr>
    </w:p>
    <w:p>
      <w:pPr>
        <w:pStyle w:val="30"/>
        <w:spacing w:line="360" w:lineRule="auto"/>
        <w:ind w:left="480"/>
        <w:rPr>
          <w:color w:val="auto"/>
        </w:rPr>
      </w:pPr>
    </w:p>
    <w:p>
      <w:pPr>
        <w:pStyle w:val="30"/>
        <w:spacing w:after="240" w:line="360" w:lineRule="auto"/>
        <w:ind w:left="480"/>
        <w:jc w:val="right"/>
        <w:rPr>
          <w:rFonts w:eastAsia="黑体"/>
          <w:b/>
          <w:bCs/>
          <w:color w:val="auto"/>
          <w:spacing w:val="-11"/>
          <w:sz w:val="28"/>
          <w:szCs w:val="28"/>
        </w:rPr>
      </w:pPr>
      <w:r>
        <mc:AlternateContent>
          <mc:Choice Requires="wps">
            <w:drawing>
              <wp:anchor distT="0" distB="0" distL="114300" distR="114300" simplePos="0" relativeHeight="251664384" behindDoc="0" locked="0" layoutInCell="1" allowOverlap="1">
                <wp:simplePos x="0" y="0"/>
                <wp:positionH relativeFrom="page">
                  <wp:posOffset>702310</wp:posOffset>
                </wp:positionH>
                <wp:positionV relativeFrom="page">
                  <wp:posOffset>9681845</wp:posOffset>
                </wp:positionV>
                <wp:extent cx="4993005" cy="608330"/>
                <wp:effectExtent l="0" t="0" r="0" b="1270"/>
                <wp:wrapNone/>
                <wp:docPr id="12" name="文本框 12"/>
                <wp:cNvGraphicFramePr/>
                <a:graphic xmlns:a="http://schemas.openxmlformats.org/drawingml/2006/main">
                  <a:graphicData uri="http://schemas.microsoft.com/office/word/2010/wordprocessingShape">
                    <wps:wsp>
                      <wps:cNvSpPr txBox="true"/>
                      <wps:spPr>
                        <a:xfrm>
                          <a:off x="0" y="0"/>
                          <a:ext cx="4993200" cy="608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5.3pt;margin-top:762.35pt;height:47.9pt;width:393.15pt;mso-position-horizontal-relative:page;mso-position-vertical-relative:page;z-index:251664384;mso-width-relative:page;mso-height-relative:page;" filled="f" stroked="f" coordsize="21600,21600" o:gfxdata="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&#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rvh2p3QAAAA0BAAAPAAAAAAAAAAEAIAAAADgAAABk&#10;cnMvZG93bnJldi54bWxQSwECFAAUAAAACACHTuJAvBvN9SQCAAAkBAAADgAAAAAAAAABACAAAABC&#10;AQAAZHJzL2Uyb0RvYy54bWxQSwUGAAAAAAYABgBZAQAA2AUAAAAA&#10;">
                <v:fill on="f" focussize="0,0"/>
                <v:stroke on="f" weight="0.5pt"/>
                <v:imagedata o:title=""/>
                <o:lock v:ext="edit" aspectratio="f"/>
                <v:textbo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v:textbox>
              </v:shape>
            </w:pict>
          </mc:Fallback>
        </mc:AlternateContent>
      </w:r>
      <w:r>
        <mc:AlternateContent>
          <mc:Choice Requires="wps">
            <w:drawing>
              <wp:anchor distT="45720" distB="45720" distL="114300" distR="114300" simplePos="0" relativeHeight="251665408" behindDoc="0" locked="0" layoutInCell="1" allowOverlap="1">
                <wp:simplePos x="0" y="0"/>
                <wp:positionH relativeFrom="page">
                  <wp:posOffset>6124575</wp:posOffset>
                </wp:positionH>
                <wp:positionV relativeFrom="page">
                  <wp:posOffset>9681845</wp:posOffset>
                </wp:positionV>
                <wp:extent cx="752475" cy="547370"/>
                <wp:effectExtent l="0" t="0" r="0" b="5715"/>
                <wp:wrapNone/>
                <wp:docPr id="217" name="文本框 217"/>
                <wp:cNvGraphicFramePr/>
                <a:graphic xmlns:a="http://schemas.openxmlformats.org/drawingml/2006/main">
                  <a:graphicData uri="http://schemas.microsoft.com/office/word/2010/wordprocessingShape">
                    <wps:wsp>
                      <wps:cNvSpPr txBox="true">
                        <a:spLocks noChangeArrowheads="true"/>
                      </wps:cNvSpPr>
                      <wps:spPr bwMode="auto">
                        <a:xfrm>
                          <a:off x="0" y="0"/>
                          <a:ext cx="752400" cy="547200"/>
                        </a:xfrm>
                        <a:prstGeom prst="rect">
                          <a:avLst/>
                        </a:prstGeom>
                        <a:noFill/>
                        <a:ln w="9525">
                          <a:noFill/>
                          <a:miter lim="800000"/>
                        </a:ln>
                      </wps:spPr>
                      <wps:txbx>
                        <w:txbxContent>
                          <w:p>
                            <w:pPr>
                              <w:jc w:val="distribute"/>
                              <w:rPr>
                                <w:b/>
                                <w:bCs/>
                                <w:sz w:val="28"/>
                                <w:szCs w:val="28"/>
                              </w:rPr>
                            </w:pPr>
                            <w:r>
                              <w:rPr>
                                <w:rFonts w:hint="eastAsia" w:ascii="黑体" w:hAnsi="黑体" w:eastAsia="黑体" w:cs="黑体"/>
                                <w:b/>
                                <w:bCs/>
                                <w:sz w:val="40"/>
                                <w:szCs w:val="40"/>
                              </w:rPr>
                              <w:t>发布</w:t>
                            </w:r>
                          </w:p>
                        </w:txbxContent>
                      </wps:txbx>
                      <wps:bodyPr rot="0" vertOverflow="clip" horzOverflow="clip"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482.25pt;margin-top:762.35pt;height:43.1pt;width:59.25pt;mso-position-horizontal-relative:page;mso-position-vertical-relative:page;z-index:251665408;mso-width-relative:page;mso-height-relative:page;" filled="f" stroked="f" coordsize="21600,21600" o:gfxdata="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89mHN2gAAAA4BAAAPAAAAAAAAAAEAIAAAADgAAABkcnMvZG93bnJl&#10;di54bWxQSwECFAAUAAAACACHTuJA2hifBx4CAAAQBAAADgAAAAAAAAABACAAAAA/AQAAZHJzL2Uy&#10;b0RvYy54bWxQSwUGAAAAAAYABgBZAQAAzwUAAAAA&#10;">
                <v:fill on="f" focussize="0,0"/>
                <v:stroke on="f" miterlimit="8" joinstyle="miter"/>
                <v:imagedata o:title=""/>
                <o:lock v:ext="edit" aspectratio="f"/>
                <v:textbox>
                  <w:txbxContent>
                    <w:p>
                      <w:pPr>
                        <w:jc w:val="distribute"/>
                        <w:rPr>
                          <w:b/>
                          <w:bCs/>
                          <w:sz w:val="28"/>
                          <w:szCs w:val="28"/>
                        </w:rPr>
                      </w:pPr>
                      <w:r>
                        <w:rPr>
                          <w:rFonts w:hint="eastAsia" w:ascii="黑体" w:hAnsi="黑体" w:eastAsia="黑体" w:cs="黑体"/>
                          <w:b/>
                          <w:bCs/>
                          <w:sz w:val="40"/>
                          <w:szCs w:val="40"/>
                        </w:rPr>
                        <w:t>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-86360</wp:posOffset>
                </wp:positionH>
                <wp:positionV relativeFrom="page">
                  <wp:posOffset>9069705</wp:posOffset>
                </wp:positionV>
                <wp:extent cx="77146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48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8pt;margin-top:714.15pt;height:0pt;width:607.45pt;mso-position-horizontal-relative:page;mso-position-vertical-relative:page;z-index:251667456;mso-width-relative:page;mso-height-relative:page;" filled="f" stroked="t" coordsize="21600,21600" o:gfxdata="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gLCMyNgAAAAOAQAADwAAAAAAAAABACAAAAA4AAAAZHJzL2Rvd25yZXYueG1sUEsBAhQAFAAAAAgA&#10;h07iQFmnLHbWAQAAmQMAAA4AAAAAAAAAAQAgAAAAPQEAAGRycy9lMm9Eb2MueG1sUEsFBgAAAAAG&#10;AAYAWQEAAIUFAAAAAA==&#10;">
                <v:fill on="f" focussize="0,0"/>
                <v:stroke weight="1.5pt" color="#000000" joinstyle="round"/>
                <v:imagedata o:title=""/>
                <o:lock v:ext="edit" aspectratio="f"/>
              </v:line>
            </w:pict>
          </mc:Fallback>
        </mc:AlternateContent>
      </w:r>
      <w:r>
        <w:rPr>
          <w:rFonts w:eastAsia="黑体"/>
          <w:b/>
          <w:bCs/>
          <w:color w:val="auto"/>
          <w:spacing w:val="-11"/>
          <w:sz w:val="28"/>
          <w:szCs w:val="28"/>
        </w:rPr>
        <w:t xml:space="preserve">                           </w:t>
      </w:r>
    </w:p>
    <w:p>
      <w:pPr>
        <w:spacing w:line="240" w:lineRule="auto"/>
        <w:jc w:val="center"/>
        <w:rPr>
          <w:rFonts w:ascii="黑体" w:hAnsi="黑体" w:eastAsia="黑体"/>
          <w:b/>
          <w:sz w:val="32"/>
        </w:rPr>
        <w:sectPr>
          <w:footerReference r:id="rId5" w:type="default"/>
          <w:footerReference r:id="rId6" w:type="even"/>
          <w:pgSz w:w="11906" w:h="16838"/>
          <w:pgMar w:top="1610" w:right="1349" w:bottom="1213" w:left="1293" w:header="851" w:footer="992" w:gutter="0"/>
          <w:cols w:space="425" w:num="1"/>
          <w:docGrid w:type="lines" w:linePitch="333" w:charSpace="4423"/>
        </w:sectPr>
      </w:pPr>
    </w:p>
    <w:p>
      <w:pPr>
        <w:spacing w:line="240" w:lineRule="auto"/>
        <w:jc w:val="center"/>
        <w:rPr>
          <w:rFonts w:ascii="黑体" w:hAnsi="黑体" w:eastAsia="黑体"/>
          <w:b/>
          <w:sz w:val="32"/>
        </w:rPr>
      </w:pPr>
    </w:p>
    <w:p>
      <w:pPr>
        <w:spacing w:line="240" w:lineRule="auto"/>
        <w:ind w:right="-44" w:rightChars="-20"/>
        <w:jc w:val="center"/>
        <w:rPr>
          <w:rFonts w:eastAsia="黑体"/>
          <w:sz w:val="32"/>
          <w:szCs w:val="32"/>
        </w:rPr>
      </w:pPr>
      <w:r>
        <w:rPr>
          <w:rFonts w:hint="eastAsia" w:eastAsia="黑体"/>
          <w:sz w:val="32"/>
          <w:szCs w:val="32"/>
        </w:rPr>
        <w:t>深圳市工程建设地方标准</w:t>
      </w:r>
    </w:p>
    <w:p>
      <w:pPr>
        <w:spacing w:line="240" w:lineRule="auto"/>
        <w:jc w:val="center"/>
        <w:rPr>
          <w:sz w:val="30"/>
        </w:rPr>
      </w:pPr>
    </w:p>
    <w:p>
      <w:pPr>
        <w:spacing w:line="240" w:lineRule="auto"/>
        <w:jc w:val="center"/>
        <w:rPr>
          <w:rFonts w:ascii="宋体" w:hAnsi="宋体"/>
          <w:b/>
          <w:bCs/>
          <w:sz w:val="32"/>
          <w:szCs w:val="32"/>
        </w:rPr>
      </w:pPr>
      <w:r>
        <w:rPr>
          <w:rFonts w:hint="eastAsia" w:ascii="宋体" w:hAnsi="宋体"/>
          <w:b/>
          <w:bCs/>
          <w:sz w:val="32"/>
          <w:szCs w:val="32"/>
        </w:rPr>
        <w:t>钢结构装配式住宅技术规程</w:t>
      </w:r>
    </w:p>
    <w:p>
      <w:pPr>
        <w:spacing w:line="240" w:lineRule="auto"/>
        <w:jc w:val="center"/>
        <w:rPr>
          <w:rFonts w:eastAsia="黑体"/>
          <w:sz w:val="32"/>
          <w:szCs w:val="32"/>
        </w:rPr>
      </w:pPr>
      <w:r>
        <w:rPr>
          <w:rFonts w:eastAsia="黑体"/>
          <w:sz w:val="32"/>
          <w:szCs w:val="32"/>
        </w:rPr>
        <w:t>Technical specification for assembled residence of steel structure</w:t>
      </w:r>
    </w:p>
    <w:p>
      <w:pPr>
        <w:spacing w:line="240" w:lineRule="auto"/>
        <w:jc w:val="center"/>
        <w:rPr>
          <w:b/>
          <w:sz w:val="30"/>
        </w:rPr>
      </w:pPr>
    </w:p>
    <w:p>
      <w:pPr>
        <w:spacing w:line="240" w:lineRule="auto"/>
        <w:jc w:val="center"/>
        <w:rPr>
          <w:b/>
          <w:sz w:val="30"/>
        </w:rPr>
      </w:pPr>
      <w:r>
        <w:rPr>
          <w:b/>
          <w:sz w:val="30"/>
        </w:rPr>
        <w:t xml:space="preserve">SJG </w:t>
      </w:r>
      <w:r>
        <w:rPr>
          <w:rFonts w:eastAsia="黑体e眠副浡渀."/>
          <w:b/>
          <w:sz w:val="28"/>
          <w:szCs w:val="28"/>
        </w:rPr>
        <w:t>XXX</w:t>
      </w:r>
      <w:r>
        <w:rPr>
          <w:b/>
          <w:sz w:val="28"/>
          <w:szCs w:val="28"/>
        </w:rPr>
        <w:t xml:space="preserve"> </w:t>
      </w:r>
      <w:r>
        <w:rPr>
          <w:rFonts w:hint="eastAsia" w:ascii="宋体" w:hAnsi="宋体"/>
          <w:b/>
          <w:sz w:val="28"/>
          <w:szCs w:val="28"/>
        </w:rPr>
        <w:t>-</w:t>
      </w:r>
      <w:r>
        <w:rPr>
          <w:rFonts w:hint="eastAsia"/>
          <w:b/>
          <w:sz w:val="28"/>
          <w:szCs w:val="28"/>
        </w:rPr>
        <w:t xml:space="preserve"> </w:t>
      </w:r>
      <w:r>
        <w:rPr>
          <w:rFonts w:hint="eastAsia"/>
          <w:b/>
          <w:sz w:val="30"/>
        </w:rPr>
        <w:t>202X</w:t>
      </w:r>
    </w:p>
    <w:p>
      <w:pPr>
        <w:spacing w:line="240" w:lineRule="auto"/>
        <w:ind w:firstLine="600"/>
        <w:jc w:val="center"/>
        <w:rPr>
          <w:sz w:val="30"/>
        </w:rPr>
      </w:pPr>
    </w:p>
    <w:p>
      <w:pPr>
        <w:spacing w:line="240" w:lineRule="auto"/>
        <w:ind w:firstLine="1556" w:firstLineChars="708"/>
        <w:rPr>
          <w:szCs w:val="28"/>
        </w:rPr>
      </w:pPr>
    </w:p>
    <w:p>
      <w:pPr>
        <w:spacing w:line="240" w:lineRule="auto"/>
        <w:ind w:firstLine="1556" w:firstLineChars="708"/>
        <w:rPr>
          <w:szCs w:val="28"/>
        </w:rPr>
      </w:pPr>
    </w:p>
    <w:p>
      <w:pPr>
        <w:spacing w:line="240" w:lineRule="auto"/>
        <w:ind w:firstLine="1556" w:firstLineChars="708"/>
        <w:rPr>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spacing w:line="240" w:lineRule="auto"/>
        <w:rPr>
          <w:sz w:val="28"/>
          <w:szCs w:val="28"/>
        </w:rPr>
      </w:pPr>
    </w:p>
    <w:p>
      <w:pPr>
        <w:widowControl/>
        <w:spacing w:line="240" w:lineRule="auto"/>
        <w:jc w:val="center"/>
        <w:rPr>
          <w:rFonts w:ascii="黑体" w:hAnsi="黑体" w:eastAsia="黑体"/>
          <w:kern w:val="0"/>
          <w:sz w:val="30"/>
          <w:szCs w:val="30"/>
        </w:rPr>
      </w:pPr>
      <w:r>
        <w:rPr>
          <w:rFonts w:eastAsia="黑体"/>
          <w:kern w:val="0"/>
          <w:sz w:val="30"/>
          <w:szCs w:val="30"/>
        </w:rPr>
        <w:t>202X</w:t>
      </w:r>
      <w:r>
        <w:rPr>
          <w:rFonts w:ascii="黑体" w:hAnsi="黑体" w:eastAsia="黑体"/>
          <w:kern w:val="0"/>
          <w:sz w:val="30"/>
          <w:szCs w:val="30"/>
        </w:rPr>
        <w:t xml:space="preserve"> </w:t>
      </w:r>
      <w:r>
        <w:rPr>
          <w:rFonts w:hint="eastAsia" w:ascii="黑体" w:hAnsi="黑体" w:eastAsia="黑体"/>
          <w:spacing w:val="183"/>
          <w:kern w:val="0"/>
          <w:sz w:val="30"/>
          <w:szCs w:val="30"/>
          <w:fitText w:val="966" w:id="-1579431167"/>
        </w:rPr>
        <w:t>深</w:t>
      </w:r>
      <w:r>
        <w:rPr>
          <w:rFonts w:hint="eastAsia" w:ascii="黑体" w:hAnsi="黑体" w:eastAsia="黑体"/>
          <w:spacing w:val="0"/>
          <w:kern w:val="0"/>
          <w:sz w:val="30"/>
          <w:szCs w:val="30"/>
          <w:fitText w:val="966" w:id="-1579431167"/>
        </w:rPr>
        <w:t>圳</w:t>
      </w:r>
    </w:p>
    <w:p>
      <w:pPr>
        <w:widowControl/>
        <w:spacing w:line="240" w:lineRule="auto"/>
        <w:jc w:val="left"/>
        <w:rPr>
          <w:rFonts w:ascii="黑体" w:hAnsi="黑体" w:eastAsia="黑体"/>
          <w:kern w:val="0"/>
          <w:sz w:val="30"/>
          <w:szCs w:val="30"/>
        </w:rPr>
      </w:pPr>
      <w:r>
        <w:rPr>
          <w:rFonts w:ascii="黑体" w:hAnsi="黑体" w:eastAsia="黑体"/>
          <w:kern w:val="0"/>
          <w:sz w:val="30"/>
          <w:szCs w:val="30"/>
        </w:rPr>
        <w:br w:type="page"/>
      </w:r>
    </w:p>
    <w:p>
      <w:pPr>
        <w:spacing w:before="360" w:after="360" w:line="240" w:lineRule="auto"/>
        <w:jc w:val="center"/>
        <w:rPr>
          <w:rFonts w:ascii="宋体" w:hAnsi="宋体"/>
          <w:b/>
          <w:sz w:val="28"/>
          <w:szCs w:val="28"/>
        </w:rPr>
      </w:pPr>
      <w:r>
        <w:rPr>
          <w:rFonts w:hint="eastAsia" w:ascii="宋体" w:hAnsi="宋体"/>
          <w:b/>
          <w:sz w:val="28"/>
          <w:szCs w:val="28"/>
        </w:rPr>
        <w:t xml:space="preserve">前 </w:t>
      </w:r>
      <w:r>
        <w:rPr>
          <w:rFonts w:ascii="宋体" w:hAnsi="宋体"/>
          <w:b/>
          <w:sz w:val="28"/>
          <w:szCs w:val="28"/>
        </w:rPr>
        <w:t xml:space="preserve">   </w:t>
      </w:r>
      <w:r>
        <w:rPr>
          <w:rFonts w:hint="eastAsia" w:ascii="宋体" w:hAnsi="宋体"/>
          <w:b/>
          <w:sz w:val="28"/>
          <w:szCs w:val="28"/>
        </w:rPr>
        <w:t>言</w:t>
      </w:r>
    </w:p>
    <w:p>
      <w:pPr>
        <w:spacing w:line="240" w:lineRule="auto"/>
        <w:ind w:firstLine="440" w:firstLineChars="200"/>
        <w:rPr>
          <w:rFonts w:cs="等线"/>
        </w:rPr>
      </w:pPr>
      <w:r>
        <w:rPr>
          <w:rFonts w:hint="eastAsia" w:cs="等线"/>
        </w:rPr>
        <w:t>根据《深圳市住房和建设局关于发布2020年深圳市工程建设标准制订修订计划项目（第一批）的通知》（深建标〔2020〕2号）的要求，标准编制组经广泛调查研究，认真总结实践经验，参考有关国内外先进标准，结合深圳市的实际，并在广泛征求意见的基础上，编制了本标准。</w:t>
      </w:r>
    </w:p>
    <w:p>
      <w:pPr>
        <w:spacing w:line="240" w:lineRule="auto"/>
        <w:ind w:firstLine="440" w:firstLineChars="200"/>
        <w:rPr>
          <w:rFonts w:cs="等线"/>
        </w:rPr>
      </w:pPr>
      <w:r>
        <w:rPr>
          <w:rFonts w:hint="eastAsia" w:cs="等线"/>
        </w:rPr>
        <w:t>本标准主要技术内容是：1，总则；2.术语；3.基本规定；4.建筑设计；5.结构系统设计；6.外围护系统设计；7.设备与管线系统设计；8.内装系统设计；9.部品部（构）件生产、施工安装与质量验收；10.智能建造与信息化应用；11.使用维护与管理。</w:t>
      </w:r>
    </w:p>
    <w:p>
      <w:pPr>
        <w:spacing w:line="240" w:lineRule="auto"/>
        <w:ind w:firstLine="440" w:firstLineChars="200"/>
        <w:jc w:val="left"/>
        <w:rPr>
          <w:rFonts w:cs="等线"/>
        </w:rPr>
      </w:pPr>
      <w:r>
        <w:rPr>
          <w:rFonts w:hint="eastAsia" w:cs="等线"/>
        </w:rPr>
        <w:t>本标准由深圳市住房和建设局批准发布，由深圳市住房和建设局业务归口并组织中建科工集团有限公司等编制单位负责技术内容的解释。本标准实施过程中如有意见或建议，中建科工集团有限公司（地址：深圳市南山区后海中心路3331号；邮政编码：518052)，以供今后修订时参考。</w:t>
      </w:r>
    </w:p>
    <w:p>
      <w:pPr>
        <w:spacing w:line="240" w:lineRule="auto"/>
        <w:ind w:firstLine="455" w:firstLineChars="155"/>
        <w:jc w:val="left"/>
        <w:rPr>
          <w:rFonts w:cs="等线"/>
          <w:szCs w:val="21"/>
        </w:rPr>
      </w:pPr>
      <w:r>
        <w:rPr>
          <w:rFonts w:hint="eastAsia" w:ascii="宋体" w:hAnsi="宋体"/>
          <w:spacing w:val="37"/>
          <w:kern w:val="0"/>
          <w:szCs w:val="21"/>
          <w:fitText w:val="2210" w:id="-1572572412"/>
        </w:rPr>
        <w:t>本标准主编单位</w:t>
      </w:r>
      <w:r>
        <w:rPr>
          <w:rFonts w:hint="eastAsia" w:cs="等线"/>
          <w:spacing w:val="6"/>
          <w:kern w:val="0"/>
          <w:szCs w:val="21"/>
          <w:fitText w:val="2210" w:id="-1572572412"/>
        </w:rPr>
        <w:t>：</w:t>
      </w:r>
      <w:r>
        <w:rPr>
          <w:rFonts w:hint="eastAsia" w:cs="等线"/>
        </w:rPr>
        <w:t>中建科工集团有限公司</w:t>
      </w:r>
    </w:p>
    <w:p>
      <w:pPr>
        <w:spacing w:line="240" w:lineRule="auto"/>
        <w:ind w:firstLine="455" w:firstLineChars="155"/>
        <w:jc w:val="left"/>
        <w:rPr>
          <w:rFonts w:cs="等线"/>
        </w:rPr>
      </w:pPr>
      <w:r>
        <w:rPr>
          <w:rFonts w:hint="eastAsia" w:ascii="宋体" w:hAnsi="宋体"/>
          <w:spacing w:val="37"/>
          <w:kern w:val="0"/>
          <w:szCs w:val="21"/>
          <w:fitText w:val="2210" w:id="-1572572413"/>
        </w:rPr>
        <w:t>本标准参编单位</w:t>
      </w:r>
      <w:r>
        <w:rPr>
          <w:rFonts w:hint="eastAsia" w:cs="等线"/>
          <w:spacing w:val="6"/>
          <w:kern w:val="0"/>
          <w:fitText w:val="2210" w:id="-1572572413"/>
        </w:rPr>
        <w:t>：</w:t>
      </w:r>
      <w:r>
        <w:rPr>
          <w:rFonts w:hint="eastAsia" w:cs="等线"/>
          <w:szCs w:val="21"/>
        </w:rPr>
        <w:t>深圳市X</w:t>
      </w:r>
      <w:r>
        <w:rPr>
          <w:rFonts w:cs="等线"/>
          <w:szCs w:val="21"/>
        </w:rPr>
        <w:t>X</w:t>
      </w:r>
      <w:r>
        <w:rPr>
          <w:rFonts w:hint="eastAsia" w:cs="等线"/>
          <w:szCs w:val="21"/>
        </w:rPr>
        <w:t>有限公司</w:t>
      </w:r>
    </w:p>
    <w:p>
      <w:pPr>
        <w:spacing w:line="240" w:lineRule="auto"/>
        <w:ind w:firstLine="464" w:firstLineChars="200"/>
        <w:jc w:val="left"/>
        <w:rPr>
          <w:rFonts w:cs="等线"/>
        </w:rPr>
      </w:pPr>
      <w:r>
        <w:rPr>
          <w:rFonts w:hint="eastAsia" w:cs="等线"/>
          <w:spacing w:val="6"/>
          <w:w w:val="100"/>
          <w:kern w:val="0"/>
          <w:fitText w:val="2210" w:id="-1572572414"/>
        </w:rPr>
        <w:t>本标准主要起草人员</w:t>
      </w:r>
      <w:r>
        <w:rPr>
          <w:rFonts w:hint="eastAsia" w:cs="等线"/>
          <w:spacing w:val="1"/>
          <w:w w:val="100"/>
          <w:kern w:val="0"/>
          <w:fitText w:val="2210" w:id="-1572572414"/>
        </w:rPr>
        <w:t>：</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spacing w:line="240" w:lineRule="auto"/>
        <w:ind w:left="2200" w:leftChars="1000" w:right="-206" w:rightChars="-94" w:firstLine="466" w:firstLineChars="212"/>
        <w:jc w:val="left"/>
        <w:rPr>
          <w:rFonts w:ascii="宋体" w:hAnsi="宋体" w:cs="等线"/>
        </w:rPr>
      </w:pP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spacing w:line="240" w:lineRule="auto"/>
        <w:ind w:firstLine="464" w:firstLineChars="200"/>
        <w:jc w:val="left"/>
        <w:rPr>
          <w:rFonts w:cs="等线"/>
        </w:rPr>
      </w:pPr>
      <w:r>
        <w:rPr>
          <w:rFonts w:hint="eastAsia" w:ascii="宋体" w:hAnsi="宋体"/>
          <w:spacing w:val="6"/>
          <w:w w:val="100"/>
          <w:kern w:val="0"/>
          <w:szCs w:val="21"/>
          <w:fitText w:val="2210" w:id="-1572572415"/>
        </w:rPr>
        <w:t>本标准主要审查人员</w:t>
      </w:r>
      <w:r>
        <w:rPr>
          <w:rFonts w:hint="eastAsia" w:cs="等线"/>
          <w:spacing w:val="1"/>
          <w:w w:val="100"/>
          <w:kern w:val="0"/>
          <w:fitText w:val="2210" w:id="-1572572415"/>
        </w:rPr>
        <w:t>：</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spacing w:line="240" w:lineRule="auto"/>
        <w:ind w:left="-110" w:leftChars="-50" w:right="-206" w:rightChars="-94" w:firstLine="2776" w:firstLineChars="1262"/>
        <w:jc w:val="left"/>
        <w:rPr>
          <w:rFonts w:cs="等线"/>
        </w:rPr>
      </w:pP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spacing w:line="240" w:lineRule="auto"/>
        <w:ind w:right="-206" w:rightChars="-94" w:firstLine="464" w:firstLineChars="200"/>
        <w:jc w:val="left"/>
        <w:rPr>
          <w:rFonts w:cs="等线"/>
        </w:rPr>
      </w:pPr>
      <w:r>
        <w:rPr>
          <w:rFonts w:hint="eastAsia" w:ascii="宋体" w:hAnsi="宋体"/>
          <w:spacing w:val="6"/>
          <w:w w:val="100"/>
          <w:kern w:val="0"/>
          <w:szCs w:val="21"/>
          <w:fitText w:val="2210" w:id="-1572572416"/>
        </w:rPr>
        <w:t>本标准主要指导人员</w:t>
      </w:r>
      <w:r>
        <w:rPr>
          <w:rFonts w:hint="eastAsia" w:ascii="宋体" w:hAnsi="宋体"/>
          <w:spacing w:val="1"/>
          <w:w w:val="100"/>
          <w:kern w:val="0"/>
          <w:szCs w:val="21"/>
          <w:fitText w:val="2210" w:id="-1572572416"/>
        </w:rPr>
        <w:t>：</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spacing w:line="240" w:lineRule="auto"/>
        <w:ind w:left="-110" w:leftChars="-50" w:right="-206" w:rightChars="-94" w:firstLine="2776" w:firstLineChars="1262"/>
        <w:jc w:val="left"/>
        <w:rPr>
          <w:rFonts w:cs="等线"/>
        </w:rPr>
      </w:pP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r>
        <w:rPr>
          <w:rFonts w:hint="eastAsia" w:ascii="宋体" w:hAnsi="宋体" w:cs="等线"/>
        </w:rPr>
        <w:t xml:space="preserve"> </w:t>
      </w:r>
      <w:r>
        <w:rPr>
          <w:rFonts w:ascii="宋体" w:hAnsi="宋体" w:cs="等线"/>
        </w:rPr>
        <w:t xml:space="preserve">  </w:t>
      </w:r>
      <w:r>
        <w:rPr>
          <w:rFonts w:hint="eastAsia" w:cs="等线"/>
        </w:rPr>
        <w:t>X</w:t>
      </w:r>
      <w:r>
        <w:rPr>
          <w:rFonts w:cs="等线"/>
        </w:rPr>
        <w:t>XX</w:t>
      </w:r>
    </w:p>
    <w:p>
      <w:pPr>
        <w:widowControl/>
        <w:spacing w:after="240" w:line="240" w:lineRule="auto"/>
        <w:rPr>
          <w:rFonts w:ascii="黑体" w:hAnsi="黑体" w:eastAsia="黑体"/>
          <w:sz w:val="30"/>
          <w:szCs w:val="30"/>
        </w:rPr>
      </w:pPr>
      <w:r>
        <w:rPr>
          <w:rFonts w:ascii="黑体" w:hAnsi="黑体" w:eastAsia="黑体"/>
          <w:sz w:val="30"/>
          <w:szCs w:val="30"/>
        </w:rPr>
        <w:br w:type="page"/>
      </w:r>
      <w:bookmarkStart w:id="184" w:name="_GoBack"/>
      <w:bookmarkEnd w:id="184"/>
    </w:p>
    <w:sdt>
      <w:sdtPr>
        <w:rPr>
          <w:rFonts w:ascii="仿宋" w:hAnsi="仿宋" w:eastAsia="仿宋" w:cs="Times New Roman"/>
          <w:sz w:val="28"/>
          <w:szCs w:val="28"/>
        </w:rPr>
        <w:id w:val="1309749105"/>
        <w:docPartObj>
          <w:docPartGallery w:val="Table of Contents"/>
          <w:docPartUnique/>
        </w:docPartObj>
      </w:sdtPr>
      <w:sdtEndPr>
        <w:rPr>
          <w:rFonts w:asciiTheme="minorHAnsi" w:hAnsiTheme="minorHAnsi" w:eastAsiaTheme="minorEastAsia" w:cstheme="minorBidi"/>
          <w:b/>
          <w:bCs/>
          <w:sz w:val="21"/>
          <w:szCs w:val="22"/>
          <w:lang w:val="zh-CN"/>
        </w:rPr>
      </w:sdtEndPr>
      <w:sdtContent>
        <w:p>
          <w:pPr>
            <w:pStyle w:val="14"/>
            <w:spacing w:before="360" w:after="360"/>
            <w:ind w:firstLine="0"/>
            <w:jc w:val="center"/>
            <w:rPr>
              <w:rFonts w:ascii="仿宋" w:hAnsi="仿宋" w:eastAsia="仿宋" w:cs="Times New Roman"/>
              <w:sz w:val="28"/>
              <w:szCs w:val="28"/>
            </w:rPr>
          </w:pPr>
          <w:r>
            <w:rPr>
              <w:rFonts w:hint="eastAsia" w:ascii="仿宋" w:hAnsi="仿宋" w:eastAsia="仿宋" w:cs="Times New Roman"/>
              <w:sz w:val="28"/>
              <w:szCs w:val="28"/>
            </w:rPr>
            <w:t xml:space="preserve">目 </w:t>
          </w:r>
          <w:r>
            <w:rPr>
              <w:rFonts w:ascii="仿宋" w:hAnsi="仿宋" w:eastAsia="仿宋" w:cs="Times New Roman"/>
              <w:sz w:val="28"/>
              <w:szCs w:val="28"/>
            </w:rPr>
            <w:t xml:space="preserve">   </w:t>
          </w:r>
          <w:r>
            <w:rPr>
              <w:rFonts w:hint="eastAsia" w:ascii="仿宋" w:hAnsi="仿宋" w:eastAsia="仿宋" w:cs="Times New Roman"/>
              <w:sz w:val="28"/>
              <w:szCs w:val="28"/>
            </w:rPr>
            <w:t>次</w:t>
          </w:r>
        </w:p>
        <w:p>
          <w:pPr>
            <w:pStyle w:val="14"/>
            <w:ind w:firstLine="0"/>
            <w:rPr>
              <w:rFonts w:ascii="Times New Roman" w:hAnsi="Times New Roman" w:eastAsia="宋体" w:cs="Times New Roman"/>
            </w:rPr>
          </w:pPr>
          <w:r>
            <w:rPr>
              <w:rFonts w:ascii="宋体" w:hAnsi="宋体" w:eastAsia="宋体" w:cs="Times New Roman"/>
            </w:rPr>
            <w:fldChar w:fldCharType="begin"/>
          </w:r>
          <w:r>
            <w:rPr>
              <w:rFonts w:ascii="宋体" w:hAnsi="宋体" w:eastAsia="宋体" w:cs="Times New Roman"/>
            </w:rPr>
            <w:instrText xml:space="preserve"> TOC \o "1-3" \h \z \u </w:instrText>
          </w:r>
          <w:r>
            <w:rPr>
              <w:rFonts w:ascii="宋体" w:hAnsi="宋体" w:eastAsia="宋体" w:cs="Times New Roman"/>
            </w:rPr>
            <w:fldChar w:fldCharType="separate"/>
          </w:r>
          <w:r>
            <w:fldChar w:fldCharType="begin"/>
          </w:r>
          <w:r>
            <w:instrText xml:space="preserve"> HYPERLINK \l "_Toc118357430" </w:instrText>
          </w:r>
          <w:r>
            <w:fldChar w:fldCharType="separate"/>
          </w:r>
          <w:r>
            <w:rPr>
              <w:rFonts w:ascii="Times New Roman" w:hAnsi="Times New Roman" w:eastAsia="宋体" w:cs="Times New Roman"/>
            </w:rPr>
            <w:t>1  总则</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lang w:val="en-US" w:eastAsia="zh-CN"/>
            </w:rPr>
            <w:t>..............................................................................................................</w:t>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_Toc118357430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ind w:firstLine="0"/>
            <w:rPr>
              <w:rFonts w:ascii="Times New Roman" w:hAnsi="Times New Roman" w:eastAsia="宋体" w:cs="Times New Roman"/>
            </w:rPr>
          </w:pPr>
          <w:r>
            <w:fldChar w:fldCharType="begin"/>
          </w:r>
          <w:r>
            <w:instrText xml:space="preserve"> HYPERLINK \l "_Toc118357431" </w:instrText>
          </w:r>
          <w:r>
            <w:fldChar w:fldCharType="separate"/>
          </w:r>
          <w:r>
            <w:rPr>
              <w:rFonts w:ascii="Times New Roman" w:hAnsi="Times New Roman" w:eastAsia="宋体" w:cs="Times New Roman"/>
            </w:rPr>
            <w:t>2  术语</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lang w:val="en-US" w:eastAsia="zh-CN"/>
            </w:rPr>
            <w:t>..............................................................................................................</w:t>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_Toc118357431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ind w:firstLine="0"/>
            <w:rPr>
              <w:rFonts w:ascii="Times New Roman" w:hAnsi="Times New Roman" w:eastAsia="宋体" w:cs="Times New Roman"/>
            </w:rPr>
          </w:pPr>
          <w:r>
            <w:fldChar w:fldCharType="begin"/>
          </w:r>
          <w:r>
            <w:instrText xml:space="preserve"> HYPERLINK \l "_Toc118357432" </w:instrText>
          </w:r>
          <w:r>
            <w:fldChar w:fldCharType="separate"/>
          </w:r>
          <w:r>
            <w:rPr>
              <w:rFonts w:ascii="Times New Roman" w:hAnsi="Times New Roman" w:eastAsia="宋体" w:cs="Times New Roman"/>
            </w:rPr>
            <w:t>3  基本规定</w:t>
          </w:r>
          <w:r>
            <w:rPr>
              <w:rFonts w:hint="eastAsia" w:ascii="Times New Roman" w:hAnsi="Times New Roman" w:eastAsia="宋体" w:cs="Times New Roman"/>
              <w:lang w:val="en-US" w:eastAsia="zh-CN"/>
            </w:rPr>
            <w:t>.............................................................................................................</w:t>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_Toc118357432 \h </w:instrText>
          </w:r>
          <w:r>
            <w:rPr>
              <w:rFonts w:ascii="Times New Roman" w:hAnsi="Times New Roman" w:eastAsia="宋体" w:cs="Times New Roman"/>
            </w:rPr>
            <w:fldChar w:fldCharType="separate"/>
          </w:r>
          <w:r>
            <w:rPr>
              <w:rFonts w:ascii="Times New Roman" w:hAnsi="Times New Roman" w:eastAsia="宋体" w:cs="Times New Roman"/>
            </w:rPr>
            <w:t>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ind w:firstLine="0"/>
            <w:rPr>
              <w:rFonts w:ascii="Times New Roman" w:hAnsi="Times New Roman" w:eastAsia="宋体" w:cs="Times New Roman"/>
            </w:rPr>
          </w:pPr>
          <w:r>
            <w:fldChar w:fldCharType="begin"/>
          </w:r>
          <w:r>
            <w:instrText xml:space="preserve"> HYPERLINK \l "_Toc118357433" </w:instrText>
          </w:r>
          <w:r>
            <w:fldChar w:fldCharType="separate"/>
          </w:r>
          <w:r>
            <w:rPr>
              <w:rFonts w:ascii="Times New Roman" w:hAnsi="Times New Roman" w:eastAsia="宋体" w:cs="Times New Roman"/>
            </w:rPr>
            <w:t>4  建筑设计</w:t>
          </w:r>
          <w:r>
            <w:rPr>
              <w:rFonts w:hint="eastAsia" w:ascii="Times New Roman" w:hAnsi="Times New Roman" w:eastAsia="宋体" w:cs="Times New Roman"/>
              <w:lang w:val="en-US" w:eastAsia="zh-CN"/>
            </w:rPr>
            <w:t>.............................................................................................................</w:t>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_Toc118357433 \h </w:instrText>
          </w:r>
          <w:r>
            <w:rPr>
              <w:rFonts w:ascii="Times New Roman" w:hAnsi="Times New Roman" w:eastAsia="宋体" w:cs="Times New Roman"/>
            </w:rPr>
            <w:fldChar w:fldCharType="separate"/>
          </w:r>
          <w:r>
            <w:rPr>
              <w:rFonts w:ascii="Times New Roman" w:hAnsi="Times New Roman" w:eastAsia="宋体" w:cs="Times New Roman"/>
            </w:rPr>
            <w:t>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"_Toc118357434" </w:instrText>
          </w:r>
          <w:r>
            <w:fldChar w:fldCharType="separate"/>
          </w:r>
          <w:r>
            <w:rPr>
              <w:rFonts w:ascii="Times New Roman" w:hAnsi="Times New Roman" w:eastAsia="宋体" w:cs="Times New Roman"/>
              <w:sz w:val="18"/>
              <w:szCs w:val="18"/>
            </w:rPr>
            <w:t>4.1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18"/>
            </w:rPr>
            <w:fldChar w:fldCharType="begin"/>
          </w:r>
          <w:r>
            <w:rPr>
              <w:rFonts w:ascii="Times New Roman" w:hAnsi="Times New Roman" w:eastAsia="宋体" w:cs="Times New Roman"/>
              <w:sz w:val="21"/>
              <w:szCs w:val="18"/>
            </w:rPr>
            <w:instrText xml:space="preserve"> PAGEREF _Toc118357434 \h </w:instrText>
          </w:r>
          <w:r>
            <w:rPr>
              <w:rFonts w:ascii="Times New Roman" w:hAnsi="Times New Roman" w:eastAsia="宋体" w:cs="Times New Roman"/>
              <w:sz w:val="21"/>
              <w:szCs w:val="18"/>
            </w:rPr>
            <w:fldChar w:fldCharType="separate"/>
          </w:r>
          <w:r>
            <w:rPr>
              <w:rFonts w:ascii="Times New Roman" w:hAnsi="Times New Roman" w:eastAsia="宋体" w:cs="Times New Roman"/>
              <w:szCs w:val="18"/>
            </w:rPr>
            <w:t>5</w:t>
          </w:r>
          <w:r>
            <w:rPr>
              <w:rFonts w:ascii="Times New Roman" w:hAnsi="Times New Roman" w:eastAsia="宋体" w:cs="Times New Roman"/>
              <w:sz w:val="21"/>
              <w:szCs w:val="18"/>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"_Toc118357435" </w:instrText>
          </w:r>
          <w:r>
            <w:fldChar w:fldCharType="separate"/>
          </w:r>
          <w:r>
            <w:rPr>
              <w:rFonts w:ascii="Times New Roman" w:hAnsi="Times New Roman" w:eastAsia="宋体" w:cs="Times New Roman"/>
              <w:sz w:val="18"/>
              <w:szCs w:val="18"/>
            </w:rPr>
            <w:t>4.2  模数、定位与公差协调</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_Toc118357435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6</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"_Toc118357436" </w:instrText>
          </w:r>
          <w:r>
            <w:fldChar w:fldCharType="separate"/>
          </w:r>
          <w:r>
            <w:rPr>
              <w:rFonts w:ascii="Times New Roman" w:hAnsi="Times New Roman" w:eastAsia="宋体" w:cs="Times New Roman"/>
              <w:sz w:val="18"/>
              <w:szCs w:val="18"/>
            </w:rPr>
            <w:t>4.3  标准化设计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_Toc118357436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6</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"_Toc118357437" </w:instrText>
          </w:r>
          <w:r>
            <w:fldChar w:fldCharType="separate"/>
          </w:r>
          <w:r>
            <w:rPr>
              <w:rFonts w:ascii="Times New Roman" w:hAnsi="Times New Roman" w:eastAsia="宋体" w:cs="Times New Roman"/>
              <w:sz w:val="18"/>
              <w:szCs w:val="18"/>
            </w:rPr>
            <w:t>4.4  协同设计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_Toc118357437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6</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"_Toc118357438" </w:instrText>
          </w:r>
          <w:r>
            <w:fldChar w:fldCharType="separate"/>
          </w:r>
          <w:r>
            <w:rPr>
              <w:rFonts w:ascii="Times New Roman" w:hAnsi="Times New Roman" w:eastAsia="宋体" w:cs="Times New Roman"/>
              <w:sz w:val="18"/>
              <w:szCs w:val="18"/>
            </w:rPr>
            <w:t>4.5  集成设计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_Toc118357438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Cs w:val="21"/>
            </w:rPr>
          </w:pPr>
          <w:r>
            <w:fldChar w:fldCharType="begin"/>
          </w:r>
          <w:r>
            <w:instrText xml:space="preserve"> HYPERLINK \l "_Toc118357439" </w:instrText>
          </w:r>
          <w:r>
            <w:fldChar w:fldCharType="separate"/>
          </w:r>
          <w:r>
            <w:rPr>
              <w:rFonts w:ascii="Times New Roman" w:hAnsi="Times New Roman" w:eastAsia="宋体" w:cs="Times New Roman"/>
              <w:sz w:val="18"/>
              <w:szCs w:val="18"/>
            </w:rPr>
            <w:t>4.6  可持续设计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_Toc118357439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"_Toc118357440" </w:instrText>
          </w:r>
          <w:r>
            <w:fldChar w:fldCharType="separate"/>
          </w:r>
          <w:r>
            <w:rPr>
              <w:rFonts w:ascii="Times New Roman" w:hAnsi="Times New Roman" w:eastAsia="宋体" w:cs="Times New Roman"/>
              <w:sz w:val="18"/>
              <w:szCs w:val="18"/>
            </w:rPr>
            <w:t>4.7  平面、立面与空间</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_Toc118357440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"_Toc118357441" </w:instrText>
          </w:r>
          <w:r>
            <w:fldChar w:fldCharType="separate"/>
          </w:r>
          <w:r>
            <w:rPr>
              <w:rFonts w:ascii="Times New Roman" w:hAnsi="Times New Roman" w:eastAsia="宋体" w:cs="Times New Roman"/>
            </w:rPr>
            <w:t>5  结构系统设计</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_Toc118357441 \h </w:instrText>
          </w:r>
          <w:r>
            <w:rPr>
              <w:rFonts w:ascii="Times New Roman" w:hAnsi="Times New Roman" w:eastAsia="宋体" w:cs="Times New Roman"/>
              <w:szCs w:val="21"/>
            </w:rPr>
            <w:fldChar w:fldCharType="separate"/>
          </w:r>
          <w:r>
            <w:rPr>
              <w:rFonts w:ascii="Times New Roman" w:hAnsi="Times New Roman" w:eastAsia="宋体" w:cs="Times New Roman"/>
              <w:szCs w:val="21"/>
            </w:rPr>
            <w:t>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"_Toc118357442" </w:instrText>
          </w:r>
          <w:r>
            <w:fldChar w:fldCharType="separate"/>
          </w:r>
          <w:r>
            <w:rPr>
              <w:rFonts w:ascii="Times New Roman" w:hAnsi="Times New Roman" w:eastAsia="宋体" w:cs="Times New Roman"/>
              <w:sz w:val="18"/>
              <w:szCs w:val="18"/>
            </w:rPr>
            <w:t>5.1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_Toc118357442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"_Toc118357443" </w:instrText>
          </w:r>
          <w:r>
            <w:fldChar w:fldCharType="separate"/>
          </w:r>
          <w:r>
            <w:rPr>
              <w:rFonts w:ascii="Times New Roman" w:hAnsi="Times New Roman" w:eastAsia="宋体" w:cs="Times New Roman"/>
              <w:sz w:val="18"/>
              <w:szCs w:val="18"/>
            </w:rPr>
            <w:t>5.2  设计要求</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_Toc118357443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"_Toc118357444" </w:instrText>
          </w:r>
          <w:r>
            <w:fldChar w:fldCharType="separate"/>
          </w:r>
          <w:r>
            <w:rPr>
              <w:rFonts w:ascii="Times New Roman" w:hAnsi="Times New Roman" w:eastAsia="宋体" w:cs="Times New Roman"/>
              <w:sz w:val="18"/>
              <w:szCs w:val="18"/>
            </w:rPr>
            <w:t>5.3  结构体系</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_Toc118357444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10</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"_Toc118357445" </w:instrText>
          </w:r>
          <w:r>
            <w:fldChar w:fldCharType="separate"/>
          </w:r>
          <w:r>
            <w:rPr>
              <w:rFonts w:ascii="Times New Roman" w:hAnsi="Times New Roman" w:eastAsia="宋体" w:cs="Times New Roman"/>
              <w:sz w:val="18"/>
              <w:szCs w:val="18"/>
            </w:rPr>
            <w:t>5.4  结构布置</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_Toc118357445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11</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"_Toc118357446" </w:instrText>
          </w:r>
          <w:r>
            <w:fldChar w:fldCharType="separate"/>
          </w:r>
          <w:r>
            <w:rPr>
              <w:rFonts w:ascii="Times New Roman" w:hAnsi="Times New Roman" w:eastAsia="宋体" w:cs="Times New Roman"/>
              <w:sz w:val="18"/>
              <w:szCs w:val="18"/>
            </w:rPr>
            <w:t>5.5  结构分析</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_Toc118357446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12</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"_Toc118357447" </w:instrText>
          </w:r>
          <w:r>
            <w:fldChar w:fldCharType="separate"/>
          </w:r>
          <w:r>
            <w:rPr>
              <w:rFonts w:ascii="Times New Roman" w:hAnsi="Times New Roman" w:eastAsia="宋体" w:cs="Times New Roman"/>
              <w:sz w:val="18"/>
              <w:szCs w:val="18"/>
            </w:rPr>
            <w:t>5.6  部（构）件设计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_Toc118357447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13</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"_Toc118357448" </w:instrText>
          </w:r>
          <w:r>
            <w:fldChar w:fldCharType="separate"/>
          </w:r>
          <w:r>
            <w:rPr>
              <w:rFonts w:ascii="Times New Roman" w:hAnsi="Times New Roman" w:eastAsia="宋体" w:cs="Times New Roman"/>
              <w:sz w:val="18"/>
              <w:szCs w:val="18"/>
            </w:rPr>
            <w:t>5.7  节点与连接设计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_Toc118357448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13</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"_Toc118357449" </w:instrText>
          </w:r>
          <w:r>
            <w:fldChar w:fldCharType="separate"/>
          </w:r>
          <w:r>
            <w:rPr>
              <w:rFonts w:ascii="Times New Roman" w:hAnsi="Times New Roman" w:eastAsia="宋体" w:cs="Times New Roman"/>
              <w:sz w:val="18"/>
              <w:szCs w:val="18"/>
            </w:rPr>
            <w:t>5.8  楼盖与屋盖结构</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_Toc118357449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14</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"_Toc118357450" </w:instrText>
          </w:r>
          <w:r>
            <w:fldChar w:fldCharType="separate"/>
          </w:r>
          <w:r>
            <w:rPr>
              <w:rFonts w:ascii="Times New Roman" w:hAnsi="Times New Roman" w:eastAsia="宋体" w:cs="Times New Roman"/>
              <w:sz w:val="18"/>
              <w:szCs w:val="18"/>
            </w:rPr>
            <w:t>5.9  地下室及基础设计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_Toc118357450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16</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"_Toc118357451" </w:instrText>
          </w:r>
          <w:r>
            <w:fldChar w:fldCharType="separate"/>
          </w:r>
          <w:r>
            <w:rPr>
              <w:rFonts w:ascii="Times New Roman" w:hAnsi="Times New Roman" w:eastAsia="宋体" w:cs="Times New Roman"/>
              <w:sz w:val="18"/>
              <w:szCs w:val="18"/>
            </w:rPr>
            <w:t>5.10   结构防护</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_Toc118357451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16</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"_Toc118357452" </w:instrText>
          </w:r>
          <w:r>
            <w:fldChar w:fldCharType="separate"/>
          </w:r>
          <w:r>
            <w:rPr>
              <w:rFonts w:ascii="Times New Roman" w:hAnsi="Times New Roman" w:eastAsia="宋体" w:cs="Times New Roman"/>
            </w:rPr>
            <w:t>6  外围护系统设计</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_Toc118357452 \h </w:instrText>
          </w:r>
          <w:r>
            <w:rPr>
              <w:rFonts w:ascii="Times New Roman" w:hAnsi="Times New Roman" w:eastAsia="宋体" w:cs="Times New Roman"/>
              <w:szCs w:val="21"/>
            </w:rPr>
            <w:fldChar w:fldCharType="separate"/>
          </w:r>
          <w:r>
            <w:rPr>
              <w:rFonts w:ascii="Times New Roman" w:hAnsi="Times New Roman" w:eastAsia="宋体" w:cs="Times New Roman"/>
              <w:szCs w:val="21"/>
            </w:rPr>
            <w:t>18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"_Toc118357453" </w:instrText>
          </w:r>
          <w:r>
            <w:fldChar w:fldCharType="separate"/>
          </w:r>
          <w:r>
            <w:rPr>
              <w:rFonts w:ascii="Times New Roman" w:hAnsi="Times New Roman" w:eastAsia="宋体" w:cs="Times New Roman"/>
              <w:sz w:val="18"/>
              <w:szCs w:val="18"/>
            </w:rPr>
            <w:t>6.1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_Toc118357453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"_Toc118357454" </w:instrText>
          </w:r>
          <w:r>
            <w:fldChar w:fldCharType="separate"/>
          </w:r>
          <w:r>
            <w:rPr>
              <w:rFonts w:ascii="Times New Roman" w:hAnsi="Times New Roman" w:eastAsia="宋体" w:cs="Times New Roman"/>
              <w:sz w:val="18"/>
              <w:szCs w:val="18"/>
            </w:rPr>
            <w:t>6.2  材料与部品</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_Toc118357454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"_Toc118357455" </w:instrText>
          </w:r>
          <w:r>
            <w:fldChar w:fldCharType="separate"/>
          </w:r>
          <w:r>
            <w:rPr>
              <w:rFonts w:ascii="Times New Roman" w:hAnsi="Times New Roman" w:eastAsia="宋体" w:cs="Times New Roman"/>
              <w:sz w:val="18"/>
              <w:szCs w:val="18"/>
            </w:rPr>
            <w:t>6.3  外墙围护系统</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_Toc118357455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19</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"_Toc118357456" </w:instrText>
          </w:r>
          <w:r>
            <w:fldChar w:fldCharType="separate"/>
          </w:r>
          <w:r>
            <w:rPr>
              <w:rFonts w:ascii="Times New Roman" w:hAnsi="Times New Roman" w:eastAsia="宋体" w:cs="Times New Roman"/>
              <w:sz w:val="18"/>
              <w:szCs w:val="18"/>
            </w:rPr>
            <w:t>6.4  屋面围护系统</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_Toc118357456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21</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"_Toc118357457" </w:instrText>
          </w:r>
          <w:r>
            <w:fldChar w:fldCharType="separate"/>
          </w:r>
          <w:r>
            <w:rPr>
              <w:rFonts w:ascii="Times New Roman" w:hAnsi="Times New Roman" w:eastAsia="宋体" w:cs="Times New Roman"/>
            </w:rPr>
            <w:t>7  设备与管线系统设计</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_Toc118357457 \h </w:instrText>
          </w:r>
          <w:r>
            <w:rPr>
              <w:rFonts w:ascii="Times New Roman" w:hAnsi="Times New Roman" w:eastAsia="宋体" w:cs="Times New Roman"/>
              <w:szCs w:val="21"/>
            </w:rPr>
            <w:fldChar w:fldCharType="separate"/>
          </w:r>
          <w:r>
            <w:rPr>
              <w:rFonts w:ascii="Times New Roman" w:hAnsi="Times New Roman" w:eastAsia="宋体" w:cs="Times New Roman"/>
              <w:szCs w:val="21"/>
            </w:rPr>
            <w:t>23</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"_Toc118357458" </w:instrText>
          </w:r>
          <w:r>
            <w:fldChar w:fldCharType="separate"/>
          </w:r>
          <w:r>
            <w:rPr>
              <w:rFonts w:ascii="Times New Roman" w:hAnsi="Times New Roman" w:eastAsia="宋体" w:cs="Times New Roman"/>
              <w:sz w:val="18"/>
              <w:szCs w:val="18"/>
            </w:rPr>
            <w:t>7.1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_Toc118357458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23</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"_Toc118357459" </w:instrText>
          </w:r>
          <w:r>
            <w:fldChar w:fldCharType="separate"/>
          </w:r>
          <w:r>
            <w:rPr>
              <w:rFonts w:ascii="Times New Roman" w:hAnsi="Times New Roman" w:eastAsia="宋体" w:cs="Times New Roman"/>
              <w:sz w:val="18"/>
              <w:szCs w:val="18"/>
            </w:rPr>
            <w:t>7.2  给水排水</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_Toc118357459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24</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"_Toc118357460" </w:instrText>
          </w:r>
          <w:r>
            <w:fldChar w:fldCharType="separate"/>
          </w:r>
          <w:r>
            <w:rPr>
              <w:rFonts w:ascii="Times New Roman" w:hAnsi="Times New Roman" w:eastAsia="宋体" w:cs="Times New Roman"/>
              <w:sz w:val="18"/>
              <w:szCs w:val="18"/>
            </w:rPr>
            <w:t>7.3  供暖、通风、空调及燃气</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_Toc118357460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24</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"_Toc118357461" </w:instrText>
          </w:r>
          <w:r>
            <w:fldChar w:fldCharType="separate"/>
          </w:r>
          <w:r>
            <w:rPr>
              <w:rFonts w:ascii="Times New Roman" w:hAnsi="Times New Roman" w:eastAsia="宋体" w:cs="Times New Roman"/>
              <w:sz w:val="18"/>
              <w:szCs w:val="18"/>
            </w:rPr>
            <w:t>7.4  电气和智能化</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_Toc118357461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25</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"_Toc118357462" </w:instrText>
          </w:r>
          <w:r>
            <w:fldChar w:fldCharType="separate"/>
          </w:r>
          <w:r>
            <w:rPr>
              <w:rFonts w:ascii="Times New Roman" w:hAnsi="Times New Roman" w:eastAsia="宋体" w:cs="Times New Roman"/>
            </w:rPr>
            <w:t>8  内装系统设计</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_Toc118357462 \h </w:instrText>
          </w:r>
          <w:r>
            <w:rPr>
              <w:rFonts w:ascii="Times New Roman" w:hAnsi="Times New Roman" w:eastAsia="宋体" w:cs="Times New Roman"/>
              <w:szCs w:val="21"/>
            </w:rPr>
            <w:fldChar w:fldCharType="separate"/>
          </w:r>
          <w:r>
            <w:rPr>
              <w:rFonts w:ascii="Times New Roman" w:hAnsi="Times New Roman" w:eastAsia="宋体" w:cs="Times New Roman"/>
              <w:szCs w:val="21"/>
            </w:rPr>
            <w:t>27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"_Toc118357463" </w:instrText>
          </w:r>
          <w:r>
            <w:fldChar w:fldCharType="separate"/>
          </w:r>
          <w:r>
            <w:rPr>
              <w:rFonts w:ascii="Times New Roman" w:hAnsi="Times New Roman" w:eastAsia="宋体" w:cs="Times New Roman"/>
              <w:sz w:val="18"/>
              <w:szCs w:val="18"/>
            </w:rPr>
            <w:t>8.1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_Toc118357463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"_Toc118357464" </w:instrText>
          </w:r>
          <w:r>
            <w:fldChar w:fldCharType="separate"/>
          </w:r>
          <w:r>
            <w:rPr>
              <w:rFonts w:ascii="Times New Roman" w:hAnsi="Times New Roman" w:eastAsia="宋体" w:cs="Times New Roman"/>
              <w:sz w:val="18"/>
              <w:szCs w:val="18"/>
            </w:rPr>
            <w:t>8.2  隔墙与墙面</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_Toc118357464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"_Toc118357465" </w:instrText>
          </w:r>
          <w:r>
            <w:fldChar w:fldCharType="separate"/>
          </w:r>
          <w:r>
            <w:rPr>
              <w:rFonts w:ascii="Times New Roman" w:hAnsi="Times New Roman" w:eastAsia="宋体" w:cs="Times New Roman"/>
              <w:sz w:val="18"/>
              <w:szCs w:val="18"/>
            </w:rPr>
            <w:t>8.3  吊顶</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_Toc118357465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"_Toc118357466" </w:instrText>
          </w:r>
          <w:r>
            <w:fldChar w:fldCharType="separate"/>
          </w:r>
          <w:r>
            <w:rPr>
              <w:rFonts w:ascii="Times New Roman" w:hAnsi="Times New Roman" w:eastAsia="宋体" w:cs="Times New Roman"/>
              <w:sz w:val="18"/>
              <w:szCs w:val="18"/>
            </w:rPr>
            <w:t>8.4  楼地面</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_Toc118357466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"_Toc118357467" </w:instrText>
          </w:r>
          <w:r>
            <w:fldChar w:fldCharType="separate"/>
          </w:r>
          <w:r>
            <w:rPr>
              <w:rFonts w:ascii="Times New Roman" w:hAnsi="Times New Roman" w:eastAsia="宋体" w:cs="Times New Roman"/>
              <w:sz w:val="18"/>
              <w:szCs w:val="18"/>
            </w:rPr>
            <w:t>8.5  集成厨房与卫生间</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_Toc118357467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28</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"_Toc118357468" </w:instrText>
          </w:r>
          <w:r>
            <w:fldChar w:fldCharType="separate"/>
          </w:r>
          <w:r>
            <w:rPr>
              <w:rFonts w:ascii="Times New Roman" w:hAnsi="Times New Roman" w:eastAsia="宋体" w:cs="Times New Roman"/>
              <w:sz w:val="18"/>
              <w:szCs w:val="18"/>
            </w:rPr>
            <w:t>8.6  内门窗与收纳系统</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_Toc118357468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29</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"_Toc118357469" </w:instrText>
          </w:r>
          <w:r>
            <w:fldChar w:fldCharType="separate"/>
          </w:r>
          <w:r>
            <w:rPr>
              <w:rFonts w:ascii="Times New Roman" w:hAnsi="Times New Roman" w:eastAsia="宋体" w:cs="Times New Roman"/>
            </w:rPr>
            <w:t>9  部品部（构）件生产、施工安装与质量验收</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_Toc118357469 \h </w:instrText>
          </w:r>
          <w:r>
            <w:rPr>
              <w:rFonts w:ascii="Times New Roman" w:hAnsi="Times New Roman" w:eastAsia="宋体" w:cs="Times New Roman"/>
              <w:szCs w:val="21"/>
            </w:rPr>
            <w:fldChar w:fldCharType="separate"/>
          </w:r>
          <w:r>
            <w:rPr>
              <w:rFonts w:ascii="Times New Roman" w:hAnsi="Times New Roman" w:eastAsia="宋体" w:cs="Times New Roman"/>
              <w:szCs w:val="21"/>
            </w:rPr>
            <w:t>30</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"_Toc118357470" </w:instrText>
          </w:r>
          <w:r>
            <w:fldChar w:fldCharType="separate"/>
          </w:r>
          <w:r>
            <w:rPr>
              <w:rFonts w:ascii="Times New Roman" w:hAnsi="Times New Roman" w:eastAsia="宋体" w:cs="Times New Roman"/>
              <w:sz w:val="18"/>
              <w:szCs w:val="18"/>
            </w:rPr>
            <w:t>9.1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_Toc118357470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30</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"_Toc118357471" </w:instrText>
          </w:r>
          <w:r>
            <w:fldChar w:fldCharType="separate"/>
          </w:r>
          <w:r>
            <w:rPr>
              <w:rFonts w:ascii="Times New Roman" w:hAnsi="Times New Roman" w:eastAsia="宋体" w:cs="Times New Roman"/>
              <w:sz w:val="18"/>
              <w:szCs w:val="18"/>
            </w:rPr>
            <w:t>9.2  生产运输</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_Toc118357471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30</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"_Toc118357472" </w:instrText>
          </w:r>
          <w:r>
            <w:fldChar w:fldCharType="separate"/>
          </w:r>
          <w:r>
            <w:rPr>
              <w:rFonts w:ascii="Times New Roman" w:hAnsi="Times New Roman" w:eastAsia="宋体" w:cs="Times New Roman"/>
              <w:sz w:val="18"/>
              <w:szCs w:val="18"/>
            </w:rPr>
            <w:t>9.3  施工安装</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_Toc118357472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31</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"_Toc118357473" </w:instrText>
          </w:r>
          <w:r>
            <w:fldChar w:fldCharType="separate"/>
          </w:r>
          <w:r>
            <w:rPr>
              <w:rFonts w:ascii="Times New Roman" w:hAnsi="Times New Roman" w:eastAsia="宋体" w:cs="Times New Roman"/>
              <w:sz w:val="18"/>
              <w:szCs w:val="18"/>
            </w:rPr>
            <w:t>9.4  质量验收</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_Toc118357473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31</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"_Toc118357474" </w:instrText>
          </w:r>
          <w:r>
            <w:fldChar w:fldCharType="separate"/>
          </w:r>
          <w:r>
            <w:rPr>
              <w:rFonts w:ascii="Times New Roman" w:hAnsi="Times New Roman" w:eastAsia="宋体" w:cs="Times New Roman"/>
            </w:rPr>
            <w:t>10  智能建造与信息化应用</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_Toc118357474 \h </w:instrText>
          </w:r>
          <w:r>
            <w:rPr>
              <w:rFonts w:ascii="Times New Roman" w:hAnsi="Times New Roman" w:eastAsia="宋体" w:cs="Times New Roman"/>
              <w:szCs w:val="21"/>
            </w:rPr>
            <w:fldChar w:fldCharType="separate"/>
          </w:r>
          <w:r>
            <w:rPr>
              <w:rFonts w:ascii="Times New Roman" w:hAnsi="Times New Roman" w:eastAsia="宋体" w:cs="Times New Roman"/>
              <w:szCs w:val="21"/>
            </w:rPr>
            <w:t>35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"_Toc118357475" </w:instrText>
          </w:r>
          <w:r>
            <w:fldChar w:fldCharType="separate"/>
          </w:r>
          <w:r>
            <w:rPr>
              <w:rFonts w:ascii="Times New Roman" w:hAnsi="Times New Roman" w:eastAsia="宋体" w:cs="Times New Roman"/>
              <w:sz w:val="18"/>
              <w:szCs w:val="18"/>
            </w:rPr>
            <w:t>10.1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_Toc118357475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35</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"_Toc118357476" </w:instrText>
          </w:r>
          <w:r>
            <w:fldChar w:fldCharType="separate"/>
          </w:r>
          <w:r>
            <w:rPr>
              <w:rFonts w:ascii="Times New Roman" w:hAnsi="Times New Roman" w:eastAsia="宋体" w:cs="Times New Roman"/>
              <w:sz w:val="18"/>
              <w:szCs w:val="18"/>
            </w:rPr>
            <w:t>10.2  数字化设计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_Toc118357476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35</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"_Toc118357477" </w:instrText>
          </w:r>
          <w:r>
            <w:fldChar w:fldCharType="separate"/>
          </w:r>
          <w:r>
            <w:rPr>
              <w:rFonts w:ascii="Times New Roman" w:hAnsi="Times New Roman" w:eastAsia="宋体" w:cs="Times New Roman"/>
              <w:sz w:val="18"/>
              <w:szCs w:val="18"/>
            </w:rPr>
            <w:t>10.3  智能化生产与施工</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_Toc118357477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35</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"_Toc118357478" </w:instrText>
          </w:r>
          <w:r>
            <w:fldChar w:fldCharType="separate"/>
          </w:r>
          <w:r>
            <w:rPr>
              <w:rFonts w:ascii="Times New Roman" w:hAnsi="Times New Roman" w:eastAsia="宋体" w:cs="Times New Roman"/>
            </w:rPr>
            <w:t>11  使用与维护管理</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_Toc118357478 \h </w:instrText>
          </w:r>
          <w:r>
            <w:rPr>
              <w:rFonts w:ascii="Times New Roman" w:hAnsi="Times New Roman" w:eastAsia="宋体" w:cs="Times New Roman"/>
              <w:szCs w:val="21"/>
            </w:rPr>
            <w:fldChar w:fldCharType="separate"/>
          </w:r>
          <w:r>
            <w:rPr>
              <w:rFonts w:ascii="Times New Roman" w:hAnsi="Times New Roman" w:eastAsia="宋体" w:cs="Times New Roman"/>
              <w:szCs w:val="21"/>
            </w:rPr>
            <w:t>37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"_Toc118357479" </w:instrText>
          </w:r>
          <w:r>
            <w:fldChar w:fldCharType="separate"/>
          </w:r>
          <w:r>
            <w:rPr>
              <w:rFonts w:ascii="Times New Roman" w:hAnsi="Times New Roman" w:eastAsia="宋体" w:cs="Times New Roman"/>
              <w:sz w:val="18"/>
              <w:szCs w:val="18"/>
            </w:rPr>
            <w:t>11.1  一般规定</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_Toc118357479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"_Toc118357480" </w:instrText>
          </w:r>
          <w:r>
            <w:fldChar w:fldCharType="separate"/>
          </w:r>
          <w:r>
            <w:rPr>
              <w:rFonts w:ascii="Times New Roman" w:hAnsi="Times New Roman" w:eastAsia="宋体" w:cs="Times New Roman"/>
              <w:sz w:val="18"/>
              <w:szCs w:val="18"/>
            </w:rPr>
            <w:t>11.2  使用、维护</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_Toc118357480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9"/>
            <w:ind w:left="0" w:leftChars="0" w:firstLine="250" w:firstLineChars="114"/>
            <w:rPr>
              <w:rFonts w:ascii="Times New Roman" w:hAnsi="Times New Roman" w:eastAsia="宋体" w:cs="Times New Roman"/>
              <w:sz w:val="18"/>
              <w:szCs w:val="18"/>
            </w:rPr>
          </w:pPr>
          <w:r>
            <w:fldChar w:fldCharType="begin"/>
          </w:r>
          <w:r>
            <w:instrText xml:space="preserve"> HYPERLINK \l "_Toc118357481" </w:instrText>
          </w:r>
          <w:r>
            <w:fldChar w:fldCharType="separate"/>
          </w:r>
          <w:r>
            <w:rPr>
              <w:rFonts w:ascii="Times New Roman" w:hAnsi="Times New Roman" w:eastAsia="宋体" w:cs="Times New Roman"/>
              <w:sz w:val="18"/>
              <w:szCs w:val="18"/>
            </w:rPr>
            <w:t>11.3  物业服务</w:t>
          </w:r>
          <w:r>
            <w:rPr>
              <w:rFonts w:ascii="Times New Roman" w:hAnsi="Times New Roman" w:eastAsia="宋体" w:cs="Times New Roman"/>
            </w:rPr>
            <w:ptab w:relativeTo="margin" w:alignment="right" w:leader="do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PAGEREF _Toc118357481 \h </w:instrText>
          </w:r>
          <w:r>
            <w:rPr>
              <w:rFonts w:ascii="Times New Roman" w:hAnsi="Times New Roman" w:eastAsia="宋体" w:cs="Times New Roman"/>
              <w:sz w:val="21"/>
              <w:szCs w:val="21"/>
            </w:rPr>
            <w:fldChar w:fldCharType="separate"/>
          </w:r>
          <w:r>
            <w:rPr>
              <w:rFonts w:ascii="Times New Roman" w:hAnsi="Times New Roman" w:eastAsia="宋体" w:cs="Times New Roman"/>
              <w:szCs w:val="21"/>
            </w:rPr>
            <w:t>37</w:t>
          </w:r>
          <w:r>
            <w:rPr>
              <w:rFonts w:ascii="Times New Roman" w:hAnsi="Times New Roman" w:eastAsia="宋体" w:cs="Times New Roman"/>
              <w:sz w:val="21"/>
              <w:szCs w:val="21"/>
            </w:rPr>
            <w:fldChar w:fldCharType="end"/>
          </w:r>
          <w:r>
            <w:rPr>
              <w:rFonts w:ascii="Times New Roman" w:hAnsi="Times New Roman" w:eastAsia="宋体" w:cs="Times New Roman"/>
              <w:sz w:val="18"/>
              <w:szCs w:val="18"/>
            </w:rPr>
            <w:fldChar w:fldCharType="end"/>
          </w:r>
        </w:p>
        <w:p>
          <w:pPr>
            <w:pStyle w:val="14"/>
            <w:ind w:firstLine="0"/>
            <w:rPr>
              <w:rFonts w:ascii="Times New Roman" w:hAnsi="Times New Roman" w:eastAsia="宋体" w:cs="Times New Roman"/>
            </w:rPr>
          </w:pPr>
          <w:r>
            <w:fldChar w:fldCharType="begin"/>
          </w:r>
          <w:r>
            <w:instrText xml:space="preserve"> HYPERLINK \l "_Toc118357482" </w:instrText>
          </w:r>
          <w:r>
            <w:fldChar w:fldCharType="separate"/>
          </w:r>
          <w:r>
            <w:rPr>
              <w:rFonts w:ascii="Times New Roman" w:hAnsi="Times New Roman" w:eastAsia="宋体" w:cs="Times New Roman"/>
            </w:rPr>
            <w:t>本标准用词说明</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_Toc118357482 \h </w:instrText>
          </w:r>
          <w:r>
            <w:rPr>
              <w:rFonts w:ascii="Times New Roman" w:hAnsi="Times New Roman" w:eastAsia="宋体" w:cs="Times New Roman"/>
              <w:szCs w:val="21"/>
            </w:rPr>
            <w:fldChar w:fldCharType="separate"/>
          </w:r>
          <w:r>
            <w:rPr>
              <w:rFonts w:ascii="Times New Roman" w:hAnsi="Times New Roman" w:eastAsia="宋体" w:cs="Times New Roman"/>
              <w:szCs w:val="21"/>
            </w:rPr>
            <w:t>38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"_Toc118357483" </w:instrText>
          </w:r>
          <w:r>
            <w:fldChar w:fldCharType="separate"/>
          </w:r>
          <w:r>
            <w:rPr>
              <w:rFonts w:ascii="Times New Roman" w:hAnsi="Times New Roman" w:eastAsia="宋体" w:cs="Times New Roman"/>
            </w:rPr>
            <w:t>引用标准名录</w:t>
          </w:r>
          <w:r>
            <w:rPr>
              <w:rFonts w:hint="eastAsia" w:ascii="Times New Roman" w:hAnsi="Times New Roman" w:eastAsia="宋体" w:cs="Times New Roman"/>
              <w:lang w:val="en-US" w:eastAsia="zh-CN"/>
            </w:rPr>
            <w:t>..........................................................................................................</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_Toc118357483 \h </w:instrText>
          </w:r>
          <w:r>
            <w:rPr>
              <w:rFonts w:ascii="Times New Roman" w:hAnsi="Times New Roman" w:eastAsia="宋体" w:cs="Times New Roman"/>
              <w:szCs w:val="21"/>
            </w:rPr>
            <w:fldChar w:fldCharType="separate"/>
          </w:r>
          <w:r>
            <w:rPr>
              <w:rFonts w:ascii="Times New Roman" w:hAnsi="Times New Roman" w:eastAsia="宋体" w:cs="Times New Roman"/>
              <w:szCs w:val="21"/>
            </w:rPr>
            <w:t>39</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rPr>
              <w:rFonts w:hint="eastAsia" w:ascii="Times New Roman" w:hAnsi="Times New Roman" w:eastAsia="宋体" w:cs="Times New Roman"/>
            </w:rPr>
            <w:t>附：</w:t>
          </w:r>
          <w:r>
            <w:fldChar w:fldCharType="begin"/>
          </w:r>
          <w:r>
            <w:instrText xml:space="preserve"> HYPERLINK \l "_Toc118357484" </w:instrText>
          </w:r>
          <w:r>
            <w:fldChar w:fldCharType="separate"/>
          </w:r>
          <w:r>
            <w:rPr>
              <w:rFonts w:ascii="Times New Roman" w:hAnsi="Times New Roman" w:eastAsia="宋体" w:cs="Times New Roman"/>
            </w:rPr>
            <w:t>条文说明</w:t>
          </w:r>
          <w:r>
            <w:rPr>
              <w:rFonts w:ascii="Times New Roman" w:hAnsi="Times New Roman" w:eastAsia="宋体" w:cs="Times New Roman"/>
            </w:rPr>
            <w:ptab w:relativeTo="margin" w:alignment="right" w:leader="dot"/>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_Toc118357484 \h </w:instrText>
          </w:r>
          <w:r>
            <w:rPr>
              <w:rFonts w:ascii="Times New Roman" w:hAnsi="Times New Roman" w:eastAsia="宋体" w:cs="Times New Roman"/>
            </w:rPr>
            <w:fldChar w:fldCharType="separate"/>
          </w:r>
          <w:r>
            <w:rPr>
              <w:rFonts w:ascii="Times New Roman" w:hAnsi="Times New Roman" w:eastAsia="宋体" w:cs="Times New Roman"/>
            </w:rPr>
            <w:t>42</w:t>
          </w:r>
          <w:r>
            <w:rPr>
              <w:rFonts w:ascii="Times New Roman" w:hAnsi="Times New Roman" w:eastAsia="宋体" w:cs="Times New Roman"/>
            </w:rPr>
            <w:fldChar w:fldCharType="end"/>
          </w:r>
          <w:r>
            <w:rPr>
              <w:rFonts w:ascii="Times New Roman" w:hAnsi="Times New Roman" w:eastAsia="宋体" w:cs="Times New Roman"/>
            </w:rPr>
            <w:fldChar w:fldCharType="end"/>
          </w:r>
          <w:r>
            <w:rPr>
              <w:rFonts w:ascii="宋体" w:hAnsi="宋体" w:eastAsia="宋体" w:cs="Times New Roman"/>
            </w:rPr>
            <w:fldChar w:fldCharType="end"/>
          </w:r>
        </w:p>
      </w:sdtContent>
    </w:sdt>
    <w:p/>
    <w:p>
      <w:pPr>
        <w:pStyle w:val="17"/>
        <w:widowControl/>
        <w:spacing w:before="240" w:line="360" w:lineRule="auto"/>
        <w:ind w:left="441"/>
        <w:rPr>
          <w:b/>
          <w:bCs/>
        </w:rPr>
      </w:pPr>
      <w:r>
        <w:br w:type="page"/>
      </w:r>
    </w:p>
    <w:p>
      <w:pPr>
        <w:pStyle w:val="17"/>
        <w:widowControl/>
        <w:spacing w:before="360" w:after="360"/>
        <w:ind w:left="441"/>
        <w:jc w:val="center"/>
        <w:rPr>
          <w:rFonts w:eastAsia="仿宋"/>
          <w:b/>
          <w:bCs/>
          <w:sz w:val="28"/>
          <w:szCs w:val="28"/>
        </w:rPr>
      </w:pPr>
      <w:r>
        <w:rPr>
          <w:rFonts w:eastAsia="仿宋"/>
          <w:b/>
          <w:bCs/>
          <w:sz w:val="28"/>
          <w:szCs w:val="28"/>
        </w:rPr>
        <w:t>Contents</w:t>
      </w:r>
    </w:p>
    <w:p>
      <w:pPr>
        <w:spacing w:line="240" w:lineRule="auto"/>
      </w:pPr>
      <w:r>
        <w:t xml:space="preserve">1  General Provisions </w:t>
      </w:r>
      <w:r>
        <w:ptab w:relativeTo="margin" w:alignment="right" w:leader="dot"/>
      </w:r>
      <w:r>
        <w:t>1</w:t>
      </w:r>
    </w:p>
    <w:p>
      <w:pPr>
        <w:spacing w:line="240" w:lineRule="auto"/>
      </w:pPr>
      <w:r>
        <w:t>2  Terms</w:t>
      </w:r>
      <w:r>
        <w:ptab w:relativeTo="margin" w:alignment="right" w:leader="dot"/>
      </w:r>
      <w:r>
        <w:t>2</w:t>
      </w:r>
    </w:p>
    <w:p>
      <w:pPr>
        <w:spacing w:line="240" w:lineRule="auto"/>
      </w:pPr>
      <w:r>
        <w:t>3  Basic Provisions</w:t>
      </w:r>
      <w:r>
        <w:ptab w:relativeTo="margin" w:alignment="right" w:leader="dot"/>
      </w:r>
      <w:r>
        <w:t>4</w:t>
      </w:r>
    </w:p>
    <w:p>
      <w:pPr>
        <w:spacing w:line="240" w:lineRule="auto"/>
      </w:pPr>
      <w:r>
        <w:t>4  Architectural Design</w:t>
      </w:r>
      <w:r>
        <w:ptab w:relativeTo="margin" w:alignment="right" w:leader="dot"/>
      </w:r>
      <w:r>
        <w:t>5</w:t>
      </w:r>
    </w:p>
    <w:p>
      <w:pPr>
        <w:spacing w:line="240" w:lineRule="auto"/>
        <w:ind w:firstLine="216" w:firstLineChars="114"/>
        <w:rPr>
          <w:sz w:val="18"/>
          <w:szCs w:val="18"/>
        </w:rPr>
      </w:pPr>
      <w:r>
        <w:rPr>
          <w:sz w:val="18"/>
          <w:szCs w:val="18"/>
        </w:rPr>
        <w:t>4.1  General Provisions</w:t>
      </w:r>
      <w:r>
        <w:ptab w:relativeTo="margin" w:alignment="right" w:leader="dot"/>
      </w:r>
      <w:r>
        <w:rPr>
          <w:sz w:val="21"/>
          <w:szCs w:val="21"/>
        </w:rPr>
        <w:t>5</w:t>
      </w:r>
    </w:p>
    <w:p>
      <w:pPr>
        <w:spacing w:line="240" w:lineRule="auto"/>
        <w:ind w:firstLine="216" w:firstLineChars="114"/>
        <w:rPr>
          <w:sz w:val="18"/>
          <w:szCs w:val="18"/>
        </w:rPr>
      </w:pPr>
      <w:r>
        <w:rPr>
          <w:sz w:val="18"/>
          <w:szCs w:val="18"/>
        </w:rPr>
        <w:t>4.2  Modulus, Positioning and Tolerance Coordination</w:t>
      </w:r>
      <w:r>
        <w:ptab w:relativeTo="margin" w:alignment="right" w:leader="dot"/>
      </w:r>
      <w:r>
        <w:rPr>
          <w:sz w:val="21"/>
          <w:szCs w:val="21"/>
        </w:rPr>
        <w:t>6</w:t>
      </w:r>
    </w:p>
    <w:p>
      <w:pPr>
        <w:spacing w:line="240" w:lineRule="auto"/>
        <w:ind w:firstLine="216" w:firstLineChars="114"/>
        <w:rPr>
          <w:sz w:val="18"/>
          <w:szCs w:val="18"/>
        </w:rPr>
      </w:pPr>
      <w:r>
        <w:rPr>
          <w:sz w:val="18"/>
          <w:szCs w:val="18"/>
        </w:rPr>
        <w:t>4.3  Standardized Design</w:t>
      </w:r>
      <w:r>
        <w:ptab w:relativeTo="margin" w:alignment="right" w:leader="dot"/>
      </w:r>
      <w:r>
        <w:rPr>
          <w:sz w:val="21"/>
          <w:szCs w:val="21"/>
        </w:rPr>
        <w:t>6</w:t>
      </w:r>
    </w:p>
    <w:p>
      <w:pPr>
        <w:spacing w:line="240" w:lineRule="auto"/>
        <w:ind w:firstLine="216" w:firstLineChars="114"/>
        <w:rPr>
          <w:sz w:val="18"/>
          <w:szCs w:val="18"/>
        </w:rPr>
      </w:pPr>
      <w:r>
        <w:rPr>
          <w:sz w:val="18"/>
          <w:szCs w:val="18"/>
        </w:rPr>
        <w:t>4.4  Collaborative Design</w:t>
      </w:r>
      <w:r>
        <w:ptab w:relativeTo="margin" w:alignment="right" w:leader="dot"/>
      </w:r>
      <w:r>
        <w:rPr>
          <w:sz w:val="21"/>
          <w:szCs w:val="21"/>
        </w:rPr>
        <w:t>6</w:t>
      </w:r>
    </w:p>
    <w:p>
      <w:pPr>
        <w:spacing w:line="240" w:lineRule="auto"/>
        <w:ind w:firstLine="216" w:firstLineChars="114"/>
        <w:rPr>
          <w:sz w:val="18"/>
          <w:szCs w:val="18"/>
        </w:rPr>
      </w:pPr>
      <w:r>
        <w:rPr>
          <w:sz w:val="18"/>
          <w:szCs w:val="18"/>
        </w:rPr>
        <w:t>4.5  Integrated Design</w:t>
      </w:r>
      <w:r>
        <w:ptab w:relativeTo="margin" w:alignment="right" w:leader="dot"/>
      </w:r>
      <w:r>
        <w:rPr>
          <w:sz w:val="21"/>
          <w:szCs w:val="21"/>
        </w:rPr>
        <w:t>7</w:t>
      </w:r>
    </w:p>
    <w:p>
      <w:pPr>
        <w:spacing w:line="240" w:lineRule="auto"/>
        <w:ind w:firstLine="216" w:firstLineChars="114"/>
        <w:rPr>
          <w:sz w:val="18"/>
          <w:szCs w:val="18"/>
        </w:rPr>
      </w:pPr>
      <w:r>
        <w:rPr>
          <w:sz w:val="18"/>
          <w:szCs w:val="18"/>
        </w:rPr>
        <w:t>4.6  Sustainable Design</w:t>
      </w:r>
      <w:r>
        <w:ptab w:relativeTo="margin" w:alignment="right" w:leader="dot"/>
      </w:r>
      <w:r>
        <w:rPr>
          <w:sz w:val="21"/>
          <w:szCs w:val="21"/>
        </w:rPr>
        <w:t>7</w:t>
      </w:r>
    </w:p>
    <w:p>
      <w:pPr>
        <w:spacing w:line="240" w:lineRule="auto"/>
        <w:ind w:firstLine="216" w:firstLineChars="114"/>
        <w:rPr>
          <w:sz w:val="18"/>
          <w:szCs w:val="18"/>
        </w:rPr>
      </w:pPr>
      <w:r>
        <w:rPr>
          <w:sz w:val="18"/>
          <w:szCs w:val="18"/>
        </w:rPr>
        <w:t>4.7  Plane, Elevation and Space</w:t>
      </w:r>
      <w:r>
        <w:ptab w:relativeTo="margin" w:alignment="right" w:leader="dot"/>
      </w:r>
      <w:r>
        <w:rPr>
          <w:sz w:val="21"/>
          <w:szCs w:val="21"/>
        </w:rPr>
        <w:t>7</w:t>
      </w:r>
    </w:p>
    <w:p>
      <w:pPr>
        <w:spacing w:line="240" w:lineRule="auto"/>
      </w:pPr>
      <w:r>
        <w:t>5  Structural System Design</w:t>
      </w:r>
      <w:r>
        <w:ptab w:relativeTo="margin" w:alignment="right" w:leader="dot"/>
      </w:r>
      <w:r>
        <w:rPr>
          <w:szCs w:val="21"/>
        </w:rPr>
        <w:t>8</w:t>
      </w:r>
    </w:p>
    <w:p>
      <w:pPr>
        <w:spacing w:line="240" w:lineRule="auto"/>
        <w:ind w:firstLine="216" w:firstLineChars="114"/>
        <w:rPr>
          <w:sz w:val="18"/>
          <w:szCs w:val="18"/>
        </w:rPr>
      </w:pPr>
      <w:r>
        <w:rPr>
          <w:sz w:val="18"/>
          <w:szCs w:val="18"/>
        </w:rPr>
        <w:t>5.1  General Provisions</w:t>
      </w:r>
      <w:r>
        <w:ptab w:relativeTo="margin" w:alignment="right" w:leader="dot"/>
      </w:r>
      <w:r>
        <w:rPr>
          <w:sz w:val="21"/>
          <w:szCs w:val="21"/>
        </w:rPr>
        <w:t>8</w:t>
      </w:r>
    </w:p>
    <w:p>
      <w:pPr>
        <w:spacing w:line="240" w:lineRule="auto"/>
        <w:ind w:firstLine="216" w:firstLineChars="114"/>
        <w:rPr>
          <w:sz w:val="18"/>
          <w:szCs w:val="18"/>
        </w:rPr>
      </w:pPr>
      <w:r>
        <w:rPr>
          <w:sz w:val="18"/>
          <w:szCs w:val="18"/>
        </w:rPr>
        <w:t>5.2  Design Requirements</w:t>
      </w:r>
      <w:r>
        <w:ptab w:relativeTo="margin" w:alignment="right" w:leader="dot"/>
      </w:r>
      <w:r>
        <w:rPr>
          <w:sz w:val="21"/>
          <w:szCs w:val="21"/>
        </w:rPr>
        <w:t>8</w:t>
      </w:r>
    </w:p>
    <w:p>
      <w:pPr>
        <w:spacing w:line="240" w:lineRule="auto"/>
        <w:ind w:firstLine="216" w:firstLineChars="114"/>
        <w:rPr>
          <w:sz w:val="18"/>
          <w:szCs w:val="18"/>
        </w:rPr>
      </w:pPr>
      <w:r>
        <w:rPr>
          <w:sz w:val="18"/>
          <w:szCs w:val="18"/>
        </w:rPr>
        <w:t>5.3  Structural System</w:t>
      </w:r>
      <w:r>
        <w:ptab w:relativeTo="margin" w:alignment="right" w:leader="dot"/>
      </w:r>
      <w:r>
        <w:rPr>
          <w:sz w:val="21"/>
          <w:szCs w:val="21"/>
        </w:rPr>
        <w:t>10</w:t>
      </w:r>
    </w:p>
    <w:p>
      <w:pPr>
        <w:spacing w:line="240" w:lineRule="auto"/>
        <w:ind w:firstLine="216" w:firstLineChars="114"/>
        <w:rPr>
          <w:sz w:val="18"/>
          <w:szCs w:val="18"/>
        </w:rPr>
      </w:pPr>
      <w:r>
        <w:rPr>
          <w:sz w:val="18"/>
          <w:szCs w:val="18"/>
        </w:rPr>
        <w:t>5.4  Structural Layout</w:t>
      </w:r>
      <w:r>
        <w:ptab w:relativeTo="margin" w:alignment="right" w:leader="dot"/>
      </w:r>
      <w:r>
        <w:rPr>
          <w:sz w:val="21"/>
          <w:szCs w:val="21"/>
        </w:rPr>
        <w:t>11</w:t>
      </w:r>
    </w:p>
    <w:p>
      <w:pPr>
        <w:spacing w:line="240" w:lineRule="auto"/>
        <w:ind w:firstLine="216" w:firstLineChars="114"/>
        <w:rPr>
          <w:sz w:val="18"/>
          <w:szCs w:val="18"/>
        </w:rPr>
      </w:pPr>
      <w:r>
        <w:rPr>
          <w:sz w:val="18"/>
          <w:szCs w:val="18"/>
        </w:rPr>
        <w:t>5.5  Structural Analysis</w:t>
      </w:r>
      <w:r>
        <w:ptab w:relativeTo="margin" w:alignment="right" w:leader="dot"/>
      </w:r>
      <w:r>
        <w:rPr>
          <w:sz w:val="21"/>
          <w:szCs w:val="21"/>
        </w:rPr>
        <w:t>12</w:t>
      </w:r>
    </w:p>
    <w:p>
      <w:pPr>
        <w:spacing w:line="240" w:lineRule="auto"/>
        <w:ind w:firstLine="216" w:firstLineChars="114"/>
        <w:rPr>
          <w:sz w:val="18"/>
          <w:szCs w:val="18"/>
        </w:rPr>
      </w:pPr>
      <w:r>
        <w:rPr>
          <w:sz w:val="18"/>
          <w:szCs w:val="18"/>
        </w:rPr>
        <w:t>5.6  Component Design</w:t>
      </w:r>
      <w:r>
        <w:ptab w:relativeTo="margin" w:alignment="right" w:leader="dot"/>
      </w:r>
      <w:r>
        <w:rPr>
          <w:sz w:val="21"/>
          <w:szCs w:val="21"/>
        </w:rPr>
        <w:t>13</w:t>
      </w:r>
    </w:p>
    <w:p>
      <w:pPr>
        <w:spacing w:line="240" w:lineRule="auto"/>
        <w:ind w:firstLine="216" w:firstLineChars="114"/>
        <w:rPr>
          <w:sz w:val="18"/>
          <w:szCs w:val="18"/>
        </w:rPr>
      </w:pPr>
      <w:r>
        <w:rPr>
          <w:sz w:val="18"/>
          <w:szCs w:val="18"/>
        </w:rPr>
        <w:t>5.7  Node and Connection Design</w:t>
      </w:r>
      <w:r>
        <w:ptab w:relativeTo="margin" w:alignment="right" w:leader="dot"/>
      </w:r>
      <w:r>
        <w:rPr>
          <w:sz w:val="21"/>
          <w:szCs w:val="21"/>
        </w:rPr>
        <w:t>1</w:t>
      </w:r>
      <w:r>
        <w:rPr>
          <w:szCs w:val="21"/>
        </w:rPr>
        <w:t>3</w:t>
      </w:r>
    </w:p>
    <w:p>
      <w:pPr>
        <w:spacing w:line="240" w:lineRule="auto"/>
        <w:ind w:firstLine="216" w:firstLineChars="114"/>
        <w:rPr>
          <w:sz w:val="18"/>
          <w:szCs w:val="18"/>
        </w:rPr>
      </w:pPr>
      <w:r>
        <w:rPr>
          <w:sz w:val="18"/>
          <w:szCs w:val="18"/>
        </w:rPr>
        <w:t>5.8  Floor and Roof Structure</w:t>
      </w:r>
      <w:r>
        <w:ptab w:relativeTo="margin" w:alignment="right" w:leader="dot"/>
      </w:r>
      <w:r>
        <w:rPr>
          <w:sz w:val="21"/>
          <w:szCs w:val="21"/>
        </w:rPr>
        <w:t>1</w:t>
      </w:r>
      <w:r>
        <w:rPr>
          <w:szCs w:val="21"/>
        </w:rPr>
        <w:t>4</w:t>
      </w:r>
    </w:p>
    <w:p>
      <w:pPr>
        <w:spacing w:line="240" w:lineRule="auto"/>
        <w:ind w:firstLine="216" w:firstLineChars="114"/>
        <w:rPr>
          <w:sz w:val="18"/>
          <w:szCs w:val="18"/>
        </w:rPr>
      </w:pPr>
      <w:r>
        <w:rPr>
          <w:sz w:val="18"/>
          <w:szCs w:val="18"/>
        </w:rPr>
        <w:t>5.9  Basement and Foundation Design</w:t>
      </w:r>
      <w:r>
        <w:ptab w:relativeTo="margin" w:alignment="right" w:leader="dot"/>
      </w:r>
      <w:r>
        <w:rPr>
          <w:sz w:val="21"/>
          <w:szCs w:val="21"/>
        </w:rPr>
        <w:t>16</w:t>
      </w:r>
    </w:p>
    <w:p>
      <w:pPr>
        <w:spacing w:line="240" w:lineRule="auto"/>
        <w:ind w:firstLine="216" w:firstLineChars="114"/>
        <w:rPr>
          <w:sz w:val="18"/>
          <w:szCs w:val="18"/>
        </w:rPr>
      </w:pPr>
      <w:r>
        <w:rPr>
          <w:sz w:val="18"/>
          <w:szCs w:val="18"/>
        </w:rPr>
        <w:t>5.10  Structural Protection</w:t>
      </w:r>
      <w:r>
        <w:ptab w:relativeTo="margin" w:alignment="right" w:leader="dot"/>
      </w:r>
      <w:r>
        <w:rPr>
          <w:sz w:val="21"/>
          <w:szCs w:val="21"/>
        </w:rPr>
        <w:t>1</w:t>
      </w:r>
      <w:r>
        <w:rPr>
          <w:szCs w:val="21"/>
        </w:rPr>
        <w:t>6</w:t>
      </w:r>
    </w:p>
    <w:p>
      <w:pPr>
        <w:spacing w:line="240" w:lineRule="auto"/>
      </w:pPr>
      <w:r>
        <w:t>6  Design of Outer Enclosure System</w:t>
      </w:r>
      <w:r>
        <w:ptab w:relativeTo="margin" w:alignment="right" w:leader="dot"/>
      </w:r>
      <w:r>
        <w:rPr>
          <w:szCs w:val="21"/>
        </w:rPr>
        <w:t>18</w:t>
      </w:r>
    </w:p>
    <w:p>
      <w:pPr>
        <w:spacing w:line="240" w:lineRule="auto"/>
        <w:ind w:firstLine="216" w:firstLineChars="114"/>
        <w:rPr>
          <w:sz w:val="18"/>
          <w:szCs w:val="18"/>
        </w:rPr>
      </w:pPr>
      <w:r>
        <w:rPr>
          <w:sz w:val="18"/>
          <w:szCs w:val="18"/>
        </w:rPr>
        <w:t>6.1  General Provisions</w:t>
      </w:r>
      <w:r>
        <w:ptab w:relativeTo="margin" w:alignment="right" w:leader="dot"/>
      </w:r>
      <w:r>
        <w:rPr>
          <w:szCs w:val="21"/>
        </w:rPr>
        <w:t>18</w:t>
      </w:r>
    </w:p>
    <w:p>
      <w:pPr>
        <w:spacing w:line="240" w:lineRule="auto"/>
        <w:ind w:firstLine="216" w:firstLineChars="114"/>
        <w:rPr>
          <w:sz w:val="18"/>
          <w:szCs w:val="18"/>
        </w:rPr>
      </w:pPr>
      <w:r>
        <w:rPr>
          <w:sz w:val="18"/>
          <w:szCs w:val="18"/>
        </w:rPr>
        <w:t>6.2  Materials and Components</w:t>
      </w:r>
      <w:r>
        <w:ptab w:relativeTo="margin" w:alignment="right" w:leader="dot"/>
      </w:r>
      <w:r>
        <w:rPr>
          <w:szCs w:val="21"/>
        </w:rPr>
        <w:t>18</w:t>
      </w:r>
    </w:p>
    <w:p>
      <w:pPr>
        <w:spacing w:line="240" w:lineRule="auto"/>
        <w:ind w:firstLine="216" w:firstLineChars="114"/>
        <w:rPr>
          <w:sz w:val="18"/>
          <w:szCs w:val="18"/>
        </w:rPr>
      </w:pPr>
      <w:r>
        <w:rPr>
          <w:sz w:val="18"/>
          <w:szCs w:val="18"/>
        </w:rPr>
        <w:t>6.3  Exterior Aall Enclosure System</w:t>
      </w:r>
      <w:r>
        <w:ptab w:relativeTo="margin" w:alignment="right" w:leader="dot"/>
      </w:r>
      <w:r>
        <w:rPr>
          <w:szCs w:val="21"/>
        </w:rPr>
        <w:t>19</w:t>
      </w:r>
    </w:p>
    <w:p>
      <w:pPr>
        <w:spacing w:line="240" w:lineRule="auto"/>
        <w:ind w:firstLine="216" w:firstLineChars="114"/>
        <w:rPr>
          <w:sz w:val="18"/>
          <w:szCs w:val="18"/>
        </w:rPr>
      </w:pPr>
      <w:r>
        <w:rPr>
          <w:sz w:val="18"/>
          <w:szCs w:val="18"/>
        </w:rPr>
        <w:t>6.4  Roof Enclosure System</w:t>
      </w:r>
      <w:r>
        <w:ptab w:relativeTo="margin" w:alignment="right" w:leader="dot"/>
      </w:r>
      <w:r>
        <w:rPr>
          <w:sz w:val="21"/>
          <w:szCs w:val="21"/>
        </w:rPr>
        <w:t>2</w:t>
      </w:r>
      <w:r>
        <w:rPr>
          <w:szCs w:val="21"/>
        </w:rPr>
        <w:t>1</w:t>
      </w:r>
    </w:p>
    <w:p>
      <w:pPr>
        <w:spacing w:line="240" w:lineRule="auto"/>
      </w:pPr>
      <w:r>
        <w:t>7  Equipment and Pipeline System Design</w:t>
      </w:r>
      <w:r>
        <w:ptab w:relativeTo="margin" w:alignment="right" w:leader="dot"/>
      </w:r>
      <w:r>
        <w:rPr>
          <w:szCs w:val="21"/>
        </w:rPr>
        <w:t>23</w:t>
      </w:r>
    </w:p>
    <w:p>
      <w:pPr>
        <w:spacing w:line="240" w:lineRule="auto"/>
        <w:ind w:firstLine="216" w:firstLineChars="114"/>
        <w:rPr>
          <w:sz w:val="18"/>
          <w:szCs w:val="18"/>
        </w:rPr>
      </w:pPr>
      <w:r>
        <w:rPr>
          <w:sz w:val="18"/>
          <w:szCs w:val="18"/>
        </w:rPr>
        <w:t>7.1  General Provisions</w:t>
      </w:r>
      <w:r>
        <w:ptab w:relativeTo="margin" w:alignment="right" w:leader="dot"/>
      </w:r>
      <w:r>
        <w:rPr>
          <w:sz w:val="21"/>
          <w:szCs w:val="21"/>
        </w:rPr>
        <w:t>2</w:t>
      </w:r>
      <w:r>
        <w:rPr>
          <w:szCs w:val="21"/>
        </w:rPr>
        <w:t>3</w:t>
      </w:r>
    </w:p>
    <w:p>
      <w:pPr>
        <w:spacing w:line="240" w:lineRule="auto"/>
        <w:ind w:firstLine="216" w:firstLineChars="114"/>
        <w:rPr>
          <w:sz w:val="18"/>
          <w:szCs w:val="18"/>
        </w:rPr>
      </w:pPr>
      <w:r>
        <w:rPr>
          <w:sz w:val="18"/>
          <w:szCs w:val="18"/>
        </w:rPr>
        <w:t>7.2  Water Supply and Drainage</w:t>
      </w:r>
      <w:r>
        <w:ptab w:relativeTo="margin" w:alignment="right" w:leader="dot"/>
      </w:r>
      <w:r>
        <w:rPr>
          <w:sz w:val="21"/>
          <w:szCs w:val="21"/>
        </w:rPr>
        <w:t>2</w:t>
      </w:r>
      <w:r>
        <w:rPr>
          <w:szCs w:val="21"/>
        </w:rPr>
        <w:t>4</w:t>
      </w:r>
    </w:p>
    <w:p>
      <w:pPr>
        <w:spacing w:line="240" w:lineRule="auto"/>
        <w:ind w:firstLine="216" w:firstLineChars="114"/>
        <w:rPr>
          <w:sz w:val="18"/>
          <w:szCs w:val="18"/>
        </w:rPr>
      </w:pPr>
      <w:r>
        <w:rPr>
          <w:sz w:val="18"/>
          <w:szCs w:val="18"/>
        </w:rPr>
        <w:t>7.3  Heating, Ventilation, Air Conditioning and Gas</w:t>
      </w:r>
      <w:r>
        <w:ptab w:relativeTo="margin" w:alignment="right" w:leader="dot"/>
      </w:r>
      <w:r>
        <w:rPr>
          <w:sz w:val="21"/>
          <w:szCs w:val="21"/>
        </w:rPr>
        <w:t>2</w:t>
      </w:r>
      <w:r>
        <w:rPr>
          <w:szCs w:val="21"/>
        </w:rPr>
        <w:t>4</w:t>
      </w:r>
    </w:p>
    <w:p>
      <w:pPr>
        <w:spacing w:line="240" w:lineRule="auto"/>
        <w:ind w:firstLine="216" w:firstLineChars="114"/>
        <w:rPr>
          <w:sz w:val="18"/>
          <w:szCs w:val="18"/>
        </w:rPr>
      </w:pPr>
      <w:r>
        <w:rPr>
          <w:sz w:val="18"/>
          <w:szCs w:val="18"/>
        </w:rPr>
        <w:t>7.4  Electrics and Intelligence</w:t>
      </w:r>
      <w:r>
        <w:ptab w:relativeTo="margin" w:alignment="right" w:leader="dot"/>
      </w:r>
      <w:r>
        <w:rPr>
          <w:sz w:val="21"/>
          <w:szCs w:val="21"/>
        </w:rPr>
        <w:t>2</w:t>
      </w:r>
      <w:r>
        <w:rPr>
          <w:szCs w:val="21"/>
        </w:rPr>
        <w:t>5</w:t>
      </w:r>
    </w:p>
    <w:p>
      <w:pPr>
        <w:spacing w:line="240" w:lineRule="auto"/>
      </w:pPr>
      <w:r>
        <w:t>8  Design of Built-in System</w:t>
      </w:r>
      <w:r>
        <w:ptab w:relativeTo="margin" w:alignment="right" w:leader="dot"/>
      </w:r>
      <w:r>
        <w:rPr>
          <w:szCs w:val="21"/>
        </w:rPr>
        <w:t>2</w:t>
      </w:r>
      <w:r>
        <w:t>6</w:t>
      </w:r>
    </w:p>
    <w:p>
      <w:pPr>
        <w:spacing w:line="240" w:lineRule="auto"/>
        <w:ind w:firstLine="216" w:firstLineChars="114"/>
        <w:rPr>
          <w:sz w:val="18"/>
          <w:szCs w:val="18"/>
        </w:rPr>
      </w:pPr>
      <w:r>
        <w:rPr>
          <w:sz w:val="18"/>
          <w:szCs w:val="18"/>
        </w:rPr>
        <w:t>8.1  General Provisions</w:t>
      </w:r>
      <w:r>
        <w:ptab w:relativeTo="margin" w:alignment="right" w:leader="dot"/>
      </w:r>
      <w:r>
        <w:rPr>
          <w:sz w:val="21"/>
          <w:szCs w:val="21"/>
        </w:rPr>
        <w:t>2</w:t>
      </w:r>
      <w:r>
        <w:rPr>
          <w:szCs w:val="21"/>
        </w:rPr>
        <w:t>7</w:t>
      </w:r>
    </w:p>
    <w:p>
      <w:pPr>
        <w:spacing w:line="240" w:lineRule="auto"/>
        <w:ind w:firstLine="216" w:firstLineChars="114"/>
        <w:rPr>
          <w:sz w:val="18"/>
          <w:szCs w:val="18"/>
        </w:rPr>
      </w:pPr>
      <w:r>
        <w:rPr>
          <w:sz w:val="18"/>
          <w:szCs w:val="18"/>
        </w:rPr>
        <w:t>8.2  Partition Wall and Wall</w:t>
      </w:r>
      <w:r>
        <w:ptab w:relativeTo="margin" w:alignment="right" w:leader="dot"/>
      </w:r>
      <w:r>
        <w:rPr>
          <w:sz w:val="21"/>
          <w:szCs w:val="21"/>
        </w:rPr>
        <w:t>2</w:t>
      </w:r>
      <w:r>
        <w:rPr>
          <w:szCs w:val="21"/>
        </w:rPr>
        <w:t>7</w:t>
      </w:r>
    </w:p>
    <w:p>
      <w:pPr>
        <w:spacing w:line="240" w:lineRule="auto"/>
        <w:ind w:firstLine="216" w:firstLineChars="114"/>
        <w:rPr>
          <w:sz w:val="18"/>
          <w:szCs w:val="18"/>
        </w:rPr>
      </w:pPr>
      <w:r>
        <w:rPr>
          <w:sz w:val="18"/>
          <w:szCs w:val="18"/>
        </w:rPr>
        <w:t>8.3  Ceiling</w:t>
      </w:r>
      <w:r>
        <w:ptab w:relativeTo="margin" w:alignment="right" w:leader="dot"/>
      </w:r>
      <w:r>
        <w:rPr>
          <w:sz w:val="21"/>
          <w:szCs w:val="21"/>
        </w:rPr>
        <w:t>2</w:t>
      </w:r>
      <w:r>
        <w:rPr>
          <w:szCs w:val="21"/>
        </w:rPr>
        <w:t>8</w:t>
      </w:r>
    </w:p>
    <w:p>
      <w:pPr>
        <w:spacing w:line="240" w:lineRule="auto"/>
        <w:ind w:firstLine="216" w:firstLineChars="114"/>
        <w:rPr>
          <w:sz w:val="18"/>
          <w:szCs w:val="18"/>
        </w:rPr>
      </w:pPr>
      <w:r>
        <w:rPr>
          <w:sz w:val="18"/>
          <w:szCs w:val="18"/>
        </w:rPr>
        <w:t>8.4  Floors</w:t>
      </w:r>
      <w:r>
        <w:ptab w:relativeTo="margin" w:alignment="right" w:leader="dot"/>
      </w:r>
      <w:r>
        <w:rPr>
          <w:sz w:val="21"/>
          <w:szCs w:val="21"/>
        </w:rPr>
        <w:t>2</w:t>
      </w:r>
      <w:r>
        <w:rPr>
          <w:szCs w:val="21"/>
        </w:rPr>
        <w:t>8</w:t>
      </w:r>
    </w:p>
    <w:p>
      <w:pPr>
        <w:spacing w:line="240" w:lineRule="auto"/>
        <w:ind w:firstLine="216" w:firstLineChars="114"/>
        <w:rPr>
          <w:sz w:val="18"/>
          <w:szCs w:val="18"/>
        </w:rPr>
      </w:pPr>
      <w:r>
        <w:rPr>
          <w:sz w:val="18"/>
          <w:szCs w:val="18"/>
        </w:rPr>
        <w:t>8.5  Integrated Kitchen and Washroom</w:t>
      </w:r>
      <w:r>
        <w:ptab w:relativeTo="margin" w:alignment="right" w:leader="dot"/>
      </w:r>
      <w:r>
        <w:rPr>
          <w:szCs w:val="21"/>
        </w:rPr>
        <w:t>28</w:t>
      </w:r>
    </w:p>
    <w:p>
      <w:pPr>
        <w:spacing w:line="240" w:lineRule="auto"/>
        <w:ind w:firstLine="216" w:firstLineChars="114"/>
        <w:rPr>
          <w:sz w:val="18"/>
          <w:szCs w:val="18"/>
        </w:rPr>
      </w:pPr>
      <w:r>
        <w:rPr>
          <w:sz w:val="18"/>
          <w:szCs w:val="18"/>
        </w:rPr>
        <w:t>8.6  Interior Doors and Windows and Storage System</w:t>
      </w:r>
      <w:r>
        <w:ptab w:relativeTo="margin" w:alignment="right" w:leader="dot"/>
      </w:r>
      <w:r>
        <w:rPr>
          <w:szCs w:val="21"/>
        </w:rPr>
        <w:t>29</w:t>
      </w:r>
    </w:p>
    <w:p>
      <w:pPr>
        <w:spacing w:line="240" w:lineRule="auto"/>
      </w:pPr>
      <w:r>
        <w:t>9  Production, Construction, Installation and Quality Acceptance of Components</w:t>
      </w:r>
      <w:r>
        <w:ptab w:relativeTo="margin" w:alignment="right" w:leader="dot"/>
      </w:r>
      <w:r>
        <w:t>30</w:t>
      </w:r>
    </w:p>
    <w:p>
      <w:pPr>
        <w:spacing w:line="240" w:lineRule="auto"/>
        <w:ind w:firstLine="216" w:firstLineChars="114"/>
        <w:rPr>
          <w:sz w:val="18"/>
          <w:szCs w:val="18"/>
        </w:rPr>
      </w:pPr>
      <w:r>
        <w:rPr>
          <w:sz w:val="18"/>
          <w:szCs w:val="18"/>
        </w:rPr>
        <w:t>9.1  General Provisions</w:t>
      </w:r>
      <w:r>
        <w:ptab w:relativeTo="margin" w:alignment="right" w:leader="dot"/>
      </w:r>
      <w:r>
        <w:rPr>
          <w:szCs w:val="21"/>
        </w:rPr>
        <w:t>30</w:t>
      </w:r>
    </w:p>
    <w:p>
      <w:pPr>
        <w:spacing w:line="240" w:lineRule="auto"/>
        <w:ind w:firstLine="216" w:firstLineChars="114"/>
        <w:rPr>
          <w:sz w:val="18"/>
          <w:szCs w:val="18"/>
        </w:rPr>
      </w:pPr>
      <w:r>
        <w:rPr>
          <w:sz w:val="18"/>
          <w:szCs w:val="18"/>
        </w:rPr>
        <w:t>9.2  Production and Transportation</w:t>
      </w:r>
      <w:r>
        <w:ptab w:relativeTo="margin" w:alignment="right" w:leader="dot"/>
      </w:r>
      <w:r>
        <w:rPr>
          <w:sz w:val="21"/>
          <w:szCs w:val="21"/>
        </w:rPr>
        <w:t>3</w:t>
      </w:r>
      <w:r>
        <w:rPr>
          <w:szCs w:val="21"/>
        </w:rPr>
        <w:t>0</w:t>
      </w:r>
    </w:p>
    <w:p>
      <w:pPr>
        <w:spacing w:line="240" w:lineRule="auto"/>
        <w:ind w:firstLine="216" w:firstLineChars="114"/>
        <w:rPr>
          <w:sz w:val="18"/>
          <w:szCs w:val="18"/>
        </w:rPr>
      </w:pPr>
      <w:r>
        <w:rPr>
          <w:sz w:val="18"/>
          <w:szCs w:val="18"/>
        </w:rPr>
        <w:t>9.3  Construction and Installation</w:t>
      </w:r>
      <w:r>
        <w:ptab w:relativeTo="margin" w:alignment="right" w:leader="dot"/>
      </w:r>
      <w:r>
        <w:rPr>
          <w:sz w:val="21"/>
          <w:szCs w:val="21"/>
        </w:rPr>
        <w:t>3</w:t>
      </w:r>
      <w:r>
        <w:rPr>
          <w:szCs w:val="21"/>
        </w:rPr>
        <w:t>1</w:t>
      </w:r>
    </w:p>
    <w:p>
      <w:pPr>
        <w:spacing w:line="240" w:lineRule="auto"/>
        <w:ind w:firstLine="216" w:firstLineChars="114"/>
        <w:rPr>
          <w:sz w:val="18"/>
          <w:szCs w:val="18"/>
        </w:rPr>
      </w:pPr>
      <w:r>
        <w:rPr>
          <w:sz w:val="18"/>
          <w:szCs w:val="18"/>
        </w:rPr>
        <w:t>9.4  Quality Acceptance</w:t>
      </w:r>
      <w:r>
        <w:ptab w:relativeTo="margin" w:alignment="right" w:leader="dot"/>
      </w:r>
      <w:r>
        <w:rPr>
          <w:sz w:val="21"/>
          <w:szCs w:val="21"/>
        </w:rPr>
        <w:t>3</w:t>
      </w:r>
      <w:r>
        <w:rPr>
          <w:szCs w:val="21"/>
        </w:rPr>
        <w:t>1</w:t>
      </w:r>
    </w:p>
    <w:p>
      <w:pPr>
        <w:spacing w:line="240" w:lineRule="auto"/>
      </w:pPr>
      <w:r>
        <w:t>10  Intelligent Construction and Information Application</w:t>
      </w:r>
      <w:r>
        <w:ptab w:relativeTo="margin" w:alignment="right" w:leader="dot"/>
      </w:r>
      <w:r>
        <w:rPr>
          <w:szCs w:val="21"/>
        </w:rPr>
        <w:t>35</w:t>
      </w:r>
    </w:p>
    <w:p>
      <w:pPr>
        <w:spacing w:line="240" w:lineRule="auto"/>
        <w:ind w:firstLine="216" w:firstLineChars="114"/>
        <w:rPr>
          <w:sz w:val="18"/>
          <w:szCs w:val="18"/>
        </w:rPr>
      </w:pPr>
      <w:r>
        <w:rPr>
          <w:sz w:val="18"/>
          <w:szCs w:val="18"/>
        </w:rPr>
        <w:t xml:space="preserve">10.1  General Provisions </w:t>
      </w:r>
      <w:r>
        <w:ptab w:relativeTo="margin" w:alignment="right" w:leader="dot"/>
      </w:r>
      <w:r>
        <w:rPr>
          <w:sz w:val="21"/>
          <w:szCs w:val="21"/>
        </w:rPr>
        <w:t>3</w:t>
      </w:r>
      <w:r>
        <w:rPr>
          <w:szCs w:val="21"/>
        </w:rPr>
        <w:t>5</w:t>
      </w:r>
    </w:p>
    <w:p>
      <w:pPr>
        <w:spacing w:line="240" w:lineRule="auto"/>
        <w:ind w:firstLine="216" w:firstLineChars="114"/>
        <w:rPr>
          <w:sz w:val="18"/>
          <w:szCs w:val="18"/>
        </w:rPr>
      </w:pPr>
      <w:r>
        <w:rPr>
          <w:sz w:val="18"/>
          <w:szCs w:val="18"/>
        </w:rPr>
        <w:t xml:space="preserve">10.2  Digital Design </w:t>
      </w:r>
      <w:r>
        <w:ptab w:relativeTo="margin" w:alignment="right" w:leader="dot"/>
      </w:r>
      <w:r>
        <w:rPr>
          <w:sz w:val="21"/>
          <w:szCs w:val="21"/>
        </w:rPr>
        <w:t>3</w:t>
      </w:r>
      <w:r>
        <w:rPr>
          <w:szCs w:val="21"/>
        </w:rPr>
        <w:t>5</w:t>
      </w:r>
    </w:p>
    <w:p>
      <w:pPr>
        <w:spacing w:line="240" w:lineRule="auto"/>
        <w:ind w:firstLine="216" w:firstLineChars="114"/>
        <w:rPr>
          <w:sz w:val="18"/>
          <w:szCs w:val="18"/>
        </w:rPr>
      </w:pPr>
      <w:r>
        <w:rPr>
          <w:sz w:val="18"/>
          <w:szCs w:val="18"/>
        </w:rPr>
        <w:t xml:space="preserve">10.3  Intelligent Production And Construction </w:t>
      </w:r>
      <w:r>
        <w:ptab w:relativeTo="margin" w:alignment="right" w:leader="dot"/>
      </w:r>
      <w:r>
        <w:rPr>
          <w:sz w:val="21"/>
          <w:szCs w:val="21"/>
        </w:rPr>
        <w:t>3</w:t>
      </w:r>
      <w:r>
        <w:rPr>
          <w:szCs w:val="21"/>
        </w:rPr>
        <w:t>5</w:t>
      </w:r>
    </w:p>
    <w:p>
      <w:pPr>
        <w:spacing w:line="240" w:lineRule="auto"/>
      </w:pPr>
      <w:r>
        <w:t>11  Use and Maintenance Management</w:t>
      </w:r>
      <w:r>
        <w:ptab w:relativeTo="margin" w:alignment="right" w:leader="dot"/>
      </w:r>
      <w:r>
        <w:t>37</w:t>
      </w:r>
    </w:p>
    <w:p>
      <w:pPr>
        <w:spacing w:line="240" w:lineRule="auto"/>
        <w:ind w:firstLine="216" w:firstLineChars="114"/>
        <w:rPr>
          <w:sz w:val="18"/>
          <w:szCs w:val="18"/>
        </w:rPr>
      </w:pPr>
      <w:r>
        <w:rPr>
          <w:sz w:val="18"/>
          <w:szCs w:val="18"/>
        </w:rPr>
        <w:t>11.1  General Provisions</w:t>
      </w:r>
      <w:r>
        <w:ptab w:relativeTo="margin" w:alignment="right" w:leader="dot"/>
      </w:r>
      <w:r>
        <w:rPr>
          <w:sz w:val="21"/>
          <w:szCs w:val="21"/>
        </w:rPr>
        <w:t>3</w:t>
      </w:r>
      <w:r>
        <w:rPr>
          <w:szCs w:val="21"/>
        </w:rPr>
        <w:t>7</w:t>
      </w:r>
    </w:p>
    <w:p>
      <w:pPr>
        <w:spacing w:line="240" w:lineRule="auto"/>
        <w:ind w:firstLine="216" w:firstLineChars="114"/>
        <w:rPr>
          <w:sz w:val="18"/>
          <w:szCs w:val="18"/>
        </w:rPr>
      </w:pPr>
      <w:r>
        <w:rPr>
          <w:sz w:val="18"/>
          <w:szCs w:val="18"/>
        </w:rPr>
        <w:t>11.2  Use and Maintenance</w:t>
      </w:r>
      <w:r>
        <w:ptab w:relativeTo="margin" w:alignment="right" w:leader="dot"/>
      </w:r>
      <w:r>
        <w:rPr>
          <w:sz w:val="21"/>
          <w:szCs w:val="21"/>
        </w:rPr>
        <w:t>3</w:t>
      </w:r>
      <w:r>
        <w:rPr>
          <w:szCs w:val="21"/>
        </w:rPr>
        <w:t>7</w:t>
      </w:r>
    </w:p>
    <w:p>
      <w:pPr>
        <w:spacing w:line="240" w:lineRule="auto"/>
        <w:ind w:firstLine="216" w:firstLineChars="114"/>
        <w:rPr>
          <w:sz w:val="18"/>
          <w:szCs w:val="18"/>
        </w:rPr>
      </w:pPr>
      <w:r>
        <w:rPr>
          <w:sz w:val="18"/>
          <w:szCs w:val="18"/>
        </w:rPr>
        <w:t>11.3  Property Service</w:t>
      </w:r>
      <w:r>
        <w:ptab w:relativeTo="margin" w:alignment="right" w:leader="dot"/>
      </w:r>
      <w:r>
        <w:rPr>
          <w:sz w:val="21"/>
          <w:szCs w:val="21"/>
        </w:rPr>
        <w:t>3</w:t>
      </w:r>
      <w:r>
        <w:rPr>
          <w:szCs w:val="21"/>
        </w:rPr>
        <w:t>7</w:t>
      </w:r>
    </w:p>
    <w:p>
      <w:pPr>
        <w:spacing w:line="240" w:lineRule="auto"/>
      </w:pPr>
      <w:r>
        <w:t xml:space="preserve">Explanation of Wording in This Standard </w:t>
      </w:r>
      <w:r>
        <w:ptab w:relativeTo="margin" w:alignment="right" w:leader="dot"/>
      </w:r>
      <w:r>
        <w:t>38</w:t>
      </w:r>
    </w:p>
    <w:p>
      <w:pPr>
        <w:spacing w:line="240" w:lineRule="auto"/>
      </w:pPr>
      <w:r>
        <w:t>List of Quoted Standards</w:t>
      </w:r>
      <w:r>
        <w:ptab w:relativeTo="margin" w:alignment="right" w:leader="dot"/>
      </w:r>
      <w:r>
        <w:t xml:space="preserve"> 39</w:t>
      </w:r>
    </w:p>
    <w:p>
      <w:pPr>
        <w:spacing w:line="240" w:lineRule="auto"/>
      </w:pPr>
      <w:r>
        <w:t xml:space="preserve">Addition: Explanation of Provisions </w:t>
      </w:r>
      <w:r>
        <w:ptab w:relativeTo="margin" w:alignment="right" w:leader="dot"/>
      </w:r>
      <w:r>
        <w:t>42</w:t>
      </w:r>
    </w:p>
    <w:p>
      <w:pPr>
        <w:keepNext/>
        <w:keepLines/>
        <w:spacing w:after="360" w:line="240" w:lineRule="auto"/>
        <w:jc w:val="center"/>
        <w:outlineLvl w:val="0"/>
        <w:rPr>
          <w:sz w:val="28"/>
          <w:szCs w:val="21"/>
        </w:rPr>
        <w:sectPr>
          <w:footerReference r:id="rId7" w:type="default"/>
          <w:pgSz w:w="11906" w:h="16838"/>
          <w:pgMar w:top="1610" w:right="1349" w:bottom="1213" w:left="1293" w:header="851" w:footer="992" w:gutter="0"/>
          <w:pgNumType w:start="1"/>
          <w:cols w:space="425" w:num="1"/>
          <w:docGrid w:type="linesAndChars" w:linePitch="333" w:charSpace="2165"/>
        </w:sectPr>
      </w:pPr>
    </w:p>
    <w:p>
      <w:pPr>
        <w:keepNext/>
        <w:keepLines/>
        <w:spacing w:after="360" w:line="240" w:lineRule="auto"/>
        <w:jc w:val="center"/>
        <w:outlineLvl w:val="0"/>
        <w:rPr>
          <w:sz w:val="28"/>
          <w:szCs w:val="21"/>
        </w:rPr>
      </w:pPr>
      <w:bookmarkStart w:id="0" w:name="_Toc118357430"/>
      <w:r>
        <w:rPr>
          <w:rFonts w:hint="eastAsia"/>
          <w:sz w:val="28"/>
          <w:szCs w:val="21"/>
        </w:rPr>
        <w:t xml:space="preserve">1  </w:t>
      </w:r>
      <w:r>
        <w:rPr>
          <w:rFonts w:hint="eastAsia" w:ascii="宋体" w:hAnsi="宋体"/>
          <w:b/>
          <w:bCs/>
          <w:sz w:val="28"/>
          <w:szCs w:val="21"/>
        </w:rPr>
        <w:t>总</w:t>
      </w:r>
      <w:r>
        <w:rPr>
          <w:rFonts w:ascii="宋体" w:hAnsi="宋体"/>
          <w:b/>
          <w:bCs/>
          <w:sz w:val="28"/>
          <w:szCs w:val="21"/>
        </w:rPr>
        <w:t xml:space="preserve">    </w:t>
      </w:r>
      <w:r>
        <w:rPr>
          <w:rFonts w:hint="eastAsia" w:ascii="宋体" w:hAnsi="宋体"/>
          <w:b/>
          <w:bCs/>
          <w:sz w:val="28"/>
          <w:szCs w:val="21"/>
        </w:rPr>
        <w:t>则</w:t>
      </w:r>
      <w:bookmarkEnd w:id="0"/>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 </w:t>
      </w:r>
      <w:r>
        <w:rPr>
          <w:rFonts w:hint="eastAsia"/>
          <w:bCs/>
          <w:szCs w:val="21"/>
        </w:rPr>
        <w:t xml:space="preserve"> 为促进深圳市钢结构装配式住宅高质量发展，实现新型建筑工业化带动建筑业转型升级，规范钢结构装配式住宅建筑全寿命期的建筑设计、部品部件生产、施工安装、质量验收、使用、维护与管理等，做到安全适用、技术先进、经济合理、保证质量、绿色环保，全面提高钢结构住宅建筑的环境效益、社会效益和经济效益，制定本规程。</w:t>
      </w:r>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2 </w:t>
      </w:r>
      <w:r>
        <w:rPr>
          <w:rFonts w:hint="eastAsia"/>
          <w:bCs/>
          <w:szCs w:val="21"/>
        </w:rPr>
        <w:t xml:space="preserve"> 本规程适用于主体结构采用钢结构及钢-混凝土混合结构，适用高度不超过180米的装配式多、高层住宅建筑的设计、生产、施工安装、质量验收、使用、维护与管理。</w:t>
      </w:r>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3 </w:t>
      </w:r>
      <w:r>
        <w:rPr>
          <w:rFonts w:hint="eastAsia"/>
          <w:bCs/>
          <w:szCs w:val="21"/>
        </w:rPr>
        <w:t xml:space="preserve"> 钢结构装配式住宅建筑的设计与建造应遵循标准化、一体化集成设计,智能化建造,全生命期维护的原则。</w:t>
      </w:r>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4 </w:t>
      </w:r>
      <w:r>
        <w:rPr>
          <w:rFonts w:hint="eastAsia"/>
          <w:bCs/>
          <w:szCs w:val="21"/>
        </w:rPr>
        <w:t xml:space="preserve"> 钢结构装配式住宅建筑的设计、生产、施工安装、质量验收、使用、维护与管理，除应符合本规程外，尚应符合国家现行有关标准的规定。</w:t>
      </w:r>
    </w:p>
    <w:p>
      <w:pPr>
        <w:rPr>
          <w:rFonts w:ascii="宋体" w:hAnsi="宋体"/>
          <w:szCs w:val="21"/>
        </w:rPr>
      </w:pPr>
      <w:r>
        <w:rPr>
          <w:rFonts w:ascii="宋体" w:hAnsi="宋体"/>
          <w:szCs w:val="21"/>
        </w:rPr>
        <w:t xml:space="preserve"> </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 w:name="_Toc118357431"/>
      <w:r>
        <w:rPr>
          <w:rFonts w:hint="eastAsia"/>
          <w:sz w:val="28"/>
          <w:szCs w:val="21"/>
        </w:rPr>
        <w:t xml:space="preserve">2  </w:t>
      </w:r>
      <w:r>
        <w:rPr>
          <w:rFonts w:hint="eastAsia" w:ascii="宋体" w:hAnsi="宋体"/>
          <w:b/>
          <w:bCs/>
          <w:sz w:val="28"/>
          <w:szCs w:val="21"/>
        </w:rPr>
        <w:t>术</w:t>
      </w:r>
      <w:r>
        <w:rPr>
          <w:rFonts w:ascii="宋体" w:hAnsi="宋体"/>
          <w:b/>
          <w:bCs/>
          <w:sz w:val="28"/>
          <w:szCs w:val="21"/>
        </w:rPr>
        <w:t xml:space="preserve">    </w:t>
      </w:r>
      <w:r>
        <w:rPr>
          <w:rFonts w:hint="eastAsia" w:ascii="宋体" w:hAnsi="宋体"/>
          <w:b/>
          <w:bCs/>
          <w:sz w:val="28"/>
          <w:szCs w:val="21"/>
        </w:rPr>
        <w:t>语</w:t>
      </w:r>
      <w:bookmarkEnd w:id="1"/>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 </w:t>
      </w:r>
      <w:r>
        <w:rPr>
          <w:rFonts w:hint="eastAsia"/>
          <w:bCs/>
          <w:szCs w:val="21"/>
        </w:rPr>
        <w:t xml:space="preserve"> 钢结构装配式住宅  assembled steel housing</w:t>
      </w:r>
    </w:p>
    <w:p>
      <w:pPr>
        <w:spacing w:line="240" w:lineRule="auto"/>
        <w:ind w:firstLine="420" w:firstLineChars="200"/>
        <w:rPr>
          <w:rFonts w:cs="宋体"/>
          <w:szCs w:val="21"/>
        </w:rPr>
      </w:pPr>
      <w:r>
        <w:rPr>
          <w:rFonts w:hint="eastAsia" w:cs="宋体"/>
          <w:szCs w:val="21"/>
        </w:rPr>
        <w:t>以钢结构及钢-混凝土混合结构作为主要结构系统，配套的外围护系统、设备管线系统和内装系统等主要部品部（构）件采用集成方法设计、建造的住宅建筑。</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2 </w:t>
      </w:r>
      <w:r>
        <w:rPr>
          <w:rFonts w:hint="eastAsia"/>
          <w:bCs/>
          <w:szCs w:val="21"/>
        </w:rPr>
        <w:t xml:space="preserve"> 建筑系统集成  integration of building system</w:t>
      </w:r>
    </w:p>
    <w:p>
      <w:pPr>
        <w:spacing w:line="240" w:lineRule="auto"/>
        <w:ind w:firstLine="420" w:firstLineChars="200"/>
        <w:rPr>
          <w:rFonts w:cs="宋体"/>
          <w:szCs w:val="21"/>
        </w:rPr>
      </w:pPr>
      <w:r>
        <w:rPr>
          <w:rFonts w:hint="eastAsia" w:cs="宋体"/>
          <w:szCs w:val="21"/>
        </w:rPr>
        <w:t>以装配化建造方式为基础，统筹策划、设计、生产和施工等，实现住宅建筑的结构系统、外围护系统、设备与管线系统、内装系统一体化的设计和生产建造方式。</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3 </w:t>
      </w:r>
      <w:r>
        <w:rPr>
          <w:rFonts w:hint="eastAsia"/>
          <w:bCs/>
          <w:szCs w:val="21"/>
        </w:rPr>
        <w:t xml:space="preserve"> 集成设计  integrated design</w:t>
      </w:r>
    </w:p>
    <w:p>
      <w:pPr>
        <w:spacing w:line="240" w:lineRule="auto"/>
        <w:ind w:firstLine="420" w:firstLineChars="200"/>
        <w:rPr>
          <w:rFonts w:cs="宋体"/>
          <w:szCs w:val="21"/>
        </w:rPr>
      </w:pPr>
      <w:r>
        <w:rPr>
          <w:rFonts w:hint="eastAsia" w:cs="宋体"/>
          <w:szCs w:val="21"/>
        </w:rPr>
        <w:t>建筑的结构系统、外围护系统、设备与管线系统、内装系统一体化的设计方法和过程。</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4</w:t>
      </w:r>
      <w:r>
        <w:rPr>
          <w:rFonts w:hint="eastAsia"/>
          <w:bCs/>
          <w:szCs w:val="21"/>
        </w:rPr>
        <w:t xml:space="preserve">  协同设计  coordination design</w:t>
      </w:r>
    </w:p>
    <w:p>
      <w:pPr>
        <w:spacing w:line="240" w:lineRule="auto"/>
        <w:ind w:firstLine="420" w:firstLineChars="200"/>
        <w:rPr>
          <w:rFonts w:cs="宋体"/>
          <w:szCs w:val="21"/>
        </w:rPr>
      </w:pPr>
      <w:r>
        <w:rPr>
          <w:rFonts w:hint="eastAsia" w:cs="宋体"/>
          <w:szCs w:val="21"/>
        </w:rPr>
        <w:t>钢结构装配式住宅建筑设计中通过建筑、结构、设备、装修等专业相互配合，运用信息化技术手段满足建筑设计、生产运输、施工安装等要求的一体化设计方法和过程。</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5 </w:t>
      </w:r>
      <w:r>
        <w:rPr>
          <w:rFonts w:hint="eastAsia"/>
          <w:bCs/>
          <w:szCs w:val="21"/>
        </w:rPr>
        <w:t xml:space="preserve"> 绿色设计 green design</w:t>
      </w:r>
    </w:p>
    <w:p>
      <w:pPr>
        <w:spacing w:line="240" w:lineRule="auto"/>
        <w:ind w:firstLine="420" w:firstLineChars="200"/>
        <w:rPr>
          <w:rFonts w:cs="宋体"/>
          <w:szCs w:val="21"/>
        </w:rPr>
      </w:pPr>
      <w:r>
        <w:rPr>
          <w:rFonts w:hint="eastAsia" w:cs="宋体"/>
          <w:szCs w:val="21"/>
        </w:rPr>
        <w:t>在建筑设计中体现可持续发展的理念，在满足建筑功能的基础上，实现建筑全寿命周期内的资源节约和环境保护，为人们提供健康、适用和高效的使用空间。</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6</w:t>
      </w:r>
      <w:r>
        <w:rPr>
          <w:rFonts w:hint="eastAsia"/>
          <w:bCs/>
          <w:szCs w:val="21"/>
        </w:rPr>
        <w:t xml:space="preserve">  部品  parts</w:t>
      </w:r>
    </w:p>
    <w:p>
      <w:pPr>
        <w:spacing w:line="240" w:lineRule="auto"/>
        <w:ind w:firstLine="420" w:firstLineChars="200"/>
        <w:rPr>
          <w:rFonts w:cs="宋体"/>
          <w:szCs w:val="21"/>
        </w:rPr>
      </w:pPr>
      <w:r>
        <w:rPr>
          <w:rFonts w:hint="eastAsia" w:cs="宋体"/>
          <w:szCs w:val="21"/>
        </w:rPr>
        <w:t>由工厂生产，构成外围护系统、设备与管线系统、内装系统的建筑单一产品或复合产品组装而成的功能单元的统称。</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7</w:t>
      </w:r>
      <w:r>
        <w:rPr>
          <w:rFonts w:hint="eastAsia"/>
          <w:bCs/>
          <w:szCs w:val="21"/>
        </w:rPr>
        <w:t xml:space="preserve">  装配式内装  assembled decoration</w:t>
      </w:r>
    </w:p>
    <w:p>
      <w:pPr>
        <w:spacing w:line="240" w:lineRule="auto"/>
        <w:ind w:firstLine="420" w:firstLineChars="200"/>
        <w:rPr>
          <w:rFonts w:cs="宋体"/>
          <w:szCs w:val="21"/>
        </w:rPr>
      </w:pPr>
      <w:r>
        <w:rPr>
          <w:rFonts w:hint="eastAsia" w:cs="宋体"/>
          <w:szCs w:val="21"/>
        </w:rPr>
        <w:t>采用干式工法，将工厂生产的内装部品在现场进行组合安装的室内装修方式。</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8</w:t>
      </w:r>
      <w:r>
        <w:rPr>
          <w:rFonts w:hint="eastAsia"/>
          <w:bCs/>
          <w:szCs w:val="21"/>
        </w:rPr>
        <w:t xml:space="preserve">  集成厨房  integrated kitchen</w:t>
      </w:r>
    </w:p>
    <w:p>
      <w:pPr>
        <w:spacing w:line="240" w:lineRule="auto"/>
        <w:ind w:firstLine="420" w:firstLineChars="200"/>
        <w:rPr>
          <w:rFonts w:cs="宋体"/>
          <w:szCs w:val="21"/>
        </w:rPr>
      </w:pPr>
      <w:r>
        <w:rPr>
          <w:rFonts w:hint="eastAsia" w:cs="宋体"/>
          <w:szCs w:val="21"/>
        </w:rPr>
        <w:t>由工厂生产的楼地面、吊顶、墙面、橱柜和厨房设备及管线等集成并主要采用干式工法装配而成的厨房。</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9</w:t>
      </w:r>
      <w:r>
        <w:rPr>
          <w:rFonts w:hint="eastAsia"/>
          <w:bCs/>
          <w:szCs w:val="21"/>
        </w:rPr>
        <w:t xml:space="preserve">  集成卫生间  integrated bathroom</w:t>
      </w:r>
    </w:p>
    <w:p>
      <w:pPr>
        <w:spacing w:line="240" w:lineRule="auto"/>
        <w:ind w:firstLine="420" w:firstLineChars="200"/>
        <w:rPr>
          <w:rFonts w:cs="宋体"/>
          <w:szCs w:val="21"/>
        </w:rPr>
      </w:pPr>
      <w:r>
        <w:rPr>
          <w:rFonts w:hint="eastAsia" w:cs="宋体"/>
          <w:szCs w:val="21"/>
        </w:rPr>
        <w:t>吊顶、地面、墙面、洁具、设备及管线等通过集成设计、工厂生产，并在现场采用干式工法施工完成的卫生间。</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10</w:t>
      </w:r>
      <w:r>
        <w:rPr>
          <w:rFonts w:hint="eastAsia"/>
          <w:bCs/>
          <w:szCs w:val="21"/>
        </w:rPr>
        <w:t xml:space="preserve">  整体厨房  integral kitchen</w:t>
      </w:r>
    </w:p>
    <w:p>
      <w:pPr>
        <w:spacing w:line="240" w:lineRule="auto"/>
        <w:ind w:firstLine="420" w:firstLineChars="200"/>
        <w:rPr>
          <w:rFonts w:cs="宋体"/>
          <w:szCs w:val="21"/>
        </w:rPr>
      </w:pPr>
      <w:r>
        <w:rPr>
          <w:rFonts w:hint="eastAsia" w:cs="宋体"/>
          <w:szCs w:val="21"/>
        </w:rPr>
        <w:t>由工厂生产、现场装配的满足炊事活动功能要求的基本单元模块化部品，配置整体橱柜、灶具、排油烟机等设备及管线。</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11</w:t>
      </w:r>
      <w:r>
        <w:rPr>
          <w:rFonts w:hint="eastAsia"/>
          <w:bCs/>
          <w:szCs w:val="21"/>
        </w:rPr>
        <w:t xml:space="preserve">  整体卫浴  integral bathroom</w:t>
      </w:r>
    </w:p>
    <w:p>
      <w:pPr>
        <w:spacing w:line="240" w:lineRule="auto"/>
        <w:ind w:firstLine="420" w:firstLineChars="200"/>
        <w:rPr>
          <w:rFonts w:cs="宋体"/>
          <w:szCs w:val="21"/>
        </w:rPr>
      </w:pPr>
      <w:r>
        <w:rPr>
          <w:rFonts w:hint="eastAsia" w:cs="宋体"/>
          <w:szCs w:val="21"/>
        </w:rPr>
        <w:t>由工厂生产、现场装配的满足洗浴、盥洗和便溺等功能要求的基本单元模块化部品，配置卫生洁具、设备及管线，以及墙板、防水底盘、顶板等。</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12</w:t>
      </w:r>
      <w:r>
        <w:rPr>
          <w:rFonts w:hint="eastAsia"/>
          <w:bCs/>
          <w:szCs w:val="21"/>
        </w:rPr>
        <w:t xml:space="preserve">  整体收纳  integral cabinets</w:t>
      </w:r>
    </w:p>
    <w:p>
      <w:pPr>
        <w:spacing w:line="240" w:lineRule="auto"/>
        <w:ind w:firstLine="420" w:firstLineChars="200"/>
        <w:rPr>
          <w:rFonts w:cs="宋体"/>
          <w:szCs w:val="21"/>
        </w:rPr>
      </w:pPr>
      <w:r>
        <w:rPr>
          <w:rFonts w:hint="eastAsia" w:cs="宋体"/>
          <w:szCs w:val="21"/>
        </w:rPr>
        <w:t>由工厂生产、现场装配的满足不同套内功能空间分类储藏要求的基本单元模块化部品，配置门扇、五金件和隔板等。</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13 </w:t>
      </w:r>
      <w:r>
        <w:rPr>
          <w:rFonts w:hint="eastAsia"/>
          <w:bCs/>
          <w:szCs w:val="21"/>
        </w:rPr>
        <w:t xml:space="preserve"> 装配式隔墙、吊顶和楼地面  assembled partition wall, ceiling and floor</w:t>
      </w:r>
    </w:p>
    <w:p>
      <w:pPr>
        <w:spacing w:line="240" w:lineRule="auto"/>
        <w:ind w:firstLine="420" w:firstLineChars="200"/>
        <w:rPr>
          <w:rFonts w:cs="宋体"/>
          <w:szCs w:val="21"/>
        </w:rPr>
      </w:pPr>
      <w:r>
        <w:rPr>
          <w:rFonts w:hint="eastAsia" w:cs="宋体"/>
          <w:szCs w:val="21"/>
        </w:rPr>
        <w:t>由工厂生产的具有隔声、防火或防潮等性能且满足空间和功能要求的隔墙、吊顶和楼地面等集成化部品。</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14</w:t>
      </w:r>
      <w:r>
        <w:rPr>
          <w:rFonts w:hint="eastAsia"/>
          <w:bCs/>
          <w:szCs w:val="21"/>
        </w:rPr>
        <w:t xml:space="preserve">  管线分离  pipe and wire detached from skeleton</w:t>
      </w:r>
    </w:p>
    <w:p>
      <w:pPr>
        <w:spacing w:line="240" w:lineRule="auto"/>
        <w:ind w:firstLine="420" w:firstLineChars="200"/>
        <w:rPr>
          <w:rFonts w:cs="宋体"/>
          <w:szCs w:val="21"/>
        </w:rPr>
      </w:pPr>
      <w:r>
        <w:rPr>
          <w:rFonts w:hint="eastAsia" w:cs="宋体"/>
          <w:szCs w:val="21"/>
        </w:rPr>
        <w:t>将设备及管线与建筑结构体相分离，不在建筑结构体中预埋设备及管线。</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15 </w:t>
      </w:r>
      <w:r>
        <w:rPr>
          <w:rFonts w:hint="eastAsia"/>
          <w:bCs/>
          <w:szCs w:val="21"/>
        </w:rPr>
        <w:t xml:space="preserve"> 饰面一体化隔墙 </w:t>
      </w:r>
      <w:r>
        <w:rPr>
          <w:bCs/>
          <w:szCs w:val="21"/>
        </w:rPr>
        <w:t xml:space="preserve"> i</w:t>
      </w:r>
      <w:r>
        <w:rPr>
          <w:rFonts w:hint="eastAsia"/>
          <w:bCs/>
          <w:szCs w:val="21"/>
        </w:rPr>
        <w:t>ntegrated partition wall of decorate</w:t>
      </w:r>
    </w:p>
    <w:p>
      <w:pPr>
        <w:spacing w:line="240" w:lineRule="auto"/>
        <w:ind w:firstLine="420" w:firstLineChars="200"/>
        <w:rPr>
          <w:rFonts w:cs="宋体"/>
          <w:szCs w:val="21"/>
        </w:rPr>
      </w:pPr>
      <w:r>
        <w:rPr>
          <w:rFonts w:hint="eastAsia" w:cs="宋体"/>
          <w:szCs w:val="21"/>
        </w:rPr>
        <w:t>将隔墙骨架、机电管道、隔声材料、基层板、装饰面层等在工厂进行一体化生产形成单元模块，现场组合安装的装配式隔墙。</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2" w:name="_Toc118357432"/>
      <w:r>
        <w:rPr>
          <w:rFonts w:hint="eastAsia"/>
          <w:sz w:val="28"/>
          <w:szCs w:val="21"/>
        </w:rPr>
        <w:t xml:space="preserve">3  </w:t>
      </w:r>
      <w:r>
        <w:rPr>
          <w:rFonts w:hint="eastAsia" w:ascii="宋体" w:hAnsi="宋体"/>
          <w:b/>
          <w:bCs/>
          <w:sz w:val="28"/>
          <w:szCs w:val="21"/>
        </w:rPr>
        <w:t>基 本 规 定</w:t>
      </w:r>
      <w:bookmarkEnd w:id="2"/>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w:t>
      </w:r>
      <w:r>
        <w:rPr>
          <w:rFonts w:hint="eastAsia"/>
          <w:bCs/>
          <w:szCs w:val="21"/>
        </w:rPr>
        <w:t xml:space="preserve">  钢结构装配式住宅宜选用技术体系成熟、生产工艺完整、安装方法规范、质量保障配套的设计与建造方法，满足居住安全耐久、绿色环保、健康舒适和经济适用等综合性能要求。</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2</w:t>
      </w:r>
      <w:r>
        <w:rPr>
          <w:rFonts w:hint="eastAsia"/>
          <w:bCs/>
          <w:szCs w:val="21"/>
        </w:rPr>
        <w:t xml:space="preserve">  钢结构装配式住宅建筑设计应以标准化为核心的系统集成设计方法，以实现住宅性能目标为基础，以工业化建造的思维将结构系统、外围护系统、设备与管线系统、内装系统集成的方法进行一体化设计。</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3</w:t>
      </w:r>
      <w:r>
        <w:rPr>
          <w:rFonts w:hint="eastAsia"/>
          <w:bCs/>
          <w:szCs w:val="21"/>
        </w:rPr>
        <w:t xml:space="preserve">  钢结构装配式住宅建筑的设计应符合通用化、模数化、标准化的规定，以少规格、多组合为原则实现建筑部品部（构）件的系列化和住宅建筑居住的多样化。</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4</w:t>
      </w:r>
      <w:r>
        <w:rPr>
          <w:rFonts w:hint="eastAsia"/>
          <w:bCs/>
          <w:szCs w:val="21"/>
        </w:rPr>
        <w:t xml:space="preserve">  钢结构装配式住宅建筑应选用标准化程度高、接口通用性强、性能优良、安装高效、维护更换便捷的绿色建材和部品部件，推进全产业链协同发展。</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5 </w:t>
      </w:r>
      <w:r>
        <w:rPr>
          <w:rFonts w:hint="eastAsia"/>
          <w:bCs/>
          <w:szCs w:val="21"/>
        </w:rPr>
        <w:t xml:space="preserve"> 钢结构装配式住宅建筑设计应综合考虑建筑、结构、设备和内装等专业的协调，设计、建造、使用与维护应采用建筑信息化模型技术，并宜实现各专业、全过程的信息化管理与智能化应用。</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6</w:t>
      </w:r>
      <w:r>
        <w:rPr>
          <w:rFonts w:hint="eastAsia"/>
          <w:bCs/>
          <w:szCs w:val="21"/>
        </w:rPr>
        <w:t xml:space="preserve">  钢结构装配式住宅建筑防火、防腐、防水和隔声等整体性能和品质应满足国家相关标准的规定，满足可靠性、安全性和耐久性的要求。</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7</w:t>
      </w:r>
      <w:r>
        <w:rPr>
          <w:rFonts w:hint="eastAsia"/>
          <w:bCs/>
          <w:szCs w:val="21"/>
        </w:rPr>
        <w:t xml:space="preserve">  钢结构装配式住宅建筑设计应遵循建筑全寿命期中使用与维护的便利性原则，主要设备管线与主体结构应采用分离技术与做法，管线更换或维修时不应影响结构性能。</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8 </w:t>
      </w:r>
      <w:r>
        <w:rPr>
          <w:rFonts w:hint="eastAsia"/>
          <w:bCs/>
          <w:szCs w:val="21"/>
        </w:rPr>
        <w:t xml:space="preserve"> 钢结构装配式住宅应采用全装修交付方式，并应根据规定和住宅设计文件注明的设计条件、使用性质及使用环境制定全面、详细的“钢结构装配式住宅使用说明书”。</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3" w:name="_Toc118357433"/>
      <w:r>
        <w:rPr>
          <w:rFonts w:hint="eastAsia"/>
          <w:sz w:val="28"/>
          <w:szCs w:val="21"/>
        </w:rPr>
        <w:t xml:space="preserve">4  </w:t>
      </w:r>
      <w:r>
        <w:rPr>
          <w:rFonts w:hint="eastAsia" w:ascii="宋体" w:hAnsi="宋体"/>
          <w:b/>
          <w:bCs/>
          <w:sz w:val="28"/>
          <w:szCs w:val="21"/>
        </w:rPr>
        <w:t>建 筑 设 计</w:t>
      </w:r>
      <w:bookmarkEnd w:id="3"/>
    </w:p>
    <w:p>
      <w:pPr>
        <w:pStyle w:val="4"/>
        <w:spacing w:before="240" w:after="240" w:line="240" w:lineRule="auto"/>
        <w:jc w:val="center"/>
        <w:rPr>
          <w:rFonts w:ascii="Times New Roman" w:hAnsi="Times New Roman"/>
          <w:sz w:val="21"/>
          <w:szCs w:val="21"/>
        </w:rPr>
      </w:pPr>
      <w:bookmarkStart w:id="4" w:name="_Toc118357434"/>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4"/>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1</w:t>
      </w:r>
      <w:r>
        <w:rPr>
          <w:rFonts w:hint="eastAsia"/>
          <w:bCs/>
          <w:szCs w:val="21"/>
        </w:rPr>
        <w:t xml:space="preserve">  钢结构装配式住宅建筑总体设计应符合现行国家与行业标准《住宅建筑规范》GB</w:t>
      </w:r>
      <w:r>
        <w:rPr>
          <w:bCs/>
          <w:szCs w:val="21"/>
        </w:rPr>
        <w:t xml:space="preserve"> </w:t>
      </w:r>
      <w:r>
        <w:rPr>
          <w:rFonts w:hint="eastAsia"/>
          <w:bCs/>
          <w:szCs w:val="21"/>
        </w:rPr>
        <w:t>50368、《住宅设计规范》GB</w:t>
      </w:r>
      <w:r>
        <w:rPr>
          <w:bCs/>
          <w:szCs w:val="21"/>
        </w:rPr>
        <w:t xml:space="preserve"> </w:t>
      </w:r>
      <w:r>
        <w:rPr>
          <w:rFonts w:hint="eastAsia"/>
          <w:bCs/>
          <w:szCs w:val="21"/>
        </w:rPr>
        <w:t>50096、《装配式钢结构住宅建筑技术标准》JGJ/T</w:t>
      </w:r>
      <w:r>
        <w:rPr>
          <w:bCs/>
          <w:szCs w:val="21"/>
        </w:rPr>
        <w:t xml:space="preserve"> </w:t>
      </w:r>
      <w:r>
        <w:rPr>
          <w:rFonts w:hint="eastAsia"/>
          <w:bCs/>
          <w:szCs w:val="21"/>
        </w:rPr>
        <w:t>469、《装配式住宅建筑设计标准》JGJ/T</w:t>
      </w:r>
      <w:r>
        <w:rPr>
          <w:bCs/>
          <w:szCs w:val="21"/>
        </w:rPr>
        <w:t xml:space="preserve"> </w:t>
      </w:r>
      <w:r>
        <w:rPr>
          <w:rFonts w:hint="eastAsia"/>
          <w:bCs/>
          <w:szCs w:val="21"/>
        </w:rPr>
        <w:t>398、《装配式住宅设计选型标准》JGJ/T</w:t>
      </w:r>
      <w:r>
        <w:rPr>
          <w:bCs/>
          <w:szCs w:val="21"/>
        </w:rPr>
        <w:t xml:space="preserve"> </w:t>
      </w:r>
      <w:r>
        <w:rPr>
          <w:rFonts w:hint="eastAsia"/>
          <w:bCs/>
          <w:szCs w:val="21"/>
        </w:rPr>
        <w:t>494的规定。</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 xml:space="preserve"> 钢结构装配式住宅建筑技术与性能设计应符合下列规定：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钢结构部（构）件及其连接应采取有效的防火措施，耐火设计应符合现行国家与行业标准《建筑设计防火规范》GB 50016、《建筑钢结构防火技术规范》GB 51249、《高层民用建筑钢结构技术规程》JGJ 99的规定；</w:t>
      </w:r>
    </w:p>
    <w:p>
      <w:pPr>
        <w:spacing w:line="240" w:lineRule="auto"/>
        <w:ind w:firstLine="421" w:firstLineChars="200"/>
        <w:rPr>
          <w:bCs/>
          <w:szCs w:val="21"/>
        </w:rPr>
      </w:pPr>
      <w:r>
        <w:rPr>
          <w:rFonts w:hint="eastAsia"/>
          <w:b/>
          <w:bCs/>
          <w:szCs w:val="21"/>
        </w:rPr>
        <w:t>2</w:t>
      </w:r>
      <w:r>
        <w:rPr>
          <w:rFonts w:hint="eastAsia"/>
          <w:bCs/>
          <w:szCs w:val="21"/>
        </w:rPr>
        <w:t xml:space="preserve">  钢结构部（构）件及其连接应采取防腐措施，防腐蚀设计应根据环境条件、使用部位等确定，并应符合现行行业标准《建筑钢结构防腐蚀技术规程》JGJ/T 251的规定；</w:t>
      </w:r>
    </w:p>
    <w:p>
      <w:pPr>
        <w:spacing w:line="240" w:lineRule="auto"/>
        <w:ind w:firstLine="421" w:firstLineChars="200"/>
        <w:rPr>
          <w:bCs/>
          <w:szCs w:val="21"/>
        </w:rPr>
      </w:pPr>
      <w:r>
        <w:rPr>
          <w:rFonts w:hint="eastAsia"/>
          <w:b/>
          <w:bCs/>
          <w:szCs w:val="21"/>
        </w:rPr>
        <w:t xml:space="preserve">3 </w:t>
      </w:r>
      <w:r>
        <w:rPr>
          <w:rFonts w:hint="eastAsia"/>
          <w:bCs/>
          <w:szCs w:val="21"/>
        </w:rPr>
        <w:t xml:space="preserve"> 钢结构住宅应采取有效的隔声措施，隔声设计应根据功能部位、使用要求等确定，并应符合现行国家标准《民用建筑隔声设计规范》GB 50118的规定；</w:t>
      </w:r>
    </w:p>
    <w:p>
      <w:pPr>
        <w:spacing w:line="240" w:lineRule="auto"/>
        <w:ind w:firstLine="421" w:firstLineChars="200"/>
        <w:rPr>
          <w:bCs/>
          <w:szCs w:val="21"/>
        </w:rPr>
      </w:pPr>
      <w:r>
        <w:rPr>
          <w:rFonts w:hint="eastAsia"/>
          <w:b/>
          <w:bCs/>
          <w:szCs w:val="21"/>
        </w:rPr>
        <w:t>4</w:t>
      </w:r>
      <w:r>
        <w:rPr>
          <w:rFonts w:hint="eastAsia"/>
          <w:bCs/>
          <w:szCs w:val="21"/>
        </w:rPr>
        <w:t xml:space="preserve">  热工设计、措施和性能应符合现行国家与行业及地方标准《民用建筑热工设计规范》GB 50176、《夏热冬暖地区居住建筑节能设计标准》JGJ 75、《建筑节能与可再生能源利用通用规范的有关规定》GB 55015和《深圳市居住建筑节能设计规范》SJG 45等有关规定，并应符合下列规定：</w:t>
      </w:r>
    </w:p>
    <w:p>
      <w:pPr>
        <w:spacing w:line="240" w:lineRule="auto"/>
        <w:ind w:firstLine="632" w:firstLineChars="300"/>
        <w:rPr>
          <w:bCs/>
          <w:szCs w:val="21"/>
        </w:rPr>
      </w:pPr>
      <w:r>
        <w:rPr>
          <w:rFonts w:hint="eastAsia"/>
          <w:b/>
          <w:bCs/>
          <w:szCs w:val="21"/>
        </w:rPr>
        <w:t>1</w:t>
      </w:r>
      <w:r>
        <w:rPr>
          <w:rFonts w:hint="eastAsia"/>
          <w:bCs/>
          <w:szCs w:val="21"/>
        </w:rPr>
        <w:t>）居住功能为主的朝向宜为南北向或近南北向；</w:t>
      </w:r>
    </w:p>
    <w:p>
      <w:pPr>
        <w:spacing w:line="240" w:lineRule="auto"/>
        <w:ind w:firstLine="632" w:firstLineChars="300"/>
        <w:rPr>
          <w:bCs/>
          <w:szCs w:val="21"/>
        </w:rPr>
      </w:pPr>
      <w:r>
        <w:rPr>
          <w:rFonts w:hint="eastAsia"/>
          <w:b/>
          <w:bCs/>
          <w:szCs w:val="21"/>
        </w:rPr>
        <w:t>2</w:t>
      </w:r>
      <w:r>
        <w:rPr>
          <w:rFonts w:hint="eastAsia"/>
          <w:bCs/>
          <w:szCs w:val="21"/>
        </w:rPr>
        <w:t>）结合南方气候特征，注重通风和遮阳设计；</w:t>
      </w:r>
    </w:p>
    <w:p>
      <w:pPr>
        <w:spacing w:line="240" w:lineRule="auto"/>
        <w:ind w:firstLine="632" w:firstLineChars="300"/>
        <w:rPr>
          <w:bCs/>
          <w:szCs w:val="21"/>
        </w:rPr>
      </w:pPr>
      <w:r>
        <w:rPr>
          <w:rFonts w:hint="eastAsia"/>
          <w:b/>
          <w:bCs/>
          <w:szCs w:val="21"/>
        </w:rPr>
        <w:t>3</w:t>
      </w:r>
      <w:r>
        <w:rPr>
          <w:rFonts w:hint="eastAsia"/>
          <w:bCs/>
          <w:szCs w:val="21"/>
        </w:rPr>
        <w:t>）围护系统的外表面宜采用浅色饰面。</w:t>
      </w:r>
    </w:p>
    <w:p>
      <w:pPr>
        <w:spacing w:line="240" w:lineRule="auto"/>
        <w:ind w:firstLine="421" w:firstLineChars="200"/>
        <w:rPr>
          <w:bCs/>
          <w:szCs w:val="21"/>
        </w:rPr>
      </w:pPr>
      <w:r>
        <w:rPr>
          <w:rFonts w:hint="eastAsia"/>
          <w:b/>
          <w:bCs/>
          <w:szCs w:val="21"/>
        </w:rPr>
        <w:t>5</w:t>
      </w:r>
      <w:r>
        <w:rPr>
          <w:rFonts w:hint="eastAsia"/>
          <w:bCs/>
          <w:szCs w:val="21"/>
        </w:rPr>
        <w:t xml:space="preserve">  防水设计及其构造措施应符合广东省标准《建筑防水工程技术规程》DBJ/T 15-19及《深圳市建筑防水工程技术规范》SJG 19的规定，并应符合下列规定：</w:t>
      </w:r>
    </w:p>
    <w:p>
      <w:pPr>
        <w:spacing w:line="240" w:lineRule="auto"/>
        <w:ind w:firstLine="632" w:firstLineChars="300"/>
        <w:rPr>
          <w:bCs/>
          <w:szCs w:val="21"/>
        </w:rPr>
      </w:pPr>
      <w:r>
        <w:rPr>
          <w:rFonts w:hint="eastAsia"/>
          <w:b/>
          <w:bCs/>
          <w:szCs w:val="21"/>
        </w:rPr>
        <w:t>1</w:t>
      </w:r>
      <w:r>
        <w:rPr>
          <w:rFonts w:hint="eastAsia"/>
          <w:bCs/>
          <w:szCs w:val="21"/>
        </w:rPr>
        <w:t>）在易漏水渗水部位采取必要措施，其中承重构件、屋面等位置应加强构造设计，避免结构主体受到侵蚀；</w:t>
      </w:r>
    </w:p>
    <w:p>
      <w:pPr>
        <w:spacing w:line="240" w:lineRule="auto"/>
        <w:ind w:firstLine="632" w:firstLineChars="300"/>
        <w:rPr>
          <w:bCs/>
          <w:szCs w:val="21"/>
        </w:rPr>
      </w:pPr>
      <w:r>
        <w:rPr>
          <w:rFonts w:hint="eastAsia"/>
          <w:b/>
          <w:bCs/>
          <w:szCs w:val="21"/>
        </w:rPr>
        <w:t>2</w:t>
      </w:r>
      <w:r>
        <w:rPr>
          <w:rFonts w:hint="eastAsia"/>
          <w:bCs/>
          <w:szCs w:val="21"/>
        </w:rPr>
        <w:t>）外围护系统防水应采用构造防水和材料防水结合的方式。</w:t>
      </w:r>
    </w:p>
    <w:p>
      <w:pPr>
        <w:spacing w:line="240" w:lineRule="auto"/>
        <w:ind w:firstLine="421" w:firstLineChars="200"/>
        <w:rPr>
          <w:bCs/>
          <w:szCs w:val="21"/>
        </w:rPr>
      </w:pPr>
      <w:r>
        <w:rPr>
          <w:rFonts w:hint="eastAsia"/>
          <w:b/>
          <w:bCs/>
          <w:szCs w:val="21"/>
        </w:rPr>
        <w:t>6</w:t>
      </w:r>
      <w:r>
        <w:rPr>
          <w:rFonts w:hint="eastAsia"/>
          <w:bCs/>
          <w:szCs w:val="21"/>
        </w:rPr>
        <w:t xml:space="preserve">  外墙（板）与钢结构部（构）件、外门窗和幕墙的连接及接缝处应采取防止空气渗透和水蒸气渗透的构造措施，并应满足气密性和水密性的要求。</w:t>
      </w:r>
    </w:p>
    <w:p>
      <w:pPr>
        <w:spacing w:line="240" w:lineRule="auto"/>
        <w:ind w:firstLine="421" w:firstLineChars="200"/>
        <w:rPr>
          <w:bCs/>
          <w:szCs w:val="21"/>
        </w:rPr>
      </w:pPr>
      <w:r>
        <w:rPr>
          <w:rFonts w:hint="eastAsia"/>
          <w:b/>
          <w:bCs/>
          <w:szCs w:val="21"/>
        </w:rPr>
        <w:t>7</w:t>
      </w:r>
      <w:r>
        <w:rPr>
          <w:rFonts w:hint="eastAsia"/>
          <w:bCs/>
          <w:szCs w:val="21"/>
        </w:rPr>
        <w:t xml:space="preserve">  钢结构装配式住宅的绿色设计应结合深圳市特点，对建筑全寿命期内的安全耐久、健康舒适、生活便利、资源节约、环境宜居等性能进行综合评价，并应符合《绿色建筑评价标准》GB/T 50378的有关规定。</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3</w:t>
      </w:r>
      <w:r>
        <w:rPr>
          <w:rFonts w:hint="eastAsia"/>
          <w:bCs/>
          <w:szCs w:val="21"/>
        </w:rPr>
        <w:t xml:space="preserve">  钢结构装配式住宅建筑设计宜结合下列优势：</w:t>
      </w:r>
    </w:p>
    <w:p>
      <w:pPr>
        <w:spacing w:line="240" w:lineRule="auto"/>
        <w:ind w:firstLine="421" w:firstLineChars="200"/>
        <w:rPr>
          <w:bCs/>
          <w:szCs w:val="21"/>
        </w:rPr>
      </w:pPr>
      <w:r>
        <w:rPr>
          <w:rFonts w:hint="eastAsia"/>
          <w:b/>
          <w:bCs/>
          <w:szCs w:val="21"/>
        </w:rPr>
        <w:t xml:space="preserve">1 </w:t>
      </w:r>
      <w:r>
        <w:rPr>
          <w:rFonts w:hint="eastAsia"/>
          <w:bCs/>
          <w:szCs w:val="21"/>
        </w:rPr>
        <w:t xml:space="preserve"> 套型结构可适应套型改变；</w:t>
      </w:r>
    </w:p>
    <w:p>
      <w:pPr>
        <w:spacing w:line="240" w:lineRule="auto"/>
        <w:ind w:firstLine="421" w:firstLineChars="200"/>
        <w:rPr>
          <w:bCs/>
          <w:szCs w:val="21"/>
        </w:rPr>
      </w:pPr>
      <w:r>
        <w:rPr>
          <w:rFonts w:hint="eastAsia"/>
          <w:b/>
          <w:bCs/>
          <w:szCs w:val="21"/>
        </w:rPr>
        <w:t xml:space="preserve">2 </w:t>
      </w:r>
      <w:r>
        <w:rPr>
          <w:rFonts w:hint="eastAsia"/>
          <w:bCs/>
          <w:szCs w:val="21"/>
        </w:rPr>
        <w:t xml:space="preserve"> 非承重部件可更换；</w:t>
      </w:r>
    </w:p>
    <w:p>
      <w:pPr>
        <w:spacing w:line="240" w:lineRule="auto"/>
        <w:ind w:firstLine="421" w:firstLineChars="200"/>
        <w:rPr>
          <w:bCs/>
          <w:szCs w:val="21"/>
        </w:rPr>
      </w:pPr>
      <w:r>
        <w:rPr>
          <w:rFonts w:hint="eastAsia"/>
          <w:b/>
          <w:bCs/>
          <w:szCs w:val="21"/>
        </w:rPr>
        <w:t xml:space="preserve">3 </w:t>
      </w:r>
      <w:r>
        <w:rPr>
          <w:rFonts w:hint="eastAsia"/>
          <w:bCs/>
          <w:szCs w:val="21"/>
        </w:rPr>
        <w:t xml:space="preserve"> 材料可回收利用。</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 xml:space="preserve"> 钢结构装配式住宅应实行建筑设计与装修设计的协同，并应符合下列规定：</w:t>
      </w:r>
    </w:p>
    <w:p>
      <w:pPr>
        <w:spacing w:line="240" w:lineRule="auto"/>
        <w:ind w:firstLine="421" w:firstLineChars="200"/>
        <w:rPr>
          <w:bCs/>
          <w:szCs w:val="21"/>
        </w:rPr>
      </w:pPr>
      <w:r>
        <w:rPr>
          <w:rFonts w:hint="eastAsia"/>
          <w:b/>
          <w:bCs/>
          <w:szCs w:val="21"/>
        </w:rPr>
        <w:t>1</w:t>
      </w:r>
      <w:r>
        <w:rPr>
          <w:rFonts w:hint="eastAsia"/>
          <w:bCs/>
          <w:szCs w:val="21"/>
        </w:rPr>
        <w:t xml:space="preserve">  应采用标准化设计、部品工厂化生产和现场装配化施工的方式；</w:t>
      </w:r>
    </w:p>
    <w:p>
      <w:pPr>
        <w:spacing w:line="240" w:lineRule="auto"/>
        <w:ind w:firstLine="421" w:firstLineChars="200"/>
        <w:rPr>
          <w:bCs/>
          <w:szCs w:val="21"/>
        </w:rPr>
      </w:pPr>
      <w:r>
        <w:rPr>
          <w:rFonts w:hint="eastAsia"/>
          <w:b/>
          <w:bCs/>
          <w:szCs w:val="21"/>
        </w:rPr>
        <w:t>2</w:t>
      </w:r>
      <w:r>
        <w:rPr>
          <w:rFonts w:hint="eastAsia"/>
          <w:bCs/>
          <w:szCs w:val="21"/>
        </w:rPr>
        <w:t xml:space="preserve">  主要设备和管线应采用与结构主体分离设置方式及集成技术；</w:t>
      </w:r>
    </w:p>
    <w:p>
      <w:pPr>
        <w:spacing w:line="240" w:lineRule="auto"/>
        <w:ind w:firstLine="421" w:firstLineChars="200"/>
        <w:rPr>
          <w:bCs/>
          <w:szCs w:val="21"/>
        </w:rPr>
      </w:pPr>
      <w:r>
        <w:rPr>
          <w:rFonts w:hint="eastAsia"/>
          <w:b/>
          <w:bCs/>
          <w:szCs w:val="21"/>
        </w:rPr>
        <w:t>3</w:t>
      </w:r>
      <w:r>
        <w:rPr>
          <w:rFonts w:hint="eastAsia"/>
          <w:bCs/>
          <w:szCs w:val="21"/>
        </w:rPr>
        <w:t xml:space="preserve">  室内装修和建筑设备系统应满足建筑功能的需求，并适应建筑功能空间的灵活可变性。</w:t>
      </w:r>
    </w:p>
    <w:p>
      <w:pPr>
        <w:pStyle w:val="4"/>
        <w:spacing w:before="240" w:after="240" w:line="240" w:lineRule="auto"/>
        <w:jc w:val="center"/>
        <w:rPr>
          <w:rFonts w:ascii="Times New Roman" w:hAnsi="Times New Roman"/>
          <w:sz w:val="21"/>
          <w:szCs w:val="21"/>
        </w:rPr>
      </w:pPr>
      <w:bookmarkStart w:id="5" w:name="_Toc118357435"/>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模数、定位与公差协调</w:t>
      </w:r>
      <w:bookmarkEnd w:id="5"/>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rFonts w:hint="eastAsia"/>
          <w:bCs/>
          <w:szCs w:val="21"/>
        </w:rPr>
        <w:t>钢结构装配式住宅建筑的模数设计应符合现行国家标准《建筑模数协调标准》GB/T 50002的规定。</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厨房、卫生间的模数设计应符合现行行业标准《住宅厨房模数协调标准》JGJ/T 262和《住宅卫生间模数协调标准》JGJ/T 263的规定。</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建筑设计应采用基本模数或扩大模数数列，并应符合下列规定：</w:t>
      </w:r>
    </w:p>
    <w:p>
      <w:pPr>
        <w:spacing w:line="240" w:lineRule="auto"/>
        <w:ind w:firstLine="421" w:firstLineChars="200"/>
        <w:rPr>
          <w:bCs/>
          <w:szCs w:val="21"/>
        </w:rPr>
      </w:pPr>
      <w:r>
        <w:rPr>
          <w:rFonts w:hint="eastAsia"/>
          <w:b/>
          <w:bCs/>
          <w:szCs w:val="21"/>
        </w:rPr>
        <w:t>1</w:t>
      </w:r>
      <w:r>
        <w:rPr>
          <w:rFonts w:hint="eastAsia"/>
          <w:bCs/>
          <w:szCs w:val="21"/>
        </w:rPr>
        <w:t xml:space="preserve">  开间与柱距、进深与跨度、门窗洞口宽度等水平方向宜采用水平扩大模数数列2nM、3nM，n为自然数；</w:t>
      </w:r>
    </w:p>
    <w:p>
      <w:pPr>
        <w:spacing w:line="240" w:lineRule="auto"/>
        <w:ind w:firstLine="421" w:firstLineChars="200"/>
        <w:rPr>
          <w:bCs/>
          <w:szCs w:val="21"/>
        </w:rPr>
      </w:pPr>
      <w:r>
        <w:rPr>
          <w:rFonts w:hint="eastAsia"/>
          <w:b/>
          <w:bCs/>
          <w:szCs w:val="21"/>
        </w:rPr>
        <w:t>2</w:t>
      </w:r>
      <w:r>
        <w:rPr>
          <w:rFonts w:hint="eastAsia"/>
          <w:bCs/>
          <w:szCs w:val="21"/>
        </w:rPr>
        <w:t xml:space="preserve">  层高和门窗洞口高度等垂直方向宜采用竖向扩大模数数列nM；</w:t>
      </w:r>
    </w:p>
    <w:p>
      <w:pPr>
        <w:spacing w:line="240" w:lineRule="auto"/>
        <w:ind w:firstLine="421" w:firstLineChars="200"/>
        <w:rPr>
          <w:bCs/>
          <w:szCs w:val="21"/>
        </w:rPr>
      </w:pPr>
      <w:r>
        <w:rPr>
          <w:rFonts w:hint="eastAsia"/>
          <w:b/>
          <w:bCs/>
          <w:szCs w:val="21"/>
        </w:rPr>
        <w:t xml:space="preserve">3 </w:t>
      </w:r>
      <w:r>
        <w:rPr>
          <w:rFonts w:hint="eastAsia"/>
          <w:bCs/>
          <w:szCs w:val="21"/>
        </w:rPr>
        <w:t xml:space="preserve"> 梁、柱等部件的截面尺寸宜采用竖向扩大模数数列nM；</w:t>
      </w:r>
    </w:p>
    <w:p>
      <w:pPr>
        <w:spacing w:line="240" w:lineRule="auto"/>
        <w:ind w:firstLine="421" w:firstLineChars="200"/>
        <w:rPr>
          <w:bCs/>
          <w:szCs w:val="21"/>
        </w:rPr>
      </w:pPr>
      <w:r>
        <w:rPr>
          <w:rFonts w:hint="eastAsia"/>
          <w:b/>
          <w:bCs/>
          <w:szCs w:val="21"/>
        </w:rPr>
        <w:t xml:space="preserve">4 </w:t>
      </w:r>
      <w:r>
        <w:rPr>
          <w:rFonts w:hint="eastAsia"/>
          <w:bCs/>
          <w:szCs w:val="21"/>
        </w:rPr>
        <w:t xml:space="preserve"> 构造节点和部品部（构）件的接口尺寸等宜采用分模数数列nM／2、nM/5、nM/10。</w:t>
      </w:r>
    </w:p>
    <w:p>
      <w:pPr>
        <w:spacing w:line="240" w:lineRule="auto"/>
        <w:ind w:firstLine="421" w:firstLineChars="200"/>
        <w:rPr>
          <w:bCs/>
          <w:szCs w:val="21"/>
        </w:rPr>
      </w:pPr>
      <w:r>
        <w:rPr>
          <w:rFonts w:hint="eastAsia"/>
          <w:b/>
          <w:bCs/>
          <w:szCs w:val="21"/>
        </w:rPr>
        <w:t xml:space="preserve">5 </w:t>
      </w:r>
      <w:r>
        <w:rPr>
          <w:rFonts w:hint="eastAsia"/>
          <w:bCs/>
          <w:szCs w:val="21"/>
        </w:rPr>
        <w:t xml:space="preserve"> 建筑内装体宜采用基本模数或分模数，分模数宜为M/2、M/5。</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rFonts w:hint="eastAsia"/>
          <w:bCs/>
          <w:szCs w:val="21"/>
        </w:rPr>
        <w:t xml:space="preserve"> 钢结构装配式住宅应通过模数协调实现建筑结构体和建筑内装体之间的整体协调，并应符合下列规定：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应采用基本模数或扩大模数，部（构）件部品的设计、生产和安装等应满足尺寸协调的要求；</w:t>
      </w:r>
    </w:p>
    <w:p>
      <w:pPr>
        <w:spacing w:line="240" w:lineRule="auto"/>
        <w:ind w:firstLine="421" w:firstLineChars="200"/>
        <w:rPr>
          <w:bCs/>
          <w:szCs w:val="21"/>
        </w:rPr>
      </w:pPr>
      <w:r>
        <w:rPr>
          <w:rFonts w:hint="eastAsia"/>
          <w:b/>
          <w:bCs/>
          <w:szCs w:val="21"/>
        </w:rPr>
        <w:t xml:space="preserve">2 </w:t>
      </w:r>
      <w:r>
        <w:rPr>
          <w:rFonts w:hint="eastAsia"/>
          <w:bCs/>
          <w:szCs w:val="21"/>
        </w:rPr>
        <w:t xml:space="preserve"> 应在模数协调的基础上优化部（构）件部品尺寸和种类，并应确定各部（构）件部品的位置和边界条件；</w:t>
      </w:r>
    </w:p>
    <w:p>
      <w:pPr>
        <w:spacing w:line="240" w:lineRule="auto"/>
        <w:ind w:firstLine="421" w:firstLineChars="200"/>
        <w:rPr>
          <w:bCs/>
          <w:szCs w:val="21"/>
        </w:rPr>
      </w:pPr>
      <w:r>
        <w:rPr>
          <w:rFonts w:hint="eastAsia"/>
          <w:b/>
          <w:bCs/>
          <w:szCs w:val="21"/>
        </w:rPr>
        <w:t xml:space="preserve">3 </w:t>
      </w:r>
      <w:r>
        <w:rPr>
          <w:rFonts w:hint="eastAsia"/>
          <w:bCs/>
          <w:szCs w:val="21"/>
        </w:rPr>
        <w:t xml:space="preserve"> 钢结构装配式住宅主体部（构）件和内装部品宜采用模数网格定位方法。</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5</w:t>
      </w:r>
      <w:r>
        <w:rPr>
          <w:rFonts w:hint="eastAsia"/>
          <w:bCs/>
          <w:szCs w:val="21"/>
        </w:rPr>
        <w:t xml:space="preserve">  钢结构装配式住宅建筑的定位宜采用中心定位法与界面定位法相结合的方法。对于部件的水平定位宜采用中心定位法，部件的竖向定位和部品的定位宜采用界面定位法。</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6 </w:t>
      </w:r>
      <w:r>
        <w:rPr>
          <w:rFonts w:hint="eastAsia"/>
          <w:bCs/>
          <w:szCs w:val="21"/>
        </w:rPr>
        <w:t xml:space="preserve"> 部件部品尺寸及安装位置的公差协调应根据生产装配要求、主体结构层间变形、密封材料变形能力、材料干缩、温差变形、施工误差等确定。</w:t>
      </w:r>
    </w:p>
    <w:p>
      <w:pPr>
        <w:pStyle w:val="4"/>
        <w:spacing w:before="240" w:after="240" w:line="240" w:lineRule="auto"/>
        <w:jc w:val="center"/>
        <w:rPr>
          <w:rFonts w:ascii="Times New Roman" w:hAnsi="Times New Roman"/>
          <w:sz w:val="21"/>
          <w:szCs w:val="21"/>
        </w:rPr>
      </w:pPr>
      <w:bookmarkStart w:id="6" w:name="_Toc118357436"/>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标准化设计</w:t>
      </w:r>
      <w:bookmarkEnd w:id="6"/>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w:t>
      </w:r>
      <w:r>
        <w:rPr>
          <w:rFonts w:hint="eastAsia"/>
          <w:bCs/>
          <w:szCs w:val="21"/>
        </w:rPr>
        <w:t xml:space="preserve">  钢结构装配式住宅应在模数协调的基础上采用标准化设计，提高部品部件的通用性和标准化接口。</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 xml:space="preserve"> 钢结构装配式住宅套型设计应遵循定型化、系列化原则，宜采用标准化套型设计。</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rFonts w:hint="eastAsia"/>
          <w:bCs/>
          <w:szCs w:val="21"/>
        </w:rPr>
        <w:t xml:space="preserve"> 钢结构装配式住宅应采用模块及模块组合的设计方法，楼电梯、公共管井、厨房、卫生间等宜采用模块组合设计方式，遵循少规格、多组合的原则。 </w:t>
      </w:r>
    </w:p>
    <w:p>
      <w:pPr>
        <w:pStyle w:val="4"/>
        <w:spacing w:before="240" w:after="240" w:line="240" w:lineRule="auto"/>
        <w:jc w:val="center"/>
        <w:rPr>
          <w:rFonts w:ascii="Times New Roman" w:hAnsi="Times New Roman"/>
          <w:sz w:val="21"/>
          <w:szCs w:val="21"/>
        </w:rPr>
      </w:pPr>
      <w:bookmarkStart w:id="7" w:name="_Toc118357437"/>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协 同 设 计</w:t>
      </w:r>
      <w:bookmarkEnd w:id="7"/>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1</w:t>
      </w:r>
      <w:r>
        <w:rPr>
          <w:rFonts w:hint="eastAsia"/>
          <w:bCs/>
          <w:szCs w:val="21"/>
        </w:rPr>
        <w:t xml:space="preserve">  钢结构装配式住宅建筑设计应遵循建筑、结构、设备与管线、室内装修等专业集成设计原则，基于系统集成的理念统筹各专业之间的协同设计。</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2 </w:t>
      </w:r>
      <w:r>
        <w:rPr>
          <w:rFonts w:hint="eastAsia"/>
          <w:bCs/>
          <w:szCs w:val="21"/>
        </w:rPr>
        <w:t xml:space="preserve"> 建筑设计、部品部（构）件深化设计、装配化施工及运营维护各阶段应采用建筑信息化模型技术并相协同，满足建筑全寿命期的使用要求。</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rFonts w:hint="eastAsia"/>
          <w:bCs/>
          <w:szCs w:val="21"/>
        </w:rPr>
        <w:t xml:space="preserve"> 部品部件在生产、储存、组装及现场安装的实际情况与条件，对部品部件及接口等进行全专业设计协同与优化。</w:t>
      </w:r>
    </w:p>
    <w:p>
      <w:pPr>
        <w:pStyle w:val="4"/>
        <w:spacing w:before="240" w:after="240" w:line="240" w:lineRule="auto"/>
        <w:jc w:val="center"/>
        <w:rPr>
          <w:rFonts w:ascii="Times New Roman" w:hAnsi="Times New Roman"/>
          <w:sz w:val="21"/>
          <w:szCs w:val="21"/>
        </w:rPr>
      </w:pPr>
      <w:bookmarkStart w:id="8" w:name="_Toc118357438"/>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5  </w:t>
      </w:r>
      <w:r>
        <w:rPr>
          <w:rFonts w:hint="eastAsia" w:ascii="黑体" w:hAnsi="黑体" w:eastAsia="黑体"/>
          <w:b w:val="0"/>
          <w:sz w:val="21"/>
          <w:szCs w:val="21"/>
        </w:rPr>
        <w:t>集 成 设 计</w:t>
      </w:r>
      <w:bookmarkEnd w:id="8"/>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钢结构装配式住宅建筑的结构系统、外围护系统、设备与管线系统和内装系统应进行集成设计，提高系统及部品集成度，保证产品质量和提高建造效率。</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2  </w:t>
      </w:r>
      <w:r>
        <w:rPr>
          <w:rFonts w:hint="eastAsia"/>
          <w:bCs/>
          <w:szCs w:val="21"/>
        </w:rPr>
        <w:t>钢结构装配式住宅宜采用集成式或整体式厨房、卫浴，外墙宜采用保温装饰一体化集成式墙板技术。</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3  </w:t>
      </w:r>
      <w:r>
        <w:rPr>
          <w:rFonts w:hint="eastAsia"/>
          <w:bCs/>
          <w:szCs w:val="21"/>
        </w:rPr>
        <w:t>各系统集成设计应统筹考虑材料性能、加工工艺、运输限制、吊装能力等方面要求。</w:t>
      </w:r>
    </w:p>
    <w:p>
      <w:pPr>
        <w:pStyle w:val="4"/>
        <w:spacing w:before="240" w:after="240" w:line="240" w:lineRule="auto"/>
        <w:jc w:val="center"/>
        <w:rPr>
          <w:rFonts w:ascii="Times New Roman" w:hAnsi="Times New Roman"/>
          <w:sz w:val="21"/>
          <w:szCs w:val="21"/>
        </w:rPr>
      </w:pPr>
      <w:bookmarkStart w:id="9" w:name="_Toc118357439"/>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6  </w:t>
      </w:r>
      <w:r>
        <w:rPr>
          <w:rFonts w:hint="eastAsia" w:ascii="黑体" w:hAnsi="黑体" w:eastAsia="黑体"/>
          <w:b w:val="0"/>
          <w:sz w:val="21"/>
          <w:szCs w:val="21"/>
        </w:rPr>
        <w:t>可持续设计</w:t>
      </w:r>
      <w:bookmarkEnd w:id="9"/>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钢结构装配式住宅建筑设计应结合钢结构体系的特点具有全寿命期的可变性，采用可持续设计理念。</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2 </w:t>
      </w:r>
      <w:r>
        <w:rPr>
          <w:rFonts w:hint="eastAsia"/>
          <w:bCs/>
          <w:szCs w:val="21"/>
        </w:rPr>
        <w:t xml:space="preserve"> 非承重部品部（构）件应具有通用、可更换和易拆除的特性。</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3 </w:t>
      </w:r>
      <w:r>
        <w:rPr>
          <w:rFonts w:hint="eastAsia"/>
          <w:bCs/>
          <w:szCs w:val="21"/>
        </w:rPr>
        <w:t xml:space="preserve"> 钢结构装配式住宅钢部（构）件的使用年限不应低于建筑设计年限，防腐设计与措施应满足建筑耐久性要求。</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4 </w:t>
      </w:r>
      <w:r>
        <w:rPr>
          <w:rFonts w:hint="eastAsia"/>
          <w:bCs/>
          <w:szCs w:val="21"/>
        </w:rPr>
        <w:t xml:space="preserve"> 钢结构装配式住宅内装部品在满足通用性和互换性同时，并应符合下列规定：</w:t>
      </w:r>
    </w:p>
    <w:p>
      <w:pPr>
        <w:spacing w:line="240" w:lineRule="auto"/>
        <w:ind w:firstLine="421" w:firstLineChars="200"/>
        <w:rPr>
          <w:bCs/>
          <w:szCs w:val="21"/>
        </w:rPr>
      </w:pPr>
      <w:r>
        <w:rPr>
          <w:rFonts w:hint="eastAsia"/>
          <w:b/>
          <w:bCs/>
          <w:szCs w:val="21"/>
        </w:rPr>
        <w:t>1</w:t>
      </w:r>
      <w:r>
        <w:rPr>
          <w:rFonts w:hint="eastAsia"/>
          <w:bCs/>
          <w:szCs w:val="21"/>
        </w:rPr>
        <w:t xml:space="preserve">  共用内装部品不宜设在套内专用空间内；</w:t>
      </w:r>
    </w:p>
    <w:p>
      <w:pPr>
        <w:spacing w:line="240" w:lineRule="auto"/>
        <w:ind w:firstLine="421" w:firstLineChars="200"/>
        <w:rPr>
          <w:bCs/>
          <w:szCs w:val="21"/>
        </w:rPr>
      </w:pPr>
      <w:r>
        <w:rPr>
          <w:rFonts w:hint="eastAsia"/>
          <w:b/>
          <w:bCs/>
          <w:szCs w:val="21"/>
        </w:rPr>
        <w:t xml:space="preserve">2 </w:t>
      </w:r>
      <w:r>
        <w:rPr>
          <w:rFonts w:hint="eastAsia"/>
          <w:bCs/>
          <w:szCs w:val="21"/>
        </w:rPr>
        <w:t xml:space="preserve"> 设计使用年限较短的内装部品的维修或更换应避免破坏设计使用年限较长的内装部品；</w:t>
      </w:r>
    </w:p>
    <w:p>
      <w:pPr>
        <w:spacing w:line="240" w:lineRule="auto"/>
        <w:ind w:firstLine="421" w:firstLineChars="200"/>
        <w:rPr>
          <w:bCs/>
          <w:szCs w:val="21"/>
        </w:rPr>
      </w:pPr>
      <w:r>
        <w:rPr>
          <w:rFonts w:hint="eastAsia"/>
          <w:b/>
          <w:bCs/>
          <w:szCs w:val="21"/>
        </w:rPr>
        <w:t xml:space="preserve">3 </w:t>
      </w:r>
      <w:r>
        <w:rPr>
          <w:rFonts w:hint="eastAsia"/>
          <w:bCs/>
          <w:szCs w:val="21"/>
        </w:rPr>
        <w:t xml:space="preserve"> 住宅套内内装部品的维修或更换不应影响共用内装部品和其他内装部品的使用。</w:t>
      </w:r>
    </w:p>
    <w:p>
      <w:pPr>
        <w:pStyle w:val="4"/>
        <w:spacing w:before="240" w:after="240" w:line="240" w:lineRule="auto"/>
        <w:jc w:val="center"/>
        <w:rPr>
          <w:rFonts w:ascii="Times New Roman" w:hAnsi="Times New Roman"/>
          <w:sz w:val="21"/>
          <w:szCs w:val="21"/>
        </w:rPr>
      </w:pPr>
      <w:bookmarkStart w:id="10" w:name="_Toc118357440"/>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7  </w:t>
      </w:r>
      <w:r>
        <w:rPr>
          <w:rFonts w:hint="eastAsia" w:ascii="黑体" w:hAnsi="黑体" w:eastAsia="黑体"/>
          <w:b w:val="0"/>
          <w:sz w:val="21"/>
          <w:szCs w:val="21"/>
        </w:rPr>
        <w:t>平面、立面与空间</w:t>
      </w:r>
      <w:bookmarkEnd w:id="10"/>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1 </w:t>
      </w:r>
      <w:r>
        <w:rPr>
          <w:rFonts w:hint="eastAsia"/>
          <w:bCs/>
          <w:szCs w:val="21"/>
        </w:rPr>
        <w:t xml:space="preserve"> 建筑平面设计应符合下列规定：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应符合钢结构体系特点进行平面布置，采用各功能模块及模块组合的设计方法，模块应进行优化组合，并应满足功能需求及结构布置要求；</w:t>
      </w:r>
    </w:p>
    <w:p>
      <w:pPr>
        <w:spacing w:line="240" w:lineRule="auto"/>
        <w:ind w:firstLine="421" w:firstLineChars="200"/>
        <w:rPr>
          <w:bCs/>
          <w:szCs w:val="21"/>
        </w:rPr>
      </w:pPr>
      <w:r>
        <w:rPr>
          <w:rFonts w:hint="eastAsia"/>
          <w:b/>
          <w:bCs/>
          <w:szCs w:val="21"/>
        </w:rPr>
        <w:t xml:space="preserve">2 </w:t>
      </w:r>
      <w:r>
        <w:rPr>
          <w:rFonts w:hint="eastAsia"/>
          <w:bCs/>
          <w:szCs w:val="21"/>
        </w:rPr>
        <w:t xml:space="preserve"> 平面宜规则、平整，宜采用对称式布置方式；</w:t>
      </w:r>
    </w:p>
    <w:p>
      <w:pPr>
        <w:spacing w:line="240" w:lineRule="auto"/>
        <w:ind w:firstLine="421" w:firstLineChars="200"/>
        <w:rPr>
          <w:bCs/>
          <w:szCs w:val="21"/>
        </w:rPr>
      </w:pPr>
      <w:r>
        <w:rPr>
          <w:rFonts w:hint="eastAsia"/>
          <w:b/>
          <w:bCs/>
          <w:szCs w:val="21"/>
        </w:rPr>
        <w:t xml:space="preserve">3 </w:t>
      </w:r>
      <w:r>
        <w:rPr>
          <w:rFonts w:hint="eastAsia"/>
          <w:bCs/>
          <w:szCs w:val="21"/>
        </w:rPr>
        <w:t xml:space="preserve"> 住宅楼电梯及设备竖井等区域宜独立集中设置；</w:t>
      </w:r>
    </w:p>
    <w:p>
      <w:pPr>
        <w:spacing w:line="240" w:lineRule="auto"/>
        <w:ind w:firstLine="421" w:firstLineChars="200"/>
        <w:rPr>
          <w:bCs/>
          <w:szCs w:val="21"/>
        </w:rPr>
      </w:pPr>
      <w:r>
        <w:rPr>
          <w:rFonts w:hint="eastAsia"/>
          <w:b/>
          <w:bCs/>
          <w:szCs w:val="21"/>
        </w:rPr>
        <w:t xml:space="preserve">4 </w:t>
      </w:r>
      <w:r>
        <w:rPr>
          <w:rFonts w:hint="eastAsia"/>
          <w:bCs/>
          <w:szCs w:val="21"/>
        </w:rPr>
        <w:t xml:space="preserve"> 应与结构专业协同布置柱网，宜采用连续柱跨的布置方式；</w:t>
      </w:r>
    </w:p>
    <w:p>
      <w:pPr>
        <w:spacing w:line="240" w:lineRule="auto"/>
        <w:ind w:firstLine="421" w:firstLineChars="200"/>
        <w:rPr>
          <w:bCs/>
          <w:szCs w:val="21"/>
        </w:rPr>
      </w:pPr>
      <w:r>
        <w:rPr>
          <w:rFonts w:hint="eastAsia"/>
          <w:b/>
          <w:bCs/>
          <w:szCs w:val="21"/>
        </w:rPr>
        <w:t xml:space="preserve">5 </w:t>
      </w:r>
      <w:r>
        <w:rPr>
          <w:rFonts w:hint="eastAsia"/>
          <w:bCs/>
          <w:szCs w:val="21"/>
        </w:rPr>
        <w:t xml:space="preserve"> 住宅空间分隔应与结构梁柱布置相协调，空间布局应考虑结构抗侧力体系的布置。</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2 </w:t>
      </w:r>
      <w:r>
        <w:rPr>
          <w:rFonts w:hint="eastAsia"/>
          <w:bCs/>
          <w:szCs w:val="21"/>
        </w:rPr>
        <w:t xml:space="preserve"> 钢结构装配式住宅建筑的套型设计应符合下列规定：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宜采用大开间结构布置方式，满足套内空间布置的灵活性、可变性；</w:t>
      </w:r>
    </w:p>
    <w:p>
      <w:pPr>
        <w:spacing w:line="240" w:lineRule="auto"/>
        <w:ind w:firstLine="421" w:firstLineChars="200"/>
        <w:rPr>
          <w:bCs/>
          <w:szCs w:val="21"/>
        </w:rPr>
      </w:pPr>
      <w:r>
        <w:rPr>
          <w:rFonts w:hint="eastAsia"/>
          <w:b/>
          <w:bCs/>
          <w:szCs w:val="21"/>
        </w:rPr>
        <w:t xml:space="preserve">2 </w:t>
      </w:r>
      <w:r>
        <w:rPr>
          <w:rFonts w:hint="eastAsia"/>
          <w:bCs/>
          <w:szCs w:val="21"/>
        </w:rPr>
        <w:t xml:space="preserve"> 套型设计应满足标准化、模块化、系列化及可组合的要求。</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3 </w:t>
      </w:r>
      <w:r>
        <w:rPr>
          <w:rFonts w:hint="eastAsia"/>
          <w:bCs/>
          <w:szCs w:val="21"/>
        </w:rPr>
        <w:t xml:space="preserve"> 钢结构装配式住宅建筑应根据建筑功能空间净高要求、主体结构（楼盖技术层厚度、梁高）、设备管线及装修等要求，确定合理的层高及净高尺寸，并应符合建筑竖向模数协调的规定。</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4 </w:t>
      </w:r>
      <w:r>
        <w:rPr>
          <w:rFonts w:hint="eastAsia"/>
          <w:bCs/>
          <w:szCs w:val="21"/>
        </w:rPr>
        <w:t xml:space="preserve"> 钢结构装配式住宅建筑立面设计应符合深圳市气候特征条件，宜采用标准化与多样性相结合的方法，并满足下列要求：</w:t>
      </w:r>
    </w:p>
    <w:p>
      <w:pPr>
        <w:spacing w:line="240" w:lineRule="auto"/>
        <w:ind w:firstLine="421" w:firstLineChars="200"/>
        <w:rPr>
          <w:bCs/>
          <w:szCs w:val="21"/>
        </w:rPr>
      </w:pPr>
      <w:r>
        <w:rPr>
          <w:rFonts w:hint="eastAsia"/>
          <w:b/>
          <w:bCs/>
          <w:szCs w:val="21"/>
        </w:rPr>
        <w:t xml:space="preserve">1  </w:t>
      </w:r>
      <w:r>
        <w:rPr>
          <w:rFonts w:hint="eastAsia"/>
          <w:bCs/>
          <w:szCs w:val="21"/>
        </w:rPr>
        <w:t>宜采用保温隔热性能良好的一体化墙板及配套的饰面材料，满足耐久性要求。</w:t>
      </w:r>
    </w:p>
    <w:p>
      <w:pPr>
        <w:spacing w:line="240" w:lineRule="auto"/>
        <w:ind w:firstLine="421" w:firstLineChars="200"/>
        <w:rPr>
          <w:bCs/>
          <w:szCs w:val="21"/>
        </w:rPr>
      </w:pPr>
      <w:r>
        <w:rPr>
          <w:rFonts w:hint="eastAsia"/>
          <w:b/>
          <w:bCs/>
          <w:szCs w:val="21"/>
        </w:rPr>
        <w:t xml:space="preserve">2  </w:t>
      </w:r>
      <w:r>
        <w:rPr>
          <w:rFonts w:hint="eastAsia"/>
          <w:bCs/>
          <w:szCs w:val="21"/>
        </w:rPr>
        <w:t>外墙板、外门窗、阳台板、幕墙、空调板、遮阳设施及装饰等通用部品部件采用标准化设计同时，应对选材、排板、预留预埋及连接节点等内容进行深化及适应性设计；</w:t>
      </w:r>
    </w:p>
    <w:p>
      <w:pPr>
        <w:spacing w:line="240" w:lineRule="auto"/>
        <w:ind w:firstLine="421" w:firstLineChars="200"/>
        <w:rPr>
          <w:bCs/>
          <w:szCs w:val="21"/>
        </w:rPr>
      </w:pPr>
      <w:r>
        <w:rPr>
          <w:rFonts w:hint="eastAsia"/>
          <w:b/>
          <w:bCs/>
          <w:szCs w:val="21"/>
        </w:rPr>
        <w:t xml:space="preserve">3  </w:t>
      </w:r>
      <w:r>
        <w:rPr>
          <w:rFonts w:hint="eastAsia"/>
          <w:bCs/>
          <w:szCs w:val="21"/>
        </w:rPr>
        <w:t>建筑立面形状宜规则、均匀；避免过大的外挑或内收，不宜设置过多装饰性构件。</w:t>
      </w:r>
    </w:p>
    <w:p>
      <w:pPr>
        <w:keepNext/>
        <w:keepLines/>
        <w:spacing w:after="360" w:line="240" w:lineRule="auto"/>
        <w:jc w:val="center"/>
        <w:outlineLvl w:val="0"/>
        <w:rPr>
          <w:sz w:val="28"/>
          <w:szCs w:val="21"/>
        </w:rPr>
      </w:pPr>
      <w:bookmarkStart w:id="11" w:name="_Toc118357441"/>
      <w:r>
        <w:rPr>
          <w:rFonts w:hint="eastAsia"/>
          <w:sz w:val="28"/>
          <w:szCs w:val="21"/>
        </w:rPr>
        <w:t xml:space="preserve">5  </w:t>
      </w:r>
      <w:r>
        <w:rPr>
          <w:rFonts w:hint="eastAsia" w:ascii="宋体" w:hAnsi="宋体"/>
          <w:b/>
          <w:bCs/>
          <w:sz w:val="28"/>
          <w:szCs w:val="21"/>
        </w:rPr>
        <w:t>结构系统设计</w:t>
      </w:r>
      <w:bookmarkEnd w:id="11"/>
    </w:p>
    <w:p>
      <w:pPr>
        <w:pStyle w:val="4"/>
        <w:spacing w:before="240" w:after="240" w:line="240" w:lineRule="auto"/>
        <w:jc w:val="center"/>
        <w:rPr>
          <w:rFonts w:ascii="Times New Roman" w:hAnsi="Times New Roman"/>
          <w:sz w:val="21"/>
          <w:szCs w:val="21"/>
        </w:rPr>
      </w:pPr>
      <w:bookmarkStart w:id="12" w:name="_Toc118357442"/>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2"/>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钢结构装配式住宅建筑的结构设计应执行现行国家与行业标准、规范和规程的规定，并符合本规程相关规定。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钢材的性能应符合现行国家标准《钢结构设计标准》GB 50017和《建筑抗震设计规范》GB 50011的规定，宜选用高性能钢材。</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rFonts w:hint="eastAsia"/>
          <w:bCs/>
          <w:szCs w:val="21"/>
        </w:rPr>
        <w:t xml:space="preserve"> 钢结构防火设计应符合国家标准《建筑钢结构防火技术规范》GB 51249的规定。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 xml:space="preserve"> 钢结构防腐设计应符合国家行业标准《建筑钢结构防腐蚀技术规程》JGJ/T 251的规定。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5</w:t>
      </w:r>
      <w:r>
        <w:rPr>
          <w:rFonts w:hint="eastAsia"/>
          <w:bCs/>
          <w:szCs w:val="21"/>
        </w:rPr>
        <w:t xml:space="preserve">  钢-混凝土混合结构中的混凝土剪力墙的设计应符合现行业标准《高层建筑混凝土结构技术规程》JGJ 3的规定。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6 </w:t>
      </w:r>
      <w:r>
        <w:rPr>
          <w:rFonts w:hint="eastAsia"/>
          <w:bCs/>
          <w:szCs w:val="21"/>
        </w:rPr>
        <w:t xml:space="preserve"> 钢结构装配式住宅建筑应根据建筑功能、结构性能、装配施工、结构造价、维保费用等要求或条件，以项目综合效益最大化为目标对结构布置与截面等进行优化设计。</w:t>
      </w:r>
    </w:p>
    <w:p>
      <w:pPr>
        <w:pStyle w:val="4"/>
        <w:spacing w:before="240" w:after="240" w:line="240" w:lineRule="auto"/>
        <w:jc w:val="center"/>
        <w:rPr>
          <w:rFonts w:ascii="Times New Roman" w:hAnsi="Times New Roman"/>
          <w:sz w:val="21"/>
          <w:szCs w:val="21"/>
        </w:rPr>
      </w:pPr>
      <w:bookmarkStart w:id="13" w:name="_Toc118357443"/>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设 计 要 求</w:t>
      </w:r>
      <w:bookmarkEnd w:id="13"/>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rFonts w:hint="eastAsia"/>
          <w:bCs/>
          <w:szCs w:val="21"/>
        </w:rPr>
        <w:t xml:space="preserve"> 结构的设计使用年限不应少于50年，安全等级不应低于二级。</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满足住宅建筑现有的功能与美观要求，并为使用期间建筑布置的改变提供可行条件。</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结构设计应符合工厂生产、现场装配的工业化生产要求，部（构）件及连接设计宜标准化和通用化原则。</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rFonts w:hint="eastAsia"/>
          <w:bCs/>
          <w:szCs w:val="21"/>
        </w:rPr>
        <w:t>抗震设防类别为标准设防类（丙类）的结构，抗震等级应按表5</w:t>
      </w:r>
      <w:r>
        <w:rPr>
          <w:rFonts w:hint="eastAsia" w:ascii="宋体" w:hAnsi="宋体"/>
          <w:bCs/>
          <w:szCs w:val="21"/>
        </w:rPr>
        <w:t>.</w:t>
      </w:r>
      <w:r>
        <w:rPr>
          <w:rFonts w:hint="eastAsia"/>
          <w:bCs/>
          <w:szCs w:val="21"/>
        </w:rPr>
        <w:t>2</w:t>
      </w:r>
      <w:r>
        <w:rPr>
          <w:rFonts w:hint="eastAsia" w:ascii="宋体" w:hAnsi="宋体"/>
          <w:bCs/>
          <w:szCs w:val="21"/>
        </w:rPr>
        <w:t>.</w:t>
      </w:r>
      <w:r>
        <w:rPr>
          <w:rFonts w:hint="eastAsia"/>
          <w:bCs/>
          <w:szCs w:val="21"/>
        </w:rPr>
        <w:t>4的规定确定，对其它抗震设防类别与其它类型的结构，其抗震等级应按相关规范确定。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Cs/>
          <w:sz w:val="18"/>
          <w:szCs w:val="18"/>
        </w:rPr>
        <w:t>5</w:t>
      </w:r>
      <w:r>
        <w:rPr>
          <w:rFonts w:ascii="宋体" w:hAnsi="宋体" w:eastAsia="黑体" w:cs="黑体"/>
          <w:b/>
          <w:bCs/>
          <w:sz w:val="18"/>
          <w:szCs w:val="18"/>
        </w:rPr>
        <w:t>.</w:t>
      </w:r>
      <w:r>
        <w:rPr>
          <w:rFonts w:eastAsia="黑体" w:cs="黑体"/>
          <w:bCs/>
          <w:sz w:val="18"/>
          <w:szCs w:val="18"/>
        </w:rPr>
        <w:t>2</w:t>
      </w:r>
      <w:r>
        <w:rPr>
          <w:rFonts w:ascii="宋体" w:hAnsi="宋体" w:eastAsia="黑体" w:cs="黑体"/>
          <w:b/>
          <w:bCs/>
          <w:sz w:val="18"/>
          <w:szCs w:val="18"/>
        </w:rPr>
        <w:t>.</w:t>
      </w:r>
      <w:r>
        <w:rPr>
          <w:rFonts w:eastAsia="黑体" w:cs="黑体"/>
          <w:bCs/>
          <w:sz w:val="18"/>
          <w:szCs w:val="18"/>
        </w:rPr>
        <w:t xml:space="preserve">4  </w:t>
      </w:r>
      <w:r>
        <w:rPr>
          <w:rFonts w:hint="eastAsia" w:eastAsia="黑体" w:cs="黑体"/>
          <w:bCs/>
          <w:sz w:val="18"/>
          <w:szCs w:val="18"/>
        </w:rPr>
        <w:t>抗震类别为丙类的结构抗震等级</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05"/>
        <w:gridCol w:w="2753"/>
        <w:gridCol w:w="1296"/>
        <w:gridCol w:w="3240"/>
        <w:gridCol w:w="1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3466" w:type="dxa"/>
            <w:gridSpan w:val="2"/>
            <w:vAlign w:val="center"/>
          </w:tcPr>
          <w:p>
            <w:pPr>
              <w:spacing w:line="240" w:lineRule="auto"/>
              <w:jc w:val="center"/>
              <w:rPr>
                <w:rFonts w:cs="宋体"/>
                <w:sz w:val="15"/>
                <w:szCs w:val="15"/>
              </w:rPr>
            </w:pPr>
            <w:r>
              <w:rPr>
                <w:rFonts w:hint="eastAsia" w:cs="宋体"/>
                <w:sz w:val="15"/>
                <w:szCs w:val="15"/>
              </w:rPr>
              <w:t>结构类型</w:t>
            </w:r>
          </w:p>
        </w:tc>
        <w:tc>
          <w:tcPr>
            <w:tcW w:w="1262" w:type="dxa"/>
            <w:vAlign w:val="center"/>
          </w:tcPr>
          <w:p>
            <w:pPr>
              <w:spacing w:line="240" w:lineRule="auto"/>
              <w:jc w:val="center"/>
              <w:rPr>
                <w:rFonts w:cs="宋体"/>
                <w:sz w:val="15"/>
                <w:szCs w:val="15"/>
              </w:rPr>
            </w:pPr>
            <w:r>
              <w:rPr>
                <w:rFonts w:hint="eastAsia" w:cs="宋体"/>
                <w:sz w:val="15"/>
                <w:szCs w:val="15"/>
              </w:rPr>
              <w:t>建筑高度</w:t>
            </w:r>
          </w:p>
        </w:tc>
        <w:tc>
          <w:tcPr>
            <w:tcW w:w="3156" w:type="dxa"/>
            <w:vAlign w:val="center"/>
          </w:tcPr>
          <w:p>
            <w:pPr>
              <w:spacing w:line="240" w:lineRule="auto"/>
              <w:jc w:val="center"/>
              <w:rPr>
                <w:rFonts w:cs="宋体"/>
                <w:sz w:val="15"/>
                <w:szCs w:val="15"/>
              </w:rPr>
            </w:pPr>
            <w:r>
              <w:rPr>
                <w:rFonts w:hint="eastAsia" w:cs="宋体"/>
                <w:sz w:val="15"/>
                <w:szCs w:val="15"/>
              </w:rPr>
              <w:t>结构部位</w:t>
            </w:r>
          </w:p>
        </w:tc>
        <w:tc>
          <w:tcPr>
            <w:tcW w:w="1350" w:type="dxa"/>
            <w:vAlign w:val="center"/>
          </w:tcPr>
          <w:p>
            <w:pPr>
              <w:spacing w:line="240" w:lineRule="auto"/>
              <w:jc w:val="center"/>
              <w:rPr>
                <w:rFonts w:cs="宋体"/>
                <w:sz w:val="15"/>
                <w:szCs w:val="15"/>
              </w:rPr>
            </w:pPr>
            <w:r>
              <w:rPr>
                <w:rFonts w:hint="eastAsia" w:cs="宋体"/>
                <w:sz w:val="15"/>
                <w:szCs w:val="15"/>
              </w:rPr>
              <w:t>抗震等级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4" w:type="dxa"/>
            <w:vMerge w:val="restart"/>
            <w:vAlign w:val="center"/>
          </w:tcPr>
          <w:p>
            <w:pPr>
              <w:spacing w:line="240" w:lineRule="auto"/>
              <w:jc w:val="center"/>
              <w:rPr>
                <w:rFonts w:cs="宋体"/>
                <w:sz w:val="15"/>
                <w:szCs w:val="15"/>
              </w:rPr>
            </w:pPr>
            <w:r>
              <w:rPr>
                <w:rFonts w:hint="eastAsia" w:cs="宋体"/>
                <w:sz w:val="15"/>
                <w:szCs w:val="15"/>
              </w:rPr>
              <w:t>钢柱</w:t>
            </w:r>
          </w:p>
        </w:tc>
        <w:tc>
          <w:tcPr>
            <w:tcW w:w="2682" w:type="dxa"/>
            <w:vMerge w:val="restart"/>
            <w:vAlign w:val="center"/>
          </w:tcPr>
          <w:p>
            <w:pPr>
              <w:spacing w:line="240" w:lineRule="auto"/>
              <w:jc w:val="center"/>
              <w:rPr>
                <w:rFonts w:cs="宋体"/>
                <w:sz w:val="15"/>
                <w:szCs w:val="15"/>
              </w:rPr>
            </w:pPr>
            <w:r>
              <w:rPr>
                <w:rFonts w:hint="eastAsia" w:cs="宋体"/>
                <w:sz w:val="15"/>
                <w:szCs w:val="15"/>
              </w:rPr>
              <w:t>钢框架</w:t>
            </w:r>
          </w:p>
          <w:p>
            <w:pPr>
              <w:spacing w:line="240" w:lineRule="auto"/>
              <w:jc w:val="center"/>
              <w:rPr>
                <w:rFonts w:cs="宋体"/>
                <w:sz w:val="15"/>
                <w:szCs w:val="15"/>
              </w:rPr>
            </w:pPr>
            <w:r>
              <w:rPr>
                <w:rFonts w:hint="eastAsia" w:cs="宋体"/>
                <w:sz w:val="15"/>
                <w:szCs w:val="15"/>
              </w:rPr>
              <w:t>钢框架-支撑结构</w:t>
            </w:r>
          </w:p>
        </w:tc>
        <w:tc>
          <w:tcPr>
            <w:tcW w:w="1262" w:type="dxa"/>
            <w:vAlign w:val="center"/>
          </w:tcPr>
          <w:p>
            <w:pPr>
              <w:spacing w:line="240" w:lineRule="auto"/>
              <w:jc w:val="center"/>
              <w:rPr>
                <w:rFonts w:cs="宋体"/>
                <w:sz w:val="15"/>
                <w:szCs w:val="15"/>
              </w:rPr>
            </w:pPr>
            <w:r>
              <w:rPr>
                <w:rFonts w:cs="宋体"/>
                <w:sz w:val="15"/>
                <w:szCs w:val="15"/>
              </w:rPr>
              <w:t>≤50m</w:t>
            </w:r>
          </w:p>
        </w:tc>
        <w:tc>
          <w:tcPr>
            <w:tcW w:w="3156" w:type="dxa"/>
            <w:vAlign w:val="center"/>
          </w:tcPr>
          <w:p>
            <w:pPr>
              <w:spacing w:line="240" w:lineRule="auto"/>
              <w:jc w:val="center"/>
              <w:rPr>
                <w:rFonts w:cs="宋体"/>
                <w:sz w:val="15"/>
                <w:szCs w:val="15"/>
              </w:rPr>
            </w:pPr>
            <w:r>
              <w:rPr>
                <w:rFonts w:hint="eastAsia" w:cs="宋体"/>
                <w:sz w:val="15"/>
                <w:szCs w:val="15"/>
              </w:rPr>
              <w:t>框架柱、框架梁、支撑</w:t>
            </w:r>
          </w:p>
        </w:tc>
        <w:tc>
          <w:tcPr>
            <w:tcW w:w="1350" w:type="dxa"/>
            <w:vAlign w:val="center"/>
          </w:tcPr>
          <w:p>
            <w:pPr>
              <w:spacing w:line="240" w:lineRule="auto"/>
              <w:jc w:val="center"/>
              <w:rPr>
                <w:rFonts w:cs="宋体"/>
                <w:sz w:val="15"/>
                <w:szCs w:val="15"/>
              </w:rPr>
            </w:pPr>
            <w:r>
              <w:rPr>
                <w:rFonts w:hint="eastAsia" w:cs="宋体"/>
                <w:sz w:val="15"/>
                <w:szCs w:val="15"/>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4" w:type="dxa"/>
            <w:vMerge w:val="continue"/>
            <w:vAlign w:val="center"/>
          </w:tcPr>
          <w:p>
            <w:pPr>
              <w:spacing w:line="240" w:lineRule="auto"/>
              <w:jc w:val="center"/>
              <w:rPr>
                <w:rFonts w:cs="宋体"/>
                <w:sz w:val="15"/>
                <w:szCs w:val="15"/>
              </w:rPr>
            </w:pPr>
          </w:p>
        </w:tc>
        <w:tc>
          <w:tcPr>
            <w:tcW w:w="2682" w:type="dxa"/>
            <w:vMerge w:val="continue"/>
            <w:vAlign w:val="center"/>
          </w:tcPr>
          <w:p>
            <w:pPr>
              <w:spacing w:line="240" w:lineRule="auto"/>
              <w:jc w:val="center"/>
              <w:rPr>
                <w:rFonts w:cs="宋体"/>
                <w:sz w:val="15"/>
                <w:szCs w:val="15"/>
              </w:rPr>
            </w:pPr>
          </w:p>
        </w:tc>
        <w:tc>
          <w:tcPr>
            <w:tcW w:w="1262" w:type="dxa"/>
            <w:vAlign w:val="center"/>
          </w:tcPr>
          <w:p>
            <w:pPr>
              <w:spacing w:line="240" w:lineRule="auto"/>
              <w:jc w:val="center"/>
              <w:rPr>
                <w:rFonts w:cs="宋体"/>
                <w:sz w:val="15"/>
                <w:szCs w:val="15"/>
              </w:rPr>
            </w:pPr>
            <w:r>
              <w:rPr>
                <w:rFonts w:hint="eastAsia" w:cs="宋体"/>
                <w:sz w:val="15"/>
                <w:szCs w:val="15"/>
              </w:rPr>
              <w:t>&gt;</w:t>
            </w:r>
            <w:r>
              <w:rPr>
                <w:rFonts w:cs="宋体"/>
                <w:sz w:val="15"/>
                <w:szCs w:val="15"/>
              </w:rPr>
              <w:t>50m</w:t>
            </w:r>
          </w:p>
        </w:tc>
        <w:tc>
          <w:tcPr>
            <w:tcW w:w="3156" w:type="dxa"/>
            <w:vAlign w:val="center"/>
          </w:tcPr>
          <w:p>
            <w:pPr>
              <w:spacing w:line="240" w:lineRule="auto"/>
              <w:jc w:val="center"/>
              <w:rPr>
                <w:rFonts w:cs="宋体"/>
                <w:sz w:val="15"/>
                <w:szCs w:val="15"/>
              </w:rPr>
            </w:pPr>
            <w:r>
              <w:rPr>
                <w:rFonts w:hint="eastAsia" w:cs="宋体"/>
                <w:sz w:val="15"/>
                <w:szCs w:val="15"/>
              </w:rPr>
              <w:t>框架柱、框架梁、支撑</w:t>
            </w:r>
          </w:p>
        </w:tc>
        <w:tc>
          <w:tcPr>
            <w:tcW w:w="1350" w:type="dxa"/>
            <w:vAlign w:val="center"/>
          </w:tcPr>
          <w:p>
            <w:pPr>
              <w:spacing w:line="240" w:lineRule="auto"/>
              <w:jc w:val="center"/>
              <w:rPr>
                <w:rFonts w:cs="宋体"/>
                <w:sz w:val="15"/>
                <w:szCs w:val="15"/>
              </w:rPr>
            </w:pPr>
            <w:r>
              <w:rPr>
                <w:rFonts w:hint="eastAsia" w:cs="宋体"/>
                <w:sz w:val="15"/>
                <w:szCs w:val="15"/>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4" w:type="dxa"/>
            <w:vMerge w:val="restart"/>
            <w:vAlign w:val="center"/>
          </w:tcPr>
          <w:p>
            <w:pPr>
              <w:spacing w:line="240" w:lineRule="auto"/>
              <w:jc w:val="center"/>
              <w:rPr>
                <w:rFonts w:cs="宋体"/>
                <w:sz w:val="15"/>
                <w:szCs w:val="15"/>
              </w:rPr>
            </w:pPr>
            <w:r>
              <w:rPr>
                <w:rFonts w:hint="eastAsia" w:cs="宋体"/>
                <w:sz w:val="15"/>
                <w:szCs w:val="15"/>
              </w:rPr>
              <w:t>钢管混凝土柱</w:t>
            </w:r>
          </w:p>
        </w:tc>
        <w:tc>
          <w:tcPr>
            <w:tcW w:w="2682" w:type="dxa"/>
            <w:vMerge w:val="restart"/>
            <w:vAlign w:val="center"/>
          </w:tcPr>
          <w:p>
            <w:pPr>
              <w:spacing w:line="240" w:lineRule="auto"/>
              <w:jc w:val="center"/>
              <w:rPr>
                <w:rFonts w:cs="宋体"/>
                <w:sz w:val="15"/>
                <w:szCs w:val="15"/>
              </w:rPr>
            </w:pPr>
            <w:r>
              <w:rPr>
                <w:rFonts w:hint="eastAsia" w:cs="宋体"/>
                <w:sz w:val="15"/>
                <w:szCs w:val="15"/>
              </w:rPr>
              <w:t>钢框架</w:t>
            </w:r>
          </w:p>
          <w:p>
            <w:pPr>
              <w:spacing w:line="240" w:lineRule="auto"/>
              <w:jc w:val="center"/>
              <w:rPr>
                <w:rFonts w:cs="宋体"/>
                <w:sz w:val="15"/>
                <w:szCs w:val="15"/>
              </w:rPr>
            </w:pPr>
            <w:r>
              <w:rPr>
                <w:rFonts w:hint="eastAsia" w:cs="宋体"/>
                <w:sz w:val="15"/>
                <w:szCs w:val="15"/>
              </w:rPr>
              <w:t>钢框架-支撑结构</w:t>
            </w:r>
          </w:p>
        </w:tc>
        <w:tc>
          <w:tcPr>
            <w:tcW w:w="1262" w:type="dxa"/>
            <w:vMerge w:val="restart"/>
            <w:vAlign w:val="center"/>
          </w:tcPr>
          <w:p>
            <w:pPr>
              <w:spacing w:line="240" w:lineRule="auto"/>
              <w:jc w:val="center"/>
              <w:rPr>
                <w:rFonts w:cs="宋体"/>
                <w:sz w:val="15"/>
                <w:szCs w:val="15"/>
              </w:rPr>
            </w:pPr>
            <w:r>
              <w:rPr>
                <w:rFonts w:cs="宋体"/>
                <w:sz w:val="15"/>
                <w:szCs w:val="15"/>
              </w:rPr>
              <w:t>≤50m</w:t>
            </w:r>
          </w:p>
        </w:tc>
        <w:tc>
          <w:tcPr>
            <w:tcW w:w="3156" w:type="dxa"/>
            <w:vAlign w:val="center"/>
          </w:tcPr>
          <w:p>
            <w:pPr>
              <w:spacing w:line="240" w:lineRule="auto"/>
              <w:jc w:val="center"/>
              <w:rPr>
                <w:rFonts w:cs="宋体"/>
                <w:sz w:val="15"/>
                <w:szCs w:val="15"/>
              </w:rPr>
            </w:pPr>
            <w:r>
              <w:rPr>
                <w:rFonts w:hint="eastAsia" w:cs="宋体"/>
                <w:sz w:val="15"/>
                <w:szCs w:val="15"/>
              </w:rPr>
              <w:t>框架梁、支撑</w:t>
            </w:r>
          </w:p>
        </w:tc>
        <w:tc>
          <w:tcPr>
            <w:tcW w:w="1350" w:type="dxa"/>
            <w:vAlign w:val="center"/>
          </w:tcPr>
          <w:p>
            <w:pPr>
              <w:spacing w:line="240" w:lineRule="auto"/>
              <w:jc w:val="center"/>
              <w:rPr>
                <w:rFonts w:cs="宋体"/>
                <w:sz w:val="15"/>
                <w:szCs w:val="15"/>
              </w:rPr>
            </w:pPr>
            <w:r>
              <w:rPr>
                <w:rFonts w:hint="eastAsia" w:cs="宋体"/>
                <w:sz w:val="15"/>
                <w:szCs w:val="15"/>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4" w:type="dxa"/>
            <w:vMerge w:val="continue"/>
            <w:vAlign w:val="center"/>
          </w:tcPr>
          <w:p>
            <w:pPr>
              <w:spacing w:line="240" w:lineRule="auto"/>
              <w:jc w:val="center"/>
              <w:rPr>
                <w:rFonts w:cs="宋体"/>
                <w:sz w:val="15"/>
                <w:szCs w:val="15"/>
              </w:rPr>
            </w:pPr>
          </w:p>
        </w:tc>
        <w:tc>
          <w:tcPr>
            <w:tcW w:w="2682" w:type="dxa"/>
            <w:vMerge w:val="continue"/>
            <w:vAlign w:val="center"/>
          </w:tcPr>
          <w:p>
            <w:pPr>
              <w:spacing w:line="240" w:lineRule="auto"/>
              <w:jc w:val="center"/>
              <w:rPr>
                <w:rFonts w:cs="宋体"/>
                <w:sz w:val="15"/>
                <w:szCs w:val="15"/>
              </w:rPr>
            </w:pPr>
          </w:p>
        </w:tc>
        <w:tc>
          <w:tcPr>
            <w:tcW w:w="1262" w:type="dxa"/>
            <w:vMerge w:val="continue"/>
            <w:vAlign w:val="center"/>
          </w:tcPr>
          <w:p>
            <w:pPr>
              <w:spacing w:line="240" w:lineRule="auto"/>
              <w:jc w:val="center"/>
              <w:rPr>
                <w:rFonts w:cs="宋体"/>
                <w:sz w:val="15"/>
                <w:szCs w:val="15"/>
              </w:rPr>
            </w:pPr>
          </w:p>
        </w:tc>
        <w:tc>
          <w:tcPr>
            <w:tcW w:w="3156" w:type="dxa"/>
            <w:vAlign w:val="center"/>
          </w:tcPr>
          <w:p>
            <w:pPr>
              <w:spacing w:line="240" w:lineRule="auto"/>
              <w:jc w:val="center"/>
              <w:rPr>
                <w:rFonts w:cs="宋体"/>
                <w:sz w:val="15"/>
                <w:szCs w:val="15"/>
              </w:rPr>
            </w:pPr>
            <w:r>
              <w:rPr>
                <w:rFonts w:hint="eastAsia" w:cs="宋体"/>
                <w:sz w:val="15"/>
                <w:szCs w:val="15"/>
              </w:rPr>
              <w:t>框架柱</w:t>
            </w:r>
          </w:p>
        </w:tc>
        <w:tc>
          <w:tcPr>
            <w:tcW w:w="1350" w:type="dxa"/>
            <w:vAlign w:val="center"/>
          </w:tcPr>
          <w:p>
            <w:pPr>
              <w:spacing w:line="240" w:lineRule="auto"/>
              <w:jc w:val="center"/>
              <w:rPr>
                <w:rFonts w:cs="宋体"/>
                <w:sz w:val="15"/>
                <w:szCs w:val="15"/>
              </w:rPr>
            </w:pPr>
            <w:r>
              <w:rPr>
                <w:rFonts w:hint="eastAsia" w:cs="宋体"/>
                <w:sz w:val="15"/>
                <w:szCs w:val="15"/>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4" w:type="dxa"/>
            <w:vMerge w:val="continue"/>
            <w:vAlign w:val="center"/>
          </w:tcPr>
          <w:p>
            <w:pPr>
              <w:spacing w:line="240" w:lineRule="auto"/>
              <w:jc w:val="center"/>
              <w:rPr>
                <w:rFonts w:cs="宋体"/>
                <w:sz w:val="15"/>
                <w:szCs w:val="15"/>
              </w:rPr>
            </w:pPr>
          </w:p>
        </w:tc>
        <w:tc>
          <w:tcPr>
            <w:tcW w:w="2682" w:type="dxa"/>
            <w:vMerge w:val="continue"/>
            <w:vAlign w:val="center"/>
          </w:tcPr>
          <w:p>
            <w:pPr>
              <w:spacing w:line="240" w:lineRule="auto"/>
              <w:jc w:val="center"/>
              <w:rPr>
                <w:rFonts w:cs="宋体"/>
                <w:sz w:val="15"/>
                <w:szCs w:val="15"/>
              </w:rPr>
            </w:pPr>
          </w:p>
        </w:tc>
        <w:tc>
          <w:tcPr>
            <w:tcW w:w="1262" w:type="dxa"/>
            <w:vMerge w:val="restart"/>
            <w:vAlign w:val="center"/>
          </w:tcPr>
          <w:p>
            <w:pPr>
              <w:spacing w:line="240" w:lineRule="auto"/>
              <w:jc w:val="center"/>
              <w:rPr>
                <w:rFonts w:cs="宋体"/>
                <w:sz w:val="15"/>
                <w:szCs w:val="15"/>
              </w:rPr>
            </w:pPr>
            <w:r>
              <w:rPr>
                <w:rFonts w:hint="eastAsia" w:cs="宋体"/>
                <w:sz w:val="15"/>
                <w:szCs w:val="15"/>
              </w:rPr>
              <w:t>&gt;</w:t>
            </w:r>
            <w:r>
              <w:rPr>
                <w:rFonts w:cs="宋体"/>
                <w:sz w:val="15"/>
                <w:szCs w:val="15"/>
              </w:rPr>
              <w:t>50m</w:t>
            </w:r>
          </w:p>
        </w:tc>
        <w:tc>
          <w:tcPr>
            <w:tcW w:w="3156" w:type="dxa"/>
            <w:vAlign w:val="center"/>
          </w:tcPr>
          <w:p>
            <w:pPr>
              <w:spacing w:line="240" w:lineRule="auto"/>
              <w:jc w:val="center"/>
              <w:rPr>
                <w:rFonts w:cs="宋体"/>
                <w:sz w:val="15"/>
                <w:szCs w:val="15"/>
              </w:rPr>
            </w:pPr>
            <w:r>
              <w:rPr>
                <w:rFonts w:hint="eastAsia" w:cs="宋体"/>
                <w:sz w:val="15"/>
                <w:szCs w:val="15"/>
              </w:rPr>
              <w:t>框架梁、支撑</w:t>
            </w:r>
          </w:p>
        </w:tc>
        <w:tc>
          <w:tcPr>
            <w:tcW w:w="1350" w:type="dxa"/>
            <w:vAlign w:val="center"/>
          </w:tcPr>
          <w:p>
            <w:pPr>
              <w:spacing w:line="240" w:lineRule="auto"/>
              <w:jc w:val="center"/>
              <w:rPr>
                <w:rFonts w:cs="宋体"/>
                <w:sz w:val="15"/>
                <w:szCs w:val="15"/>
              </w:rPr>
            </w:pPr>
            <w:r>
              <w:rPr>
                <w:rFonts w:hint="eastAsia" w:cs="宋体"/>
                <w:sz w:val="15"/>
                <w:szCs w:val="15"/>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84" w:type="dxa"/>
            <w:vMerge w:val="continue"/>
            <w:vAlign w:val="center"/>
          </w:tcPr>
          <w:p>
            <w:pPr>
              <w:spacing w:line="240" w:lineRule="auto"/>
              <w:jc w:val="center"/>
              <w:rPr>
                <w:rFonts w:cs="宋体"/>
                <w:sz w:val="15"/>
                <w:szCs w:val="15"/>
              </w:rPr>
            </w:pPr>
          </w:p>
        </w:tc>
        <w:tc>
          <w:tcPr>
            <w:tcW w:w="2682" w:type="dxa"/>
            <w:vMerge w:val="continue"/>
            <w:vAlign w:val="center"/>
          </w:tcPr>
          <w:p>
            <w:pPr>
              <w:spacing w:line="240" w:lineRule="auto"/>
              <w:jc w:val="center"/>
              <w:rPr>
                <w:rFonts w:cs="宋体"/>
                <w:sz w:val="15"/>
                <w:szCs w:val="15"/>
              </w:rPr>
            </w:pPr>
          </w:p>
        </w:tc>
        <w:tc>
          <w:tcPr>
            <w:tcW w:w="1262" w:type="dxa"/>
            <w:vMerge w:val="continue"/>
            <w:vAlign w:val="center"/>
          </w:tcPr>
          <w:p>
            <w:pPr>
              <w:spacing w:line="240" w:lineRule="auto"/>
              <w:jc w:val="center"/>
              <w:rPr>
                <w:rFonts w:cs="宋体"/>
                <w:sz w:val="15"/>
                <w:szCs w:val="15"/>
              </w:rPr>
            </w:pPr>
          </w:p>
        </w:tc>
        <w:tc>
          <w:tcPr>
            <w:tcW w:w="3156" w:type="dxa"/>
            <w:vAlign w:val="center"/>
          </w:tcPr>
          <w:p>
            <w:pPr>
              <w:spacing w:line="240" w:lineRule="auto"/>
              <w:jc w:val="center"/>
              <w:rPr>
                <w:rFonts w:cs="宋体"/>
                <w:sz w:val="15"/>
                <w:szCs w:val="15"/>
              </w:rPr>
            </w:pPr>
            <w:r>
              <w:rPr>
                <w:rFonts w:hint="eastAsia" w:cs="宋体"/>
                <w:sz w:val="15"/>
                <w:szCs w:val="15"/>
              </w:rPr>
              <w:t>框架柱</w:t>
            </w:r>
          </w:p>
        </w:tc>
        <w:tc>
          <w:tcPr>
            <w:tcW w:w="1350" w:type="dxa"/>
            <w:vAlign w:val="center"/>
          </w:tcPr>
          <w:p>
            <w:pPr>
              <w:spacing w:line="240" w:lineRule="auto"/>
              <w:jc w:val="center"/>
              <w:rPr>
                <w:rFonts w:cs="宋体"/>
                <w:sz w:val="15"/>
                <w:szCs w:val="15"/>
              </w:rPr>
            </w:pPr>
            <w:r>
              <w:rPr>
                <w:rFonts w:hint="eastAsia" w:cs="宋体"/>
                <w:sz w:val="15"/>
                <w:szCs w:val="15"/>
              </w:rPr>
              <w:t>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restart"/>
            <w:vAlign w:val="center"/>
          </w:tcPr>
          <w:p>
            <w:pPr>
              <w:spacing w:line="240" w:lineRule="auto"/>
              <w:jc w:val="center"/>
              <w:rPr>
                <w:rFonts w:cs="宋体"/>
                <w:sz w:val="15"/>
                <w:szCs w:val="15"/>
              </w:rPr>
            </w:pPr>
            <w:r>
              <w:rPr>
                <w:rFonts w:hint="eastAsia" w:cs="宋体"/>
                <w:sz w:val="15"/>
                <w:szCs w:val="15"/>
              </w:rPr>
              <w:t>钢框架-混凝土核心筒结构</w:t>
            </w:r>
          </w:p>
          <w:p>
            <w:pPr>
              <w:spacing w:line="240" w:lineRule="auto"/>
              <w:jc w:val="center"/>
              <w:rPr>
                <w:rFonts w:cs="宋体"/>
                <w:sz w:val="15"/>
                <w:szCs w:val="15"/>
              </w:rPr>
            </w:pPr>
            <w:r>
              <w:rPr>
                <w:rFonts w:hint="eastAsia" w:cs="宋体"/>
                <w:sz w:val="15"/>
                <w:szCs w:val="15"/>
              </w:rPr>
              <w:t>钢框架-混凝土外筒结构</w:t>
            </w:r>
          </w:p>
          <w:p>
            <w:pPr>
              <w:spacing w:line="240" w:lineRule="auto"/>
              <w:jc w:val="center"/>
              <w:rPr>
                <w:rFonts w:cs="宋体"/>
                <w:sz w:val="15"/>
                <w:szCs w:val="15"/>
              </w:rPr>
            </w:pPr>
            <w:r>
              <w:rPr>
                <w:rFonts w:hint="eastAsia" w:cs="宋体"/>
                <w:sz w:val="15"/>
                <w:szCs w:val="15"/>
              </w:rPr>
              <w:t>钢框架-混凝土剪力墙结构</w:t>
            </w:r>
          </w:p>
          <w:p>
            <w:pPr>
              <w:spacing w:line="240" w:lineRule="auto"/>
              <w:jc w:val="center"/>
              <w:rPr>
                <w:rFonts w:cs="宋体"/>
                <w:sz w:val="15"/>
                <w:szCs w:val="15"/>
              </w:rPr>
            </w:pPr>
            <w:r>
              <w:rPr>
                <w:rFonts w:hint="eastAsia" w:cs="宋体"/>
                <w:sz w:val="15"/>
                <w:szCs w:val="15"/>
              </w:rPr>
              <w:t>钢框架-双钢板混凝土剪力墙</w:t>
            </w:r>
          </w:p>
        </w:tc>
        <w:tc>
          <w:tcPr>
            <w:tcW w:w="1262" w:type="dxa"/>
            <w:vMerge w:val="restart"/>
            <w:vAlign w:val="center"/>
          </w:tcPr>
          <w:p>
            <w:pPr>
              <w:spacing w:line="240" w:lineRule="auto"/>
              <w:jc w:val="center"/>
              <w:rPr>
                <w:rFonts w:cs="宋体"/>
                <w:sz w:val="15"/>
                <w:szCs w:val="15"/>
              </w:rPr>
            </w:pPr>
            <w:r>
              <w:rPr>
                <w:rFonts w:cs="宋体"/>
                <w:sz w:val="15"/>
                <w:szCs w:val="15"/>
              </w:rPr>
              <w:t>≤120m</w:t>
            </w:r>
          </w:p>
        </w:tc>
        <w:tc>
          <w:tcPr>
            <w:tcW w:w="3156" w:type="dxa"/>
            <w:vAlign w:val="center"/>
          </w:tcPr>
          <w:p>
            <w:pPr>
              <w:spacing w:line="240" w:lineRule="auto"/>
              <w:jc w:val="center"/>
              <w:rPr>
                <w:rFonts w:cs="宋体"/>
                <w:sz w:val="15"/>
                <w:szCs w:val="15"/>
              </w:rPr>
            </w:pPr>
            <w:r>
              <w:rPr>
                <w:rFonts w:hint="eastAsia" w:cs="宋体"/>
                <w:sz w:val="15"/>
                <w:szCs w:val="15"/>
              </w:rPr>
              <w:t>框架</w:t>
            </w:r>
          </w:p>
        </w:tc>
        <w:tc>
          <w:tcPr>
            <w:tcW w:w="1350" w:type="dxa"/>
            <w:vAlign w:val="center"/>
          </w:tcPr>
          <w:p>
            <w:pPr>
              <w:spacing w:line="240" w:lineRule="auto"/>
              <w:jc w:val="center"/>
              <w:rPr>
                <w:rFonts w:cs="宋体"/>
                <w:sz w:val="15"/>
                <w:szCs w:val="15"/>
              </w:rPr>
            </w:pPr>
            <w:r>
              <w:rPr>
                <w:rFonts w:hint="eastAsia" w:cs="宋体"/>
                <w:sz w:val="15"/>
                <w:szCs w:val="15"/>
              </w:rPr>
              <w:t>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continue"/>
            <w:vAlign w:val="center"/>
          </w:tcPr>
          <w:p>
            <w:pPr>
              <w:spacing w:line="240" w:lineRule="auto"/>
              <w:jc w:val="center"/>
              <w:rPr>
                <w:rFonts w:cs="宋体"/>
                <w:sz w:val="15"/>
                <w:szCs w:val="15"/>
              </w:rPr>
            </w:pPr>
          </w:p>
        </w:tc>
        <w:tc>
          <w:tcPr>
            <w:tcW w:w="1262" w:type="dxa"/>
            <w:vMerge w:val="continue"/>
            <w:vAlign w:val="center"/>
          </w:tcPr>
          <w:p>
            <w:pPr>
              <w:spacing w:line="240" w:lineRule="auto"/>
              <w:jc w:val="center"/>
              <w:rPr>
                <w:rFonts w:cs="宋体"/>
                <w:sz w:val="15"/>
                <w:szCs w:val="15"/>
              </w:rPr>
            </w:pPr>
          </w:p>
        </w:tc>
        <w:tc>
          <w:tcPr>
            <w:tcW w:w="3156" w:type="dxa"/>
            <w:vAlign w:val="center"/>
          </w:tcPr>
          <w:p>
            <w:pPr>
              <w:spacing w:line="240" w:lineRule="auto"/>
              <w:jc w:val="center"/>
              <w:rPr>
                <w:rFonts w:cs="宋体"/>
                <w:sz w:val="15"/>
                <w:szCs w:val="15"/>
              </w:rPr>
            </w:pPr>
            <w:r>
              <w:rPr>
                <w:rFonts w:hint="eastAsia" w:cs="宋体"/>
                <w:sz w:val="15"/>
                <w:szCs w:val="15"/>
              </w:rPr>
              <w:t>核心筒、外筒、剪力墙</w:t>
            </w:r>
          </w:p>
        </w:tc>
        <w:tc>
          <w:tcPr>
            <w:tcW w:w="1350" w:type="dxa"/>
            <w:vAlign w:val="center"/>
          </w:tcPr>
          <w:p>
            <w:pPr>
              <w:spacing w:line="240" w:lineRule="auto"/>
              <w:jc w:val="center"/>
              <w:rPr>
                <w:rFonts w:cs="宋体"/>
                <w:sz w:val="15"/>
                <w:szCs w:val="15"/>
              </w:rPr>
            </w:pPr>
            <w:r>
              <w:rPr>
                <w:rFonts w:hint="eastAsia" w:cs="宋体"/>
                <w:sz w:val="15"/>
                <w:szCs w:val="15"/>
              </w:rPr>
              <w:t>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continue"/>
            <w:vAlign w:val="center"/>
          </w:tcPr>
          <w:p>
            <w:pPr>
              <w:spacing w:line="240" w:lineRule="auto"/>
              <w:jc w:val="center"/>
              <w:rPr>
                <w:rFonts w:cs="宋体"/>
                <w:sz w:val="15"/>
                <w:szCs w:val="15"/>
              </w:rPr>
            </w:pPr>
          </w:p>
        </w:tc>
        <w:tc>
          <w:tcPr>
            <w:tcW w:w="1262" w:type="dxa"/>
            <w:vMerge w:val="restart"/>
            <w:vAlign w:val="center"/>
          </w:tcPr>
          <w:p>
            <w:pPr>
              <w:spacing w:line="240" w:lineRule="auto"/>
              <w:jc w:val="center"/>
              <w:rPr>
                <w:rFonts w:cs="宋体"/>
                <w:sz w:val="15"/>
                <w:szCs w:val="15"/>
              </w:rPr>
            </w:pPr>
            <w:r>
              <w:rPr>
                <w:rFonts w:hint="eastAsia" w:cs="宋体"/>
                <w:sz w:val="15"/>
                <w:szCs w:val="15"/>
              </w:rPr>
              <w:t>&gt;</w:t>
            </w:r>
            <w:r>
              <w:rPr>
                <w:rFonts w:cs="宋体"/>
                <w:sz w:val="15"/>
                <w:szCs w:val="15"/>
              </w:rPr>
              <w:t>120m</w:t>
            </w:r>
          </w:p>
        </w:tc>
        <w:tc>
          <w:tcPr>
            <w:tcW w:w="3156" w:type="dxa"/>
            <w:vAlign w:val="center"/>
          </w:tcPr>
          <w:p>
            <w:pPr>
              <w:spacing w:line="240" w:lineRule="auto"/>
              <w:jc w:val="center"/>
              <w:rPr>
                <w:rFonts w:cs="宋体"/>
                <w:sz w:val="15"/>
                <w:szCs w:val="15"/>
              </w:rPr>
            </w:pPr>
            <w:r>
              <w:rPr>
                <w:rFonts w:hint="eastAsia" w:cs="宋体"/>
                <w:sz w:val="15"/>
                <w:szCs w:val="15"/>
              </w:rPr>
              <w:t>框架</w:t>
            </w:r>
          </w:p>
        </w:tc>
        <w:tc>
          <w:tcPr>
            <w:tcW w:w="1350" w:type="dxa"/>
            <w:vAlign w:val="center"/>
          </w:tcPr>
          <w:p>
            <w:pPr>
              <w:spacing w:line="240" w:lineRule="auto"/>
              <w:jc w:val="center"/>
              <w:rPr>
                <w:rFonts w:cs="宋体"/>
                <w:sz w:val="15"/>
                <w:szCs w:val="15"/>
              </w:rPr>
            </w:pPr>
            <w:r>
              <w:rPr>
                <w:rFonts w:hint="eastAsia" w:cs="宋体"/>
                <w:sz w:val="15"/>
                <w:szCs w:val="15"/>
              </w:rPr>
              <w:t>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continue"/>
            <w:vAlign w:val="center"/>
          </w:tcPr>
          <w:p>
            <w:pPr>
              <w:spacing w:line="240" w:lineRule="auto"/>
              <w:jc w:val="center"/>
              <w:rPr>
                <w:rFonts w:cs="宋体"/>
                <w:sz w:val="15"/>
                <w:szCs w:val="15"/>
              </w:rPr>
            </w:pPr>
          </w:p>
        </w:tc>
        <w:tc>
          <w:tcPr>
            <w:tcW w:w="1262" w:type="dxa"/>
            <w:vMerge w:val="continue"/>
            <w:vAlign w:val="center"/>
          </w:tcPr>
          <w:p>
            <w:pPr>
              <w:spacing w:line="240" w:lineRule="auto"/>
              <w:jc w:val="center"/>
              <w:rPr>
                <w:rFonts w:cs="宋体"/>
                <w:sz w:val="15"/>
                <w:szCs w:val="15"/>
              </w:rPr>
            </w:pPr>
          </w:p>
        </w:tc>
        <w:tc>
          <w:tcPr>
            <w:tcW w:w="3156" w:type="dxa"/>
            <w:vAlign w:val="center"/>
          </w:tcPr>
          <w:p>
            <w:pPr>
              <w:spacing w:line="240" w:lineRule="auto"/>
              <w:jc w:val="center"/>
              <w:rPr>
                <w:rFonts w:cs="宋体"/>
                <w:sz w:val="15"/>
                <w:szCs w:val="15"/>
              </w:rPr>
            </w:pPr>
            <w:r>
              <w:rPr>
                <w:rFonts w:hint="eastAsia" w:cs="宋体"/>
                <w:sz w:val="15"/>
                <w:szCs w:val="15"/>
              </w:rPr>
              <w:t>核心筒、外筒、剪力墙</w:t>
            </w:r>
          </w:p>
        </w:tc>
        <w:tc>
          <w:tcPr>
            <w:tcW w:w="1350" w:type="dxa"/>
            <w:vAlign w:val="center"/>
          </w:tcPr>
          <w:p>
            <w:pPr>
              <w:spacing w:line="240" w:lineRule="auto"/>
              <w:jc w:val="center"/>
              <w:rPr>
                <w:rFonts w:cs="宋体"/>
                <w:sz w:val="15"/>
                <w:szCs w:val="15"/>
              </w:rPr>
            </w:pPr>
            <w:r>
              <w:rPr>
                <w:rFonts w:hint="eastAsia" w:cs="宋体"/>
                <w:sz w:val="15"/>
                <w:szCs w:val="15"/>
              </w:rPr>
              <w:t>特一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restart"/>
            <w:vAlign w:val="center"/>
          </w:tcPr>
          <w:p>
            <w:pPr>
              <w:spacing w:line="240" w:lineRule="auto"/>
              <w:jc w:val="center"/>
              <w:rPr>
                <w:rFonts w:cs="宋体"/>
                <w:sz w:val="15"/>
                <w:szCs w:val="15"/>
              </w:rPr>
            </w:pPr>
            <w:r>
              <w:rPr>
                <w:rFonts w:hint="eastAsia" w:cs="宋体"/>
                <w:sz w:val="15"/>
                <w:szCs w:val="15"/>
              </w:rPr>
              <w:t>巨型钢框架结构-双钢板混凝土剪力墙（支撑）</w:t>
            </w:r>
          </w:p>
        </w:tc>
        <w:tc>
          <w:tcPr>
            <w:tcW w:w="1262" w:type="dxa"/>
            <w:vMerge w:val="restart"/>
            <w:vAlign w:val="center"/>
          </w:tcPr>
          <w:p>
            <w:pPr>
              <w:spacing w:line="240" w:lineRule="auto"/>
              <w:jc w:val="center"/>
              <w:rPr>
                <w:rFonts w:cs="宋体"/>
                <w:sz w:val="15"/>
                <w:szCs w:val="15"/>
              </w:rPr>
            </w:pPr>
            <w:r>
              <w:rPr>
                <w:rFonts w:cs="宋体"/>
                <w:sz w:val="15"/>
                <w:szCs w:val="15"/>
              </w:rPr>
              <w:t>≤120m</w:t>
            </w:r>
          </w:p>
        </w:tc>
        <w:tc>
          <w:tcPr>
            <w:tcW w:w="3156" w:type="dxa"/>
          </w:tcPr>
          <w:p>
            <w:pPr>
              <w:spacing w:line="240" w:lineRule="auto"/>
              <w:jc w:val="center"/>
              <w:rPr>
                <w:rFonts w:cs="宋体"/>
                <w:sz w:val="15"/>
                <w:szCs w:val="15"/>
              </w:rPr>
            </w:pPr>
            <w:r>
              <w:rPr>
                <w:rFonts w:hint="eastAsia" w:cs="宋体"/>
                <w:sz w:val="15"/>
                <w:szCs w:val="15"/>
              </w:rPr>
              <w:t>主框架柱、支撑、主框架梁</w:t>
            </w:r>
          </w:p>
        </w:tc>
        <w:tc>
          <w:tcPr>
            <w:tcW w:w="1350" w:type="dxa"/>
          </w:tcPr>
          <w:p>
            <w:pPr>
              <w:spacing w:line="240" w:lineRule="auto"/>
              <w:jc w:val="center"/>
              <w:rPr>
                <w:rFonts w:cs="宋体"/>
                <w:sz w:val="15"/>
                <w:szCs w:val="15"/>
              </w:rPr>
            </w:pPr>
            <w:r>
              <w:rPr>
                <w:rFonts w:hint="eastAsia" w:cs="宋体"/>
                <w:sz w:val="15"/>
                <w:szCs w:val="15"/>
              </w:rPr>
              <w:t>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continue"/>
            <w:vAlign w:val="center"/>
          </w:tcPr>
          <w:p>
            <w:pPr>
              <w:spacing w:line="240" w:lineRule="auto"/>
              <w:jc w:val="center"/>
              <w:rPr>
                <w:rFonts w:cs="宋体"/>
                <w:sz w:val="15"/>
                <w:szCs w:val="15"/>
              </w:rPr>
            </w:pPr>
          </w:p>
        </w:tc>
        <w:tc>
          <w:tcPr>
            <w:tcW w:w="1262" w:type="dxa"/>
            <w:vMerge w:val="continue"/>
            <w:vAlign w:val="center"/>
          </w:tcPr>
          <w:p>
            <w:pPr>
              <w:spacing w:line="240" w:lineRule="auto"/>
              <w:jc w:val="center"/>
              <w:rPr>
                <w:rFonts w:cs="宋体"/>
                <w:sz w:val="15"/>
                <w:szCs w:val="15"/>
              </w:rPr>
            </w:pPr>
          </w:p>
        </w:tc>
        <w:tc>
          <w:tcPr>
            <w:tcW w:w="3156" w:type="dxa"/>
          </w:tcPr>
          <w:p>
            <w:pPr>
              <w:spacing w:line="240" w:lineRule="auto"/>
              <w:jc w:val="center"/>
              <w:rPr>
                <w:rFonts w:cs="宋体"/>
                <w:sz w:val="15"/>
                <w:szCs w:val="15"/>
              </w:rPr>
            </w:pPr>
            <w:r>
              <w:rPr>
                <w:rFonts w:hint="eastAsia" w:cs="宋体"/>
                <w:sz w:val="15"/>
                <w:szCs w:val="15"/>
              </w:rPr>
              <w:t>核心筒、剪力墙</w:t>
            </w:r>
          </w:p>
        </w:tc>
        <w:tc>
          <w:tcPr>
            <w:tcW w:w="1350" w:type="dxa"/>
          </w:tcPr>
          <w:p>
            <w:pPr>
              <w:spacing w:line="240" w:lineRule="auto"/>
              <w:jc w:val="center"/>
              <w:rPr>
                <w:rFonts w:cs="宋体"/>
                <w:sz w:val="15"/>
                <w:szCs w:val="15"/>
              </w:rPr>
            </w:pPr>
            <w:r>
              <w:rPr>
                <w:rFonts w:hint="eastAsia" w:cs="宋体"/>
                <w:sz w:val="15"/>
                <w:szCs w:val="15"/>
              </w:rPr>
              <w:t>一级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66" w:type="dxa"/>
            <w:gridSpan w:val="2"/>
            <w:vMerge w:val="continue"/>
            <w:vAlign w:val="center"/>
          </w:tcPr>
          <w:p>
            <w:pPr>
              <w:spacing w:line="240" w:lineRule="auto"/>
              <w:jc w:val="center"/>
              <w:rPr>
                <w:rFonts w:cs="宋体"/>
                <w:sz w:val="15"/>
                <w:szCs w:val="15"/>
              </w:rPr>
            </w:pPr>
          </w:p>
        </w:tc>
        <w:tc>
          <w:tcPr>
            <w:tcW w:w="1262" w:type="dxa"/>
            <w:vMerge w:val="continue"/>
            <w:vAlign w:val="center"/>
          </w:tcPr>
          <w:p>
            <w:pPr>
              <w:spacing w:line="240" w:lineRule="auto"/>
              <w:jc w:val="center"/>
              <w:rPr>
                <w:rFonts w:cs="宋体"/>
                <w:sz w:val="15"/>
                <w:szCs w:val="15"/>
              </w:rPr>
            </w:pPr>
          </w:p>
        </w:tc>
        <w:tc>
          <w:tcPr>
            <w:tcW w:w="3156" w:type="dxa"/>
          </w:tcPr>
          <w:p>
            <w:pPr>
              <w:spacing w:line="240" w:lineRule="auto"/>
              <w:jc w:val="center"/>
              <w:rPr>
                <w:rFonts w:cs="宋体"/>
                <w:sz w:val="15"/>
                <w:szCs w:val="15"/>
              </w:rPr>
            </w:pPr>
            <w:r>
              <w:rPr>
                <w:rFonts w:hint="eastAsia" w:cs="宋体"/>
                <w:sz w:val="15"/>
                <w:szCs w:val="15"/>
              </w:rPr>
              <w:t>次框架柱、次框架梁</w:t>
            </w:r>
          </w:p>
        </w:tc>
        <w:tc>
          <w:tcPr>
            <w:tcW w:w="1350" w:type="dxa"/>
          </w:tcPr>
          <w:p>
            <w:pPr>
              <w:spacing w:line="240" w:lineRule="auto"/>
              <w:jc w:val="center"/>
              <w:rPr>
                <w:rFonts w:cs="宋体"/>
                <w:sz w:val="15"/>
                <w:szCs w:val="15"/>
              </w:rPr>
            </w:pPr>
            <w:r>
              <w:rPr>
                <w:rFonts w:hint="eastAsia" w:cs="宋体"/>
                <w:sz w:val="15"/>
                <w:szCs w:val="15"/>
              </w:rPr>
              <w:t>三级</w:t>
            </w:r>
          </w:p>
        </w:tc>
      </w:tr>
    </w:tbl>
    <w:p>
      <w:pPr>
        <w:spacing w:line="240" w:lineRule="auto"/>
        <w:ind w:left="-6"/>
        <w:jc w:val="center"/>
        <w:rPr>
          <w:rFonts w:eastAsia="黑体" w:cs="黑体"/>
          <w:bCs/>
          <w:sz w:val="18"/>
          <w:szCs w:val="18"/>
        </w:rPr>
      </w:pPr>
    </w:p>
    <w:p>
      <w:pPr>
        <w:spacing w:line="240" w:lineRule="auto"/>
        <w:ind w:left="-6"/>
        <w:jc w:val="center"/>
        <w:rPr>
          <w:rFonts w:eastAsia="黑体" w:cs="黑体"/>
          <w:bCs/>
          <w:sz w:val="18"/>
          <w:szCs w:val="18"/>
        </w:rPr>
      </w:pPr>
    </w:p>
    <w:p>
      <w:pPr>
        <w:spacing w:line="240" w:lineRule="auto"/>
        <w:ind w:left="-6"/>
        <w:jc w:val="center"/>
      </w:pPr>
      <w:r>
        <w:rPr>
          <w:rFonts w:hint="eastAsia" w:eastAsia="黑体" w:cs="黑体"/>
          <w:bCs/>
          <w:sz w:val="18"/>
          <w:szCs w:val="18"/>
        </w:rPr>
        <w:t>续表</w:t>
      </w:r>
      <w:r>
        <w:rPr>
          <w:rFonts w:eastAsia="黑体" w:cs="黑体"/>
          <w:bCs/>
          <w:sz w:val="18"/>
          <w:szCs w:val="18"/>
        </w:rPr>
        <w:t>5</w:t>
      </w:r>
      <w:r>
        <w:rPr>
          <w:rFonts w:ascii="宋体" w:hAnsi="宋体" w:eastAsia="黑体" w:cs="黑体"/>
          <w:b/>
          <w:bCs/>
          <w:szCs w:val="18"/>
        </w:rPr>
        <w:t>.</w:t>
      </w:r>
      <w:r>
        <w:rPr>
          <w:rFonts w:eastAsia="黑体" w:cs="黑体"/>
          <w:bCs/>
          <w:sz w:val="18"/>
          <w:szCs w:val="18"/>
        </w:rPr>
        <w:t>2</w:t>
      </w:r>
      <w:r>
        <w:rPr>
          <w:rFonts w:ascii="宋体" w:hAnsi="宋体" w:eastAsia="黑体" w:cs="黑体"/>
          <w:b/>
          <w:bCs/>
          <w:szCs w:val="18"/>
        </w:rPr>
        <w:t>.</w:t>
      </w:r>
      <w:r>
        <w:rPr>
          <w:rFonts w:eastAsia="黑体" w:cs="黑体"/>
          <w:bCs/>
          <w:sz w:val="18"/>
          <w:szCs w:val="18"/>
        </w:rPr>
        <w:t xml:space="preserve">4  </w:t>
      </w:r>
      <w:r>
        <w:rPr>
          <w:rFonts w:hint="eastAsia" w:eastAsia="黑体" w:cs="黑体"/>
          <w:bCs/>
          <w:sz w:val="18"/>
          <w:szCs w:val="18"/>
        </w:rPr>
        <w:t>抗震类别为丙类的结构抗震等级</w:t>
      </w:r>
    </w:p>
    <w:tbl>
      <w:tblPr>
        <w:tblStyle w:val="19"/>
        <w:tblW w:w="4989" w:type="pct"/>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49"/>
        <w:gridCol w:w="1294"/>
        <w:gridCol w:w="3232"/>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58" w:type="dxa"/>
            <w:vAlign w:val="center"/>
          </w:tcPr>
          <w:p>
            <w:pPr>
              <w:spacing w:line="240" w:lineRule="auto"/>
              <w:ind w:firstLine="300"/>
              <w:jc w:val="center"/>
              <w:rPr>
                <w:rFonts w:cs="宋体"/>
                <w:sz w:val="15"/>
                <w:szCs w:val="15"/>
              </w:rPr>
            </w:pPr>
            <w:r>
              <w:rPr>
                <w:rFonts w:hint="eastAsia" w:cs="宋体"/>
                <w:sz w:val="15"/>
                <w:szCs w:val="15"/>
              </w:rPr>
              <w:t>结构类型</w:t>
            </w:r>
          </w:p>
        </w:tc>
        <w:tc>
          <w:tcPr>
            <w:tcW w:w="1260" w:type="dxa"/>
            <w:vAlign w:val="center"/>
          </w:tcPr>
          <w:p>
            <w:pPr>
              <w:spacing w:line="240" w:lineRule="auto"/>
              <w:ind w:firstLine="300"/>
              <w:jc w:val="center"/>
              <w:rPr>
                <w:rFonts w:cs="宋体"/>
                <w:sz w:val="15"/>
                <w:szCs w:val="15"/>
              </w:rPr>
            </w:pPr>
            <w:r>
              <w:rPr>
                <w:rFonts w:hint="eastAsia" w:cs="宋体"/>
                <w:sz w:val="15"/>
                <w:szCs w:val="15"/>
              </w:rPr>
              <w:t>建筑高度</w:t>
            </w:r>
          </w:p>
        </w:tc>
        <w:tc>
          <w:tcPr>
            <w:tcW w:w="3148" w:type="dxa"/>
            <w:vAlign w:val="center"/>
          </w:tcPr>
          <w:p>
            <w:pPr>
              <w:spacing w:line="240" w:lineRule="auto"/>
              <w:ind w:firstLine="300"/>
              <w:jc w:val="center"/>
              <w:rPr>
                <w:rFonts w:cs="宋体"/>
                <w:sz w:val="15"/>
                <w:szCs w:val="15"/>
              </w:rPr>
            </w:pPr>
            <w:r>
              <w:rPr>
                <w:rFonts w:hint="eastAsia" w:cs="宋体"/>
                <w:sz w:val="15"/>
                <w:szCs w:val="15"/>
              </w:rPr>
              <w:t>结构部位</w:t>
            </w:r>
          </w:p>
        </w:tc>
        <w:tc>
          <w:tcPr>
            <w:tcW w:w="1348" w:type="dxa"/>
            <w:vAlign w:val="center"/>
          </w:tcPr>
          <w:p>
            <w:pPr>
              <w:spacing w:line="240" w:lineRule="auto"/>
              <w:ind w:firstLine="300"/>
              <w:jc w:val="center"/>
              <w:rPr>
                <w:rFonts w:cs="宋体"/>
                <w:sz w:val="15"/>
                <w:szCs w:val="15"/>
              </w:rPr>
            </w:pPr>
            <w:r>
              <w:rPr>
                <w:rFonts w:hint="eastAsia" w:cs="宋体"/>
                <w:sz w:val="15"/>
                <w:szCs w:val="15"/>
              </w:rPr>
              <w:t>抗震等级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58" w:type="dxa"/>
            <w:vMerge w:val="restart"/>
            <w:vAlign w:val="center"/>
          </w:tcPr>
          <w:p>
            <w:pPr>
              <w:spacing w:line="240" w:lineRule="auto"/>
              <w:jc w:val="center"/>
              <w:rPr>
                <w:rFonts w:cs="宋体"/>
                <w:sz w:val="15"/>
                <w:szCs w:val="15"/>
              </w:rPr>
            </w:pPr>
            <w:r>
              <w:rPr>
                <w:rFonts w:hint="eastAsia" w:cs="宋体"/>
                <w:sz w:val="15"/>
                <w:szCs w:val="15"/>
              </w:rPr>
              <w:t>巨型钢框架结构-双钢板混凝土剪力墙（支撑）</w:t>
            </w:r>
          </w:p>
        </w:tc>
        <w:tc>
          <w:tcPr>
            <w:tcW w:w="1260" w:type="dxa"/>
            <w:vMerge w:val="restart"/>
            <w:vAlign w:val="center"/>
          </w:tcPr>
          <w:p>
            <w:pPr>
              <w:spacing w:line="240" w:lineRule="auto"/>
              <w:jc w:val="center"/>
              <w:rPr>
                <w:rFonts w:cs="宋体"/>
                <w:sz w:val="15"/>
                <w:szCs w:val="15"/>
              </w:rPr>
            </w:pPr>
            <w:r>
              <w:rPr>
                <w:rFonts w:hint="eastAsia" w:cs="宋体"/>
                <w:sz w:val="15"/>
                <w:szCs w:val="15"/>
              </w:rPr>
              <w:t>&gt;</w:t>
            </w:r>
            <w:r>
              <w:rPr>
                <w:rFonts w:cs="宋体"/>
                <w:sz w:val="15"/>
                <w:szCs w:val="15"/>
              </w:rPr>
              <w:t>120m</w:t>
            </w:r>
          </w:p>
        </w:tc>
        <w:tc>
          <w:tcPr>
            <w:tcW w:w="3148" w:type="dxa"/>
          </w:tcPr>
          <w:p>
            <w:pPr>
              <w:spacing w:line="240" w:lineRule="auto"/>
              <w:jc w:val="center"/>
              <w:rPr>
                <w:rFonts w:cs="宋体"/>
                <w:sz w:val="15"/>
                <w:szCs w:val="15"/>
              </w:rPr>
            </w:pPr>
            <w:r>
              <w:rPr>
                <w:rFonts w:hint="eastAsia" w:cs="宋体"/>
                <w:sz w:val="15"/>
                <w:szCs w:val="15"/>
              </w:rPr>
              <w:t>主框架柱、支撑、主框架梁</w:t>
            </w:r>
          </w:p>
        </w:tc>
        <w:tc>
          <w:tcPr>
            <w:tcW w:w="1348" w:type="dxa"/>
          </w:tcPr>
          <w:p>
            <w:pPr>
              <w:spacing w:line="240" w:lineRule="auto"/>
              <w:jc w:val="center"/>
              <w:rPr>
                <w:rFonts w:cs="宋体"/>
                <w:sz w:val="15"/>
                <w:szCs w:val="15"/>
              </w:rPr>
            </w:pPr>
            <w:r>
              <w:rPr>
                <w:rFonts w:hint="eastAsia" w:cs="宋体"/>
                <w:sz w:val="15"/>
                <w:szCs w:val="15"/>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58" w:type="dxa"/>
            <w:vMerge w:val="continue"/>
            <w:vAlign w:val="center"/>
          </w:tcPr>
          <w:p>
            <w:pPr>
              <w:spacing w:line="240" w:lineRule="auto"/>
              <w:jc w:val="center"/>
              <w:rPr>
                <w:rFonts w:cs="宋体"/>
                <w:sz w:val="15"/>
                <w:szCs w:val="15"/>
              </w:rPr>
            </w:pPr>
          </w:p>
        </w:tc>
        <w:tc>
          <w:tcPr>
            <w:tcW w:w="1260" w:type="dxa"/>
            <w:vMerge w:val="continue"/>
            <w:vAlign w:val="center"/>
          </w:tcPr>
          <w:p>
            <w:pPr>
              <w:spacing w:line="240" w:lineRule="auto"/>
              <w:jc w:val="center"/>
              <w:rPr>
                <w:rFonts w:cs="宋体"/>
                <w:sz w:val="15"/>
                <w:szCs w:val="15"/>
              </w:rPr>
            </w:pPr>
          </w:p>
        </w:tc>
        <w:tc>
          <w:tcPr>
            <w:tcW w:w="3148" w:type="dxa"/>
          </w:tcPr>
          <w:p>
            <w:pPr>
              <w:spacing w:line="240" w:lineRule="auto"/>
              <w:jc w:val="center"/>
              <w:rPr>
                <w:rFonts w:cs="宋体"/>
                <w:sz w:val="15"/>
                <w:szCs w:val="15"/>
              </w:rPr>
            </w:pPr>
            <w:r>
              <w:rPr>
                <w:rFonts w:hint="eastAsia" w:cs="宋体"/>
                <w:sz w:val="15"/>
                <w:szCs w:val="15"/>
              </w:rPr>
              <w:t>核心筒、剪力墙</w:t>
            </w:r>
          </w:p>
        </w:tc>
        <w:tc>
          <w:tcPr>
            <w:tcW w:w="1348" w:type="dxa"/>
          </w:tcPr>
          <w:p>
            <w:pPr>
              <w:spacing w:line="240" w:lineRule="auto"/>
              <w:jc w:val="center"/>
              <w:rPr>
                <w:rFonts w:cs="宋体"/>
                <w:sz w:val="15"/>
                <w:szCs w:val="15"/>
              </w:rPr>
            </w:pPr>
            <w:r>
              <w:rPr>
                <w:rFonts w:hint="eastAsia" w:cs="宋体"/>
                <w:sz w:val="15"/>
                <w:szCs w:val="15"/>
              </w:rPr>
              <w:t>特一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458" w:type="dxa"/>
            <w:vMerge w:val="continue"/>
            <w:vAlign w:val="center"/>
          </w:tcPr>
          <w:p>
            <w:pPr>
              <w:spacing w:line="240" w:lineRule="auto"/>
              <w:jc w:val="center"/>
              <w:rPr>
                <w:rFonts w:cs="宋体"/>
                <w:sz w:val="15"/>
                <w:szCs w:val="15"/>
              </w:rPr>
            </w:pPr>
          </w:p>
        </w:tc>
        <w:tc>
          <w:tcPr>
            <w:tcW w:w="1260" w:type="dxa"/>
            <w:vMerge w:val="continue"/>
            <w:vAlign w:val="center"/>
          </w:tcPr>
          <w:p>
            <w:pPr>
              <w:spacing w:line="240" w:lineRule="auto"/>
              <w:jc w:val="center"/>
              <w:rPr>
                <w:rFonts w:cs="宋体"/>
                <w:sz w:val="15"/>
                <w:szCs w:val="15"/>
              </w:rPr>
            </w:pPr>
          </w:p>
        </w:tc>
        <w:tc>
          <w:tcPr>
            <w:tcW w:w="3148" w:type="dxa"/>
            <w:vAlign w:val="center"/>
          </w:tcPr>
          <w:p>
            <w:pPr>
              <w:spacing w:line="240" w:lineRule="auto"/>
              <w:jc w:val="center"/>
              <w:rPr>
                <w:rFonts w:cs="宋体"/>
                <w:sz w:val="15"/>
                <w:szCs w:val="15"/>
              </w:rPr>
            </w:pPr>
            <w:r>
              <w:rPr>
                <w:rFonts w:hint="eastAsia" w:cs="宋体"/>
                <w:sz w:val="15"/>
                <w:szCs w:val="15"/>
              </w:rPr>
              <w:t>次框架柱、次框架梁</w:t>
            </w:r>
          </w:p>
        </w:tc>
        <w:tc>
          <w:tcPr>
            <w:tcW w:w="1348" w:type="dxa"/>
            <w:vAlign w:val="center"/>
          </w:tcPr>
          <w:p>
            <w:pPr>
              <w:spacing w:line="240" w:lineRule="auto"/>
              <w:jc w:val="center"/>
              <w:rPr>
                <w:rFonts w:cs="宋体"/>
                <w:sz w:val="15"/>
                <w:szCs w:val="15"/>
              </w:rPr>
            </w:pPr>
            <w:r>
              <w:rPr>
                <w:rFonts w:hint="eastAsia" w:cs="宋体"/>
                <w:sz w:val="15"/>
                <w:szCs w:val="15"/>
              </w:rPr>
              <w:t>三级</w:t>
            </w:r>
          </w:p>
        </w:tc>
      </w:tr>
    </w:tbl>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5 </w:t>
      </w:r>
      <w:r>
        <w:rPr>
          <w:rFonts w:hint="eastAsia"/>
          <w:bCs/>
          <w:szCs w:val="21"/>
        </w:rPr>
        <w:t xml:space="preserve"> 基本风压值及风荷载体型系数应按广东省标准《建筑结构荷载规范》DBJ</w:t>
      </w:r>
      <w:r>
        <w:rPr>
          <w:bCs/>
          <w:szCs w:val="21"/>
        </w:rPr>
        <w:t xml:space="preserve"> </w:t>
      </w:r>
      <w:r>
        <w:rPr>
          <w:rFonts w:hint="eastAsia"/>
          <w:bCs/>
          <w:szCs w:val="21"/>
        </w:rPr>
        <w:t>15-101确定，并应符合下列规定：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当高度大于60m的高层钢结构住宅结构承载力设计时，风压值应按基本风压乘以1</w:t>
      </w:r>
      <w:r>
        <w:rPr>
          <w:rFonts w:hint="eastAsia" w:ascii="宋体" w:hAnsi="宋体"/>
          <w:bCs/>
          <w:szCs w:val="21"/>
        </w:rPr>
        <w:t>.</w:t>
      </w:r>
      <w:r>
        <w:rPr>
          <w:rFonts w:hint="eastAsia"/>
          <w:bCs/>
          <w:szCs w:val="21"/>
        </w:rPr>
        <w:t>1采用；</w:t>
      </w:r>
    </w:p>
    <w:p>
      <w:pPr>
        <w:spacing w:line="240" w:lineRule="auto"/>
        <w:ind w:firstLine="421" w:firstLineChars="200"/>
        <w:rPr>
          <w:bCs/>
          <w:szCs w:val="21"/>
        </w:rPr>
      </w:pPr>
      <w:r>
        <w:rPr>
          <w:rFonts w:hint="eastAsia"/>
          <w:b/>
          <w:bCs/>
          <w:szCs w:val="21"/>
        </w:rPr>
        <w:t xml:space="preserve">2 </w:t>
      </w:r>
      <w:r>
        <w:rPr>
          <w:rFonts w:hint="eastAsia"/>
          <w:bCs/>
          <w:szCs w:val="21"/>
        </w:rPr>
        <w:t xml:space="preserve"> 对于群集的高层建筑，间距较近时，应考虑风压的增大效应；</w:t>
      </w:r>
    </w:p>
    <w:p>
      <w:pPr>
        <w:spacing w:line="240" w:lineRule="auto"/>
        <w:ind w:firstLine="421" w:firstLineChars="200"/>
        <w:rPr>
          <w:bCs/>
          <w:szCs w:val="21"/>
        </w:rPr>
      </w:pPr>
      <w:r>
        <w:rPr>
          <w:rFonts w:hint="eastAsia"/>
          <w:b/>
          <w:bCs/>
          <w:szCs w:val="21"/>
        </w:rPr>
        <w:t xml:space="preserve">3 </w:t>
      </w:r>
      <w:r>
        <w:rPr>
          <w:rFonts w:hint="eastAsia"/>
          <w:bCs/>
          <w:szCs w:val="21"/>
        </w:rPr>
        <w:t xml:space="preserve"> 对于圆形平面结构，应根据雷诺数的不同值进行横风向风振验算；</w:t>
      </w:r>
    </w:p>
    <w:p>
      <w:pPr>
        <w:spacing w:line="240" w:lineRule="auto"/>
        <w:ind w:firstLine="421" w:firstLineChars="200"/>
        <w:rPr>
          <w:bCs/>
          <w:szCs w:val="21"/>
        </w:rPr>
      </w:pPr>
      <w:r>
        <w:rPr>
          <w:rFonts w:hint="eastAsia"/>
          <w:b/>
          <w:bCs/>
          <w:szCs w:val="21"/>
        </w:rPr>
        <w:t xml:space="preserve">4 </w:t>
      </w:r>
      <w:r>
        <w:rPr>
          <w:rFonts w:hint="eastAsia"/>
          <w:bCs/>
          <w:szCs w:val="21"/>
        </w:rPr>
        <w:t xml:space="preserve"> 对结构平面凹凸不规则程度较大、立面体型复杂的高层钢结构住宅或高度大于150m的超高层钢结构住宅，宜采用风洞试验确定风荷载。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6  </w:t>
      </w:r>
      <w:r>
        <w:rPr>
          <w:rFonts w:hint="eastAsia"/>
          <w:bCs/>
          <w:szCs w:val="21"/>
        </w:rPr>
        <w:t>当高（超高）层住宅钢结构的高度或高宽比不满足本规程的5</w:t>
      </w:r>
      <w:r>
        <w:rPr>
          <w:rFonts w:hint="eastAsia" w:ascii="宋体" w:hAnsi="宋体"/>
          <w:bCs/>
          <w:szCs w:val="21"/>
        </w:rPr>
        <w:t>.</w:t>
      </w:r>
      <w:r>
        <w:rPr>
          <w:rFonts w:hint="eastAsia"/>
          <w:bCs/>
          <w:szCs w:val="21"/>
        </w:rPr>
        <w:t>3</w:t>
      </w:r>
      <w:r>
        <w:rPr>
          <w:rFonts w:hint="eastAsia" w:ascii="宋体" w:hAnsi="宋体"/>
          <w:bCs/>
          <w:szCs w:val="21"/>
        </w:rPr>
        <w:t>.</w:t>
      </w:r>
      <w:r>
        <w:rPr>
          <w:rFonts w:hint="eastAsia"/>
          <w:bCs/>
          <w:szCs w:val="21"/>
        </w:rPr>
        <w:t>2规定且由抗风设计控制时，除应符合相关标准、规范要求外，尚应满足如下要求：</w:t>
      </w:r>
    </w:p>
    <w:p>
      <w:pPr>
        <w:spacing w:line="240" w:lineRule="auto"/>
        <w:ind w:firstLine="421" w:firstLineChars="200"/>
        <w:rPr>
          <w:bCs/>
          <w:szCs w:val="21"/>
        </w:rPr>
      </w:pPr>
      <w:r>
        <w:rPr>
          <w:rFonts w:hint="eastAsia"/>
          <w:b/>
          <w:bCs/>
          <w:szCs w:val="21"/>
        </w:rPr>
        <w:t xml:space="preserve">1 </w:t>
      </w:r>
      <w:r>
        <w:rPr>
          <w:rFonts w:hint="eastAsia"/>
          <w:bCs/>
          <w:szCs w:val="21"/>
        </w:rPr>
        <w:t xml:space="preserve"> 应进行风气候分析，确定设计风速与风向分布；</w:t>
      </w:r>
    </w:p>
    <w:p>
      <w:pPr>
        <w:spacing w:line="240" w:lineRule="auto"/>
        <w:ind w:firstLine="421" w:firstLineChars="200"/>
        <w:rPr>
          <w:bCs/>
          <w:szCs w:val="21"/>
        </w:rPr>
      </w:pPr>
      <w:r>
        <w:rPr>
          <w:rFonts w:hint="eastAsia"/>
          <w:b/>
          <w:bCs/>
          <w:szCs w:val="21"/>
        </w:rPr>
        <w:t xml:space="preserve">2 </w:t>
      </w:r>
      <w:r>
        <w:rPr>
          <w:rFonts w:hint="eastAsia"/>
          <w:bCs/>
          <w:szCs w:val="21"/>
        </w:rPr>
        <w:t xml:space="preserve"> 应进行空气动力学研究，优化结构外形减小风致响应；</w:t>
      </w:r>
    </w:p>
    <w:p>
      <w:pPr>
        <w:spacing w:line="240" w:lineRule="auto"/>
        <w:ind w:firstLine="421" w:firstLineChars="200"/>
        <w:rPr>
          <w:bCs/>
          <w:szCs w:val="21"/>
        </w:rPr>
      </w:pPr>
      <w:r>
        <w:rPr>
          <w:rFonts w:hint="eastAsia"/>
          <w:b/>
          <w:bCs/>
          <w:szCs w:val="21"/>
        </w:rPr>
        <w:t xml:space="preserve">3 </w:t>
      </w:r>
      <w:r>
        <w:rPr>
          <w:rFonts w:hint="eastAsia"/>
          <w:bCs/>
          <w:szCs w:val="21"/>
        </w:rPr>
        <w:t xml:space="preserve"> 当相邻或周围的建筑对局部区域的风有较大影响时，应考虑如果移除这些建筑物时所产生的影响；</w:t>
      </w:r>
    </w:p>
    <w:p>
      <w:pPr>
        <w:spacing w:line="240" w:lineRule="auto"/>
        <w:ind w:firstLine="421" w:firstLineChars="200"/>
        <w:rPr>
          <w:bCs/>
          <w:szCs w:val="21"/>
        </w:rPr>
      </w:pPr>
      <w:r>
        <w:rPr>
          <w:rFonts w:hint="eastAsia"/>
          <w:b/>
          <w:bCs/>
          <w:szCs w:val="21"/>
        </w:rPr>
        <w:t xml:space="preserve">4 </w:t>
      </w:r>
      <w:r>
        <w:rPr>
          <w:rFonts w:hint="eastAsia"/>
          <w:bCs/>
          <w:szCs w:val="21"/>
        </w:rPr>
        <w:t xml:space="preserve"> 分析时应明确考虑P-Δ-δ效应；</w:t>
      </w:r>
    </w:p>
    <w:p>
      <w:pPr>
        <w:spacing w:line="240" w:lineRule="auto"/>
        <w:ind w:firstLine="421" w:firstLineChars="200"/>
        <w:rPr>
          <w:bCs/>
          <w:szCs w:val="21"/>
        </w:rPr>
      </w:pPr>
      <w:r>
        <w:rPr>
          <w:rFonts w:hint="eastAsia"/>
          <w:b/>
          <w:bCs/>
          <w:szCs w:val="21"/>
        </w:rPr>
        <w:t xml:space="preserve">5  </w:t>
      </w:r>
      <w:r>
        <w:rPr>
          <w:rFonts w:hint="eastAsia"/>
          <w:bCs/>
          <w:szCs w:val="21"/>
        </w:rPr>
        <w:t>应进行整体抗倾覆验算，对出现受拉的竖向构件与基础的连接应予以加强。</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7  </w:t>
      </w:r>
      <w:r>
        <w:rPr>
          <w:rFonts w:hint="eastAsia"/>
          <w:bCs/>
          <w:szCs w:val="21"/>
        </w:rPr>
        <w:t>在竖向荷载（恒载+活载）、多遇地震、50年重现期风压及温度等组合作用下，钢构件应力比不宜大于表5</w:t>
      </w:r>
      <w:r>
        <w:rPr>
          <w:rFonts w:hint="eastAsia" w:ascii="宋体" w:hAnsi="宋体"/>
          <w:bCs/>
          <w:szCs w:val="21"/>
        </w:rPr>
        <w:t>.</w:t>
      </w:r>
      <w:r>
        <w:rPr>
          <w:rFonts w:hint="eastAsia"/>
          <w:bCs/>
          <w:szCs w:val="21"/>
        </w:rPr>
        <w:t>2</w:t>
      </w:r>
      <w:r>
        <w:rPr>
          <w:rFonts w:hint="eastAsia" w:ascii="宋体" w:hAnsi="宋体"/>
          <w:bCs/>
          <w:szCs w:val="21"/>
        </w:rPr>
        <w:t>.</w:t>
      </w:r>
      <w:r>
        <w:rPr>
          <w:rFonts w:hint="eastAsia"/>
          <w:bCs/>
          <w:szCs w:val="21"/>
        </w:rPr>
        <w:t>7中的限值。</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Cs/>
          <w:sz w:val="18"/>
          <w:szCs w:val="18"/>
        </w:rPr>
        <w:t>5</w:t>
      </w:r>
      <w:r>
        <w:rPr>
          <w:rFonts w:ascii="宋体" w:hAnsi="宋体" w:eastAsia="黑体" w:cs="黑体"/>
          <w:b/>
          <w:bCs/>
          <w:sz w:val="18"/>
          <w:szCs w:val="18"/>
        </w:rPr>
        <w:t>.</w:t>
      </w:r>
      <w:r>
        <w:rPr>
          <w:rFonts w:eastAsia="黑体" w:cs="黑体"/>
          <w:bCs/>
          <w:sz w:val="18"/>
          <w:szCs w:val="18"/>
        </w:rPr>
        <w:t>2</w:t>
      </w:r>
      <w:r>
        <w:rPr>
          <w:rFonts w:ascii="宋体" w:hAnsi="宋体" w:eastAsia="黑体" w:cs="黑体"/>
          <w:b/>
          <w:bCs/>
          <w:sz w:val="18"/>
          <w:szCs w:val="18"/>
        </w:rPr>
        <w:t>.</w:t>
      </w:r>
      <w:r>
        <w:rPr>
          <w:rFonts w:eastAsia="黑体" w:cs="黑体"/>
          <w:bCs/>
          <w:sz w:val="18"/>
          <w:szCs w:val="18"/>
        </w:rPr>
        <w:t xml:space="preserve">7  </w:t>
      </w:r>
      <w:r>
        <w:rPr>
          <w:rFonts w:hint="eastAsia" w:eastAsia="黑体" w:cs="黑体"/>
          <w:bCs/>
          <w:sz w:val="18"/>
          <w:szCs w:val="18"/>
        </w:rPr>
        <w:t>钢构件应力比限值</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40"/>
        <w:gridCol w:w="4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8" w:type="dxa"/>
            <w:vAlign w:val="center"/>
          </w:tcPr>
          <w:p>
            <w:pPr>
              <w:pStyle w:val="36"/>
              <w:rPr>
                <w:color w:val="auto"/>
                <w:sz w:val="15"/>
                <w:szCs w:val="15"/>
              </w:rPr>
            </w:pPr>
            <w:r>
              <w:rPr>
                <w:rFonts w:hint="eastAsia"/>
                <w:color w:val="auto"/>
                <w:sz w:val="15"/>
                <w:szCs w:val="15"/>
              </w:rPr>
              <w:t>钢构件类型</w:t>
            </w:r>
          </w:p>
        </w:tc>
        <w:tc>
          <w:tcPr>
            <w:tcW w:w="4148" w:type="dxa"/>
            <w:vAlign w:val="center"/>
          </w:tcPr>
          <w:p>
            <w:pPr>
              <w:pStyle w:val="36"/>
              <w:rPr>
                <w:color w:val="auto"/>
                <w:sz w:val="15"/>
                <w:szCs w:val="15"/>
              </w:rPr>
            </w:pPr>
            <w:r>
              <w:rPr>
                <w:rFonts w:hint="eastAsia"/>
                <w:color w:val="auto"/>
                <w:sz w:val="15"/>
                <w:szCs w:val="15"/>
              </w:rPr>
              <w:t>应力比限制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8" w:type="dxa"/>
            <w:vAlign w:val="center"/>
          </w:tcPr>
          <w:p>
            <w:pPr>
              <w:pStyle w:val="36"/>
              <w:rPr>
                <w:color w:val="auto"/>
                <w:sz w:val="15"/>
                <w:szCs w:val="15"/>
              </w:rPr>
            </w:pPr>
            <w:r>
              <w:rPr>
                <w:rFonts w:hint="eastAsia"/>
                <w:color w:val="auto"/>
                <w:sz w:val="15"/>
                <w:szCs w:val="15"/>
              </w:rPr>
              <w:t>钢柱、钢支撑、钢管混凝土中的钢管、</w:t>
            </w:r>
          </w:p>
          <w:p>
            <w:pPr>
              <w:pStyle w:val="36"/>
              <w:rPr>
                <w:color w:val="auto"/>
                <w:sz w:val="15"/>
                <w:szCs w:val="15"/>
              </w:rPr>
            </w:pPr>
            <w:r>
              <w:rPr>
                <w:rFonts w:hint="eastAsia"/>
                <w:color w:val="auto"/>
                <w:sz w:val="15"/>
                <w:szCs w:val="15"/>
              </w:rPr>
              <w:t>钢板剪力墙中的钢板、转换钢梁</w:t>
            </w:r>
          </w:p>
        </w:tc>
        <w:tc>
          <w:tcPr>
            <w:tcW w:w="4148"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8" w:type="dxa"/>
            <w:vAlign w:val="center"/>
          </w:tcPr>
          <w:p>
            <w:pPr>
              <w:pStyle w:val="36"/>
              <w:rPr>
                <w:color w:val="auto"/>
                <w:sz w:val="15"/>
                <w:szCs w:val="15"/>
              </w:rPr>
            </w:pPr>
            <w:r>
              <w:rPr>
                <w:rFonts w:hint="eastAsia"/>
                <w:color w:val="auto"/>
                <w:sz w:val="15"/>
                <w:szCs w:val="15"/>
              </w:rPr>
              <w:t>主钢梁</w:t>
            </w:r>
          </w:p>
        </w:tc>
        <w:tc>
          <w:tcPr>
            <w:tcW w:w="4148"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8" w:type="dxa"/>
            <w:vAlign w:val="center"/>
          </w:tcPr>
          <w:p>
            <w:pPr>
              <w:pStyle w:val="36"/>
              <w:rPr>
                <w:color w:val="auto"/>
                <w:sz w:val="15"/>
                <w:szCs w:val="15"/>
              </w:rPr>
            </w:pPr>
            <w:r>
              <w:rPr>
                <w:rFonts w:hint="eastAsia"/>
                <w:color w:val="auto"/>
                <w:sz w:val="15"/>
                <w:szCs w:val="15"/>
              </w:rPr>
              <w:t>次钢梁</w:t>
            </w:r>
          </w:p>
        </w:tc>
        <w:tc>
          <w:tcPr>
            <w:tcW w:w="4148"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8" w:type="dxa"/>
            <w:vAlign w:val="center"/>
          </w:tcPr>
          <w:p>
            <w:pPr>
              <w:pStyle w:val="36"/>
              <w:rPr>
                <w:color w:val="auto"/>
                <w:sz w:val="15"/>
                <w:szCs w:val="15"/>
              </w:rPr>
            </w:pPr>
            <w:r>
              <w:rPr>
                <w:rFonts w:hint="eastAsia"/>
                <w:color w:val="auto"/>
                <w:sz w:val="15"/>
                <w:szCs w:val="15"/>
              </w:rPr>
              <w:t>主要钢结构节点</w:t>
            </w:r>
          </w:p>
        </w:tc>
        <w:tc>
          <w:tcPr>
            <w:tcW w:w="4148"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75</w:t>
            </w:r>
          </w:p>
        </w:tc>
      </w:tr>
    </w:tbl>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8 </w:t>
      </w:r>
      <w:r>
        <w:rPr>
          <w:rFonts w:hint="eastAsia"/>
          <w:bCs/>
          <w:szCs w:val="21"/>
        </w:rPr>
        <w:t xml:space="preserve"> 考虑地震组合作用的矩形钢管混凝土柱轴压比不宜大于表5</w:t>
      </w:r>
      <w:r>
        <w:rPr>
          <w:rFonts w:hint="eastAsia" w:ascii="宋体" w:hAnsi="宋体"/>
          <w:bCs/>
          <w:szCs w:val="21"/>
        </w:rPr>
        <w:t>.</w:t>
      </w:r>
      <w:r>
        <w:rPr>
          <w:rFonts w:hint="eastAsia"/>
          <w:bCs/>
          <w:szCs w:val="21"/>
        </w:rPr>
        <w:t>2</w:t>
      </w:r>
      <w:r>
        <w:rPr>
          <w:rFonts w:hint="eastAsia" w:ascii="宋体" w:hAnsi="宋体"/>
          <w:bCs/>
          <w:szCs w:val="21"/>
        </w:rPr>
        <w:t>.</w:t>
      </w:r>
      <w:r>
        <w:rPr>
          <w:rFonts w:hint="eastAsia"/>
          <w:bCs/>
          <w:szCs w:val="21"/>
        </w:rPr>
        <w:t>8中的限值。</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Cs/>
          <w:sz w:val="18"/>
          <w:szCs w:val="18"/>
        </w:rPr>
        <w:t>5</w:t>
      </w:r>
      <w:r>
        <w:rPr>
          <w:rFonts w:ascii="宋体" w:hAnsi="宋体" w:eastAsia="黑体" w:cs="黑体"/>
          <w:b/>
          <w:bCs/>
          <w:sz w:val="18"/>
          <w:szCs w:val="18"/>
        </w:rPr>
        <w:t>.</w:t>
      </w:r>
      <w:r>
        <w:rPr>
          <w:rFonts w:eastAsia="黑体" w:cs="黑体"/>
          <w:bCs/>
          <w:sz w:val="18"/>
          <w:szCs w:val="18"/>
        </w:rPr>
        <w:t>2</w:t>
      </w:r>
      <w:r>
        <w:rPr>
          <w:rFonts w:ascii="宋体" w:hAnsi="宋体" w:eastAsia="黑体" w:cs="黑体"/>
          <w:b/>
          <w:bCs/>
          <w:sz w:val="18"/>
          <w:szCs w:val="18"/>
        </w:rPr>
        <w:t>.</w:t>
      </w:r>
      <w:r>
        <w:rPr>
          <w:rFonts w:eastAsia="黑体" w:cs="黑体"/>
          <w:bCs/>
          <w:sz w:val="18"/>
          <w:szCs w:val="18"/>
        </w:rPr>
        <w:t xml:space="preserve">8  </w:t>
      </w:r>
      <w:r>
        <w:rPr>
          <w:rFonts w:hint="eastAsia" w:eastAsia="黑体" w:cs="黑体"/>
          <w:bCs/>
          <w:sz w:val="18"/>
          <w:szCs w:val="18"/>
        </w:rPr>
        <w:t>考虑地震组合作用的矩形</w:t>
      </w:r>
      <w:r>
        <w:rPr>
          <w:rFonts w:eastAsia="黑体" w:cs="黑体"/>
          <w:bCs/>
          <w:sz w:val="18"/>
          <w:szCs w:val="18"/>
        </w:rPr>
        <w:t>钢管混凝土柱轴压比</w:t>
      </w:r>
      <w:r>
        <w:rPr>
          <w:rFonts w:hint="eastAsia" w:eastAsia="黑体" w:cs="黑体"/>
          <w:bCs/>
          <w:sz w:val="18"/>
          <w:szCs w:val="18"/>
        </w:rPr>
        <w:t>限制</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721"/>
        <w:gridCol w:w="1457"/>
        <w:gridCol w:w="1458"/>
        <w:gridCol w:w="1458"/>
        <w:gridCol w:w="13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25" w:type="dxa"/>
            <w:vMerge w:val="restart"/>
            <w:vAlign w:val="center"/>
          </w:tcPr>
          <w:p>
            <w:pPr>
              <w:pStyle w:val="36"/>
              <w:rPr>
                <w:color w:val="auto"/>
                <w:sz w:val="15"/>
                <w:szCs w:val="15"/>
              </w:rPr>
            </w:pPr>
            <w:r>
              <w:rPr>
                <w:rFonts w:hint="eastAsia"/>
                <w:color w:val="auto"/>
                <w:sz w:val="15"/>
                <w:szCs w:val="15"/>
              </w:rPr>
              <w:t>结构类型</w:t>
            </w:r>
          </w:p>
        </w:tc>
        <w:tc>
          <w:tcPr>
            <w:tcW w:w="5609" w:type="dxa"/>
            <w:gridSpan w:val="4"/>
            <w:vAlign w:val="center"/>
          </w:tcPr>
          <w:p>
            <w:pPr>
              <w:pStyle w:val="36"/>
              <w:rPr>
                <w:color w:val="auto"/>
                <w:sz w:val="15"/>
                <w:szCs w:val="15"/>
              </w:rPr>
            </w:pPr>
            <w:r>
              <w:rPr>
                <w:rFonts w:hint="eastAsia"/>
                <w:color w:val="auto"/>
                <w:sz w:val="15"/>
                <w:szCs w:val="15"/>
              </w:rPr>
              <w:t>抗震等级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25" w:type="dxa"/>
            <w:vMerge w:val="continue"/>
            <w:vAlign w:val="center"/>
          </w:tcPr>
          <w:p>
            <w:pPr>
              <w:pStyle w:val="36"/>
              <w:rPr>
                <w:color w:val="auto"/>
                <w:sz w:val="15"/>
                <w:szCs w:val="15"/>
              </w:rPr>
            </w:pPr>
          </w:p>
        </w:tc>
        <w:tc>
          <w:tcPr>
            <w:tcW w:w="1419" w:type="dxa"/>
            <w:vAlign w:val="center"/>
          </w:tcPr>
          <w:p>
            <w:pPr>
              <w:pStyle w:val="36"/>
              <w:rPr>
                <w:color w:val="auto"/>
                <w:sz w:val="15"/>
                <w:szCs w:val="15"/>
              </w:rPr>
            </w:pPr>
            <w:r>
              <w:rPr>
                <w:rFonts w:hint="eastAsia"/>
                <w:color w:val="auto"/>
                <w:sz w:val="15"/>
                <w:szCs w:val="15"/>
              </w:rPr>
              <w:t>一级</w:t>
            </w:r>
          </w:p>
        </w:tc>
        <w:tc>
          <w:tcPr>
            <w:tcW w:w="1420" w:type="dxa"/>
            <w:vAlign w:val="center"/>
          </w:tcPr>
          <w:p>
            <w:pPr>
              <w:pStyle w:val="36"/>
              <w:rPr>
                <w:color w:val="auto"/>
                <w:sz w:val="15"/>
                <w:szCs w:val="15"/>
              </w:rPr>
            </w:pPr>
            <w:r>
              <w:rPr>
                <w:rFonts w:hint="eastAsia"/>
                <w:color w:val="auto"/>
                <w:sz w:val="15"/>
                <w:szCs w:val="15"/>
              </w:rPr>
              <w:t>二级</w:t>
            </w:r>
          </w:p>
        </w:tc>
        <w:tc>
          <w:tcPr>
            <w:tcW w:w="1420" w:type="dxa"/>
            <w:vAlign w:val="center"/>
          </w:tcPr>
          <w:p>
            <w:pPr>
              <w:pStyle w:val="36"/>
              <w:rPr>
                <w:color w:val="auto"/>
                <w:sz w:val="15"/>
                <w:szCs w:val="15"/>
              </w:rPr>
            </w:pPr>
            <w:r>
              <w:rPr>
                <w:rFonts w:hint="eastAsia"/>
                <w:color w:val="auto"/>
                <w:sz w:val="15"/>
                <w:szCs w:val="15"/>
              </w:rPr>
              <w:t>三级</w:t>
            </w:r>
          </w:p>
        </w:tc>
        <w:tc>
          <w:tcPr>
            <w:tcW w:w="1350" w:type="dxa"/>
            <w:vAlign w:val="center"/>
          </w:tcPr>
          <w:p>
            <w:pPr>
              <w:pStyle w:val="36"/>
              <w:rPr>
                <w:color w:val="auto"/>
                <w:sz w:val="15"/>
                <w:szCs w:val="15"/>
              </w:rPr>
            </w:pPr>
            <w:r>
              <w:rPr>
                <w:rFonts w:hint="eastAsia"/>
                <w:color w:val="auto"/>
                <w:sz w:val="15"/>
                <w:szCs w:val="15"/>
              </w:rPr>
              <w:t>四级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25" w:type="dxa"/>
            <w:vAlign w:val="center"/>
          </w:tcPr>
          <w:p>
            <w:pPr>
              <w:pStyle w:val="36"/>
              <w:rPr>
                <w:color w:val="auto"/>
                <w:sz w:val="15"/>
                <w:szCs w:val="15"/>
              </w:rPr>
            </w:pPr>
            <w:r>
              <w:rPr>
                <w:rFonts w:hint="eastAsia"/>
                <w:color w:val="auto"/>
                <w:sz w:val="15"/>
                <w:szCs w:val="15"/>
              </w:rPr>
              <w:t>钢框架结构</w:t>
            </w:r>
          </w:p>
        </w:tc>
        <w:tc>
          <w:tcPr>
            <w:tcW w:w="1419"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65</w:t>
            </w:r>
          </w:p>
        </w:tc>
        <w:tc>
          <w:tcPr>
            <w:tcW w:w="1420"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75</w:t>
            </w:r>
          </w:p>
        </w:tc>
        <w:tc>
          <w:tcPr>
            <w:tcW w:w="1420"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85</w:t>
            </w:r>
          </w:p>
        </w:tc>
        <w:tc>
          <w:tcPr>
            <w:tcW w:w="1350" w:type="dxa"/>
            <w:vAlign w:val="center"/>
          </w:tcPr>
          <w:p>
            <w:pPr>
              <w:pStyle w:val="36"/>
              <w:rPr>
                <w:color w:val="auto"/>
                <w:sz w:val="15"/>
                <w:szCs w:val="15"/>
              </w:rPr>
            </w:pPr>
            <w:r>
              <w:rPr>
                <w:color w:val="auto"/>
                <w:sz w:val="15"/>
                <w:szCs w:val="15"/>
              </w:rPr>
              <w:t>0</w:t>
            </w:r>
            <w:r>
              <w:rPr>
                <w:rFonts w:ascii="宋体" w:hAnsi="宋体"/>
                <w:b/>
                <w:color w:val="auto"/>
                <w:szCs w:val="15"/>
              </w:rPr>
              <w:t>.</w:t>
            </w:r>
            <w:r>
              <w:rPr>
                <w:color w:val="auto"/>
                <w:sz w:val="15"/>
                <w:szCs w:val="15"/>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25" w:type="dxa"/>
            <w:tcBorders>
              <w:top w:val="single" w:color="auto" w:sz="4" w:space="0"/>
              <w:left w:val="single" w:color="auto" w:sz="12" w:space="0"/>
              <w:bottom w:val="single" w:color="auto" w:sz="12" w:space="0"/>
              <w:right w:val="single" w:color="auto" w:sz="4" w:space="0"/>
            </w:tcBorders>
            <w:vAlign w:val="center"/>
          </w:tcPr>
          <w:p>
            <w:pPr>
              <w:pStyle w:val="36"/>
              <w:rPr>
                <w:color w:val="auto"/>
                <w:sz w:val="15"/>
                <w:szCs w:val="15"/>
              </w:rPr>
            </w:pPr>
            <w:r>
              <w:rPr>
                <w:rFonts w:hint="eastAsia"/>
                <w:color w:val="auto"/>
                <w:sz w:val="15"/>
                <w:szCs w:val="15"/>
              </w:rPr>
              <w:t>钢框架-支撑、钢框架-混凝土核心筒、钢框架-混凝土外筒、钢框架-混凝土剪力墙结构、钢框架-双钢板混凝土剪力墙、巨型钢框架结构-双钢板混凝土剪力墙（支撑）</w:t>
            </w:r>
          </w:p>
        </w:tc>
        <w:tc>
          <w:tcPr>
            <w:tcW w:w="1419" w:type="dxa"/>
            <w:tcBorders>
              <w:top w:val="single" w:color="auto" w:sz="4" w:space="0"/>
              <w:left w:val="single" w:color="auto" w:sz="4" w:space="0"/>
              <w:bottom w:val="single" w:color="auto" w:sz="12" w:space="0"/>
              <w:right w:val="single" w:color="auto" w:sz="4" w:space="0"/>
            </w:tcBorders>
            <w:vAlign w:val="center"/>
          </w:tcPr>
          <w:p>
            <w:pPr>
              <w:pStyle w:val="36"/>
              <w:rPr>
                <w:color w:val="auto"/>
                <w:sz w:val="15"/>
                <w:szCs w:val="15"/>
              </w:rPr>
            </w:pPr>
            <w:r>
              <w:rPr>
                <w:color w:val="auto"/>
                <w:sz w:val="15"/>
                <w:szCs w:val="15"/>
              </w:rPr>
              <w:t>0.70</w:t>
            </w:r>
          </w:p>
        </w:tc>
        <w:tc>
          <w:tcPr>
            <w:tcW w:w="1420" w:type="dxa"/>
            <w:tcBorders>
              <w:top w:val="single" w:color="auto" w:sz="4" w:space="0"/>
              <w:left w:val="single" w:color="auto" w:sz="4" w:space="0"/>
              <w:bottom w:val="single" w:color="auto" w:sz="12" w:space="0"/>
              <w:right w:val="single" w:color="auto" w:sz="4" w:space="0"/>
            </w:tcBorders>
            <w:vAlign w:val="center"/>
          </w:tcPr>
          <w:p>
            <w:pPr>
              <w:pStyle w:val="36"/>
              <w:rPr>
                <w:color w:val="auto"/>
                <w:sz w:val="15"/>
                <w:szCs w:val="15"/>
              </w:rPr>
            </w:pPr>
            <w:r>
              <w:rPr>
                <w:color w:val="auto"/>
                <w:sz w:val="15"/>
                <w:szCs w:val="15"/>
              </w:rPr>
              <w:t>0.75</w:t>
            </w:r>
          </w:p>
        </w:tc>
        <w:tc>
          <w:tcPr>
            <w:tcW w:w="1420" w:type="dxa"/>
            <w:tcBorders>
              <w:top w:val="single" w:color="auto" w:sz="4" w:space="0"/>
              <w:left w:val="single" w:color="auto" w:sz="4" w:space="0"/>
              <w:bottom w:val="single" w:color="auto" w:sz="12" w:space="0"/>
              <w:right w:val="single" w:color="auto" w:sz="4" w:space="0"/>
            </w:tcBorders>
            <w:vAlign w:val="center"/>
          </w:tcPr>
          <w:p>
            <w:pPr>
              <w:pStyle w:val="36"/>
              <w:rPr>
                <w:color w:val="auto"/>
                <w:sz w:val="15"/>
                <w:szCs w:val="15"/>
              </w:rPr>
            </w:pPr>
            <w:r>
              <w:rPr>
                <w:color w:val="auto"/>
                <w:sz w:val="15"/>
                <w:szCs w:val="15"/>
              </w:rPr>
              <w:t>0.80</w:t>
            </w:r>
          </w:p>
        </w:tc>
        <w:tc>
          <w:tcPr>
            <w:tcW w:w="1350" w:type="dxa"/>
            <w:tcBorders>
              <w:top w:val="single" w:color="auto" w:sz="4" w:space="0"/>
              <w:left w:val="single" w:color="auto" w:sz="4" w:space="0"/>
              <w:bottom w:val="single" w:color="auto" w:sz="12" w:space="0"/>
              <w:right w:val="single" w:color="auto" w:sz="12" w:space="0"/>
            </w:tcBorders>
            <w:vAlign w:val="center"/>
          </w:tcPr>
          <w:p>
            <w:pPr>
              <w:pStyle w:val="36"/>
              <w:rPr>
                <w:color w:val="auto"/>
                <w:sz w:val="15"/>
                <w:szCs w:val="15"/>
              </w:rPr>
            </w:pPr>
            <w:r>
              <w:rPr>
                <w:color w:val="auto"/>
                <w:sz w:val="15"/>
                <w:szCs w:val="15"/>
              </w:rPr>
              <w:t>0.85</w:t>
            </w:r>
          </w:p>
        </w:tc>
      </w:tr>
    </w:tbl>
    <w:p>
      <w:pPr>
        <w:spacing w:line="240" w:lineRule="auto"/>
        <w:rPr>
          <w:b/>
          <w:bCs/>
          <w:szCs w:val="21"/>
        </w:rPr>
      </w:pP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9 </w:t>
      </w:r>
      <w:r>
        <w:rPr>
          <w:rFonts w:hint="eastAsia"/>
          <w:bCs/>
          <w:szCs w:val="21"/>
        </w:rPr>
        <w:t xml:space="preserve"> 在50年重现期的风压或多遇地震作用下，结构的层间位移角不宜大于1/400，且在50年重现期的风压作用下结构的顶点位移不宜大于H/550，H为结构总高度。</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10 </w:t>
      </w:r>
      <w:r>
        <w:rPr>
          <w:rFonts w:hint="eastAsia"/>
          <w:bCs/>
          <w:szCs w:val="21"/>
        </w:rPr>
        <w:t xml:space="preserve"> 在罕遇地震作用下，钢结构的层间位移角不应大于1/50，其它混合结构不应大于1/100。</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11 </w:t>
      </w:r>
      <w:r>
        <w:rPr>
          <w:rFonts w:hint="eastAsia"/>
          <w:bCs/>
          <w:szCs w:val="21"/>
        </w:rPr>
        <w:t xml:space="preserve"> 扣除起拱值后，钢梁的挠度不宜大于表5</w:t>
      </w:r>
      <w:r>
        <w:rPr>
          <w:rFonts w:hint="eastAsia" w:ascii="宋体" w:hAnsi="宋体"/>
          <w:bCs/>
          <w:szCs w:val="21"/>
        </w:rPr>
        <w:t>.</w:t>
      </w:r>
      <w:r>
        <w:rPr>
          <w:rFonts w:hint="eastAsia"/>
          <w:bCs/>
          <w:szCs w:val="21"/>
        </w:rPr>
        <w:t>2</w:t>
      </w:r>
      <w:r>
        <w:rPr>
          <w:rFonts w:hint="eastAsia" w:ascii="宋体" w:hAnsi="宋体"/>
          <w:bCs/>
          <w:szCs w:val="21"/>
        </w:rPr>
        <w:t>.</w:t>
      </w:r>
      <w:r>
        <w:rPr>
          <w:bCs/>
          <w:szCs w:val="21"/>
        </w:rPr>
        <w:t>11</w:t>
      </w:r>
      <w:r>
        <w:rPr>
          <w:rFonts w:hint="eastAsia"/>
          <w:bCs/>
          <w:szCs w:val="21"/>
        </w:rPr>
        <w:t>中的限值。</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Cs/>
          <w:sz w:val="18"/>
          <w:szCs w:val="18"/>
        </w:rPr>
        <w:t>5</w:t>
      </w:r>
      <w:r>
        <w:rPr>
          <w:rFonts w:ascii="宋体" w:hAnsi="宋体" w:eastAsia="黑体" w:cs="黑体"/>
          <w:b/>
          <w:bCs/>
          <w:sz w:val="18"/>
          <w:szCs w:val="18"/>
        </w:rPr>
        <w:t>.</w:t>
      </w:r>
      <w:r>
        <w:rPr>
          <w:rFonts w:eastAsia="黑体" w:cs="黑体"/>
          <w:bCs/>
          <w:sz w:val="18"/>
          <w:szCs w:val="18"/>
        </w:rPr>
        <w:t>2</w:t>
      </w:r>
      <w:r>
        <w:rPr>
          <w:rFonts w:ascii="宋体" w:hAnsi="宋体" w:eastAsia="黑体" w:cs="黑体"/>
          <w:b/>
          <w:bCs/>
          <w:sz w:val="18"/>
          <w:szCs w:val="18"/>
        </w:rPr>
        <w:t>.</w:t>
      </w:r>
      <w:r>
        <w:rPr>
          <w:rFonts w:eastAsia="黑体" w:cs="黑体"/>
          <w:bCs/>
          <w:sz w:val="18"/>
          <w:szCs w:val="18"/>
        </w:rPr>
        <w:t xml:space="preserve">11  </w:t>
      </w:r>
      <w:r>
        <w:rPr>
          <w:rFonts w:hint="eastAsia" w:eastAsia="黑体" w:cs="黑体"/>
          <w:bCs/>
          <w:sz w:val="18"/>
          <w:szCs w:val="18"/>
        </w:rPr>
        <w:t>钢梁的挠度限值</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37"/>
        <w:gridCol w:w="3888"/>
        <w:gridCol w:w="36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887" w:type="dxa"/>
            <w:vAlign w:val="center"/>
          </w:tcPr>
          <w:p>
            <w:pPr>
              <w:pStyle w:val="36"/>
              <w:rPr>
                <w:color w:val="auto"/>
                <w:sz w:val="15"/>
                <w:szCs w:val="15"/>
              </w:rPr>
            </w:pPr>
            <w:r>
              <w:rPr>
                <w:rFonts w:hint="eastAsia"/>
                <w:color w:val="auto"/>
                <w:sz w:val="15"/>
                <w:szCs w:val="15"/>
              </w:rPr>
              <w:t>构件类型</w:t>
            </w:r>
          </w:p>
        </w:tc>
        <w:tc>
          <w:tcPr>
            <w:tcW w:w="3787" w:type="dxa"/>
            <w:vAlign w:val="center"/>
          </w:tcPr>
          <w:p>
            <w:pPr>
              <w:pStyle w:val="36"/>
              <w:rPr>
                <w:color w:val="auto"/>
                <w:sz w:val="15"/>
                <w:szCs w:val="15"/>
              </w:rPr>
            </w:pPr>
            <w:r>
              <w:rPr>
                <w:rFonts w:hint="eastAsia"/>
                <w:color w:val="auto"/>
                <w:sz w:val="15"/>
                <w:szCs w:val="15"/>
              </w:rPr>
              <w:t>在永久荷载与可变荷载的标准组合作用下</w:t>
            </w:r>
          </w:p>
        </w:tc>
        <w:tc>
          <w:tcPr>
            <w:tcW w:w="3560" w:type="dxa"/>
            <w:vAlign w:val="center"/>
          </w:tcPr>
          <w:p>
            <w:pPr>
              <w:pStyle w:val="36"/>
              <w:rPr>
                <w:color w:val="auto"/>
                <w:sz w:val="15"/>
                <w:szCs w:val="15"/>
              </w:rPr>
            </w:pPr>
            <w:r>
              <w:rPr>
                <w:rFonts w:hint="eastAsia"/>
                <w:color w:val="auto"/>
                <w:sz w:val="15"/>
                <w:szCs w:val="15"/>
              </w:rPr>
              <w:t>在可变荷载标准值作用下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887" w:type="dxa"/>
            <w:vAlign w:val="center"/>
          </w:tcPr>
          <w:p>
            <w:pPr>
              <w:pStyle w:val="36"/>
              <w:rPr>
                <w:color w:val="auto"/>
                <w:sz w:val="15"/>
                <w:szCs w:val="15"/>
              </w:rPr>
            </w:pPr>
            <w:r>
              <w:rPr>
                <w:rFonts w:hint="eastAsia"/>
                <w:color w:val="auto"/>
                <w:sz w:val="15"/>
                <w:szCs w:val="15"/>
              </w:rPr>
              <w:t>框架梁</w:t>
            </w:r>
          </w:p>
        </w:tc>
        <w:tc>
          <w:tcPr>
            <w:tcW w:w="3787" w:type="dxa"/>
            <w:vAlign w:val="center"/>
          </w:tcPr>
          <w:p>
            <w:pPr>
              <w:pStyle w:val="36"/>
              <w:rPr>
                <w:color w:val="auto"/>
                <w:sz w:val="15"/>
                <w:szCs w:val="15"/>
              </w:rPr>
            </w:pPr>
            <w:r>
              <w:rPr>
                <w:rFonts w:hint="eastAsia"/>
                <w:color w:val="auto"/>
                <w:sz w:val="15"/>
                <w:szCs w:val="15"/>
              </w:rPr>
              <w:t>L</w:t>
            </w:r>
            <w:r>
              <w:rPr>
                <w:rFonts w:hint="eastAsia"/>
                <w:color w:val="auto"/>
                <w:sz w:val="15"/>
                <w:szCs w:val="15"/>
                <w:vertAlign w:val="subscript"/>
              </w:rPr>
              <w:t>0</w:t>
            </w:r>
            <w:r>
              <w:rPr>
                <w:color w:val="auto"/>
                <w:sz w:val="15"/>
                <w:szCs w:val="15"/>
              </w:rPr>
              <w:t>/400</w:t>
            </w:r>
          </w:p>
        </w:tc>
        <w:tc>
          <w:tcPr>
            <w:tcW w:w="3560" w:type="dxa"/>
            <w:vAlign w:val="center"/>
          </w:tcPr>
          <w:p>
            <w:pPr>
              <w:pStyle w:val="36"/>
              <w:rPr>
                <w:color w:val="auto"/>
                <w:sz w:val="15"/>
                <w:szCs w:val="15"/>
              </w:rPr>
            </w:pPr>
            <w:r>
              <w:rPr>
                <w:rFonts w:hint="eastAsia"/>
                <w:color w:val="auto"/>
                <w:sz w:val="15"/>
                <w:szCs w:val="15"/>
              </w:rPr>
              <w:t>L</w:t>
            </w:r>
            <w:r>
              <w:rPr>
                <w:rFonts w:hint="eastAsia"/>
                <w:color w:val="auto"/>
                <w:sz w:val="15"/>
                <w:szCs w:val="15"/>
                <w:vertAlign w:val="subscript"/>
              </w:rPr>
              <w:t>0</w:t>
            </w:r>
            <w:r>
              <w:rPr>
                <w:color w:val="auto"/>
                <w:sz w:val="15"/>
                <w:szCs w:val="15"/>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887" w:type="dxa"/>
            <w:vAlign w:val="center"/>
          </w:tcPr>
          <w:p>
            <w:pPr>
              <w:pStyle w:val="36"/>
              <w:rPr>
                <w:color w:val="auto"/>
                <w:sz w:val="15"/>
                <w:szCs w:val="15"/>
              </w:rPr>
            </w:pPr>
            <w:r>
              <w:rPr>
                <w:rFonts w:hint="eastAsia"/>
                <w:color w:val="auto"/>
                <w:sz w:val="15"/>
                <w:szCs w:val="15"/>
              </w:rPr>
              <w:t>悬臂梁</w:t>
            </w:r>
          </w:p>
        </w:tc>
        <w:tc>
          <w:tcPr>
            <w:tcW w:w="3787" w:type="dxa"/>
            <w:vAlign w:val="center"/>
          </w:tcPr>
          <w:p>
            <w:pPr>
              <w:pStyle w:val="36"/>
              <w:rPr>
                <w:color w:val="auto"/>
                <w:sz w:val="15"/>
                <w:szCs w:val="15"/>
              </w:rPr>
            </w:pPr>
            <w:r>
              <w:rPr>
                <w:rFonts w:hint="eastAsia"/>
                <w:color w:val="auto"/>
                <w:sz w:val="15"/>
                <w:szCs w:val="15"/>
              </w:rPr>
              <w:t>L</w:t>
            </w:r>
            <w:r>
              <w:rPr>
                <w:rFonts w:hint="eastAsia"/>
                <w:color w:val="auto"/>
                <w:sz w:val="15"/>
                <w:szCs w:val="15"/>
                <w:vertAlign w:val="subscript"/>
              </w:rPr>
              <w:t>0</w:t>
            </w:r>
            <w:r>
              <w:rPr>
                <w:color w:val="auto"/>
                <w:sz w:val="15"/>
                <w:szCs w:val="15"/>
              </w:rPr>
              <w:t>/200</w:t>
            </w:r>
          </w:p>
        </w:tc>
        <w:tc>
          <w:tcPr>
            <w:tcW w:w="3560" w:type="dxa"/>
            <w:vAlign w:val="center"/>
          </w:tcPr>
          <w:p>
            <w:pPr>
              <w:pStyle w:val="36"/>
              <w:rPr>
                <w:color w:val="auto"/>
                <w:sz w:val="15"/>
                <w:szCs w:val="15"/>
              </w:rPr>
            </w:pPr>
            <w:r>
              <w:rPr>
                <w:rFonts w:hint="eastAsia"/>
                <w:color w:val="auto"/>
                <w:sz w:val="15"/>
                <w:szCs w:val="15"/>
              </w:rPr>
              <w:t>L</w:t>
            </w:r>
            <w:r>
              <w:rPr>
                <w:rFonts w:hint="eastAsia"/>
                <w:color w:val="auto"/>
                <w:sz w:val="15"/>
                <w:szCs w:val="15"/>
                <w:vertAlign w:val="subscript"/>
              </w:rPr>
              <w:t>0</w:t>
            </w:r>
            <w:r>
              <w:rPr>
                <w:color w:val="auto"/>
                <w:sz w:val="15"/>
                <w:szCs w:val="15"/>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887" w:type="dxa"/>
            <w:vAlign w:val="center"/>
          </w:tcPr>
          <w:p>
            <w:pPr>
              <w:pStyle w:val="36"/>
              <w:rPr>
                <w:color w:val="auto"/>
                <w:sz w:val="15"/>
                <w:szCs w:val="15"/>
              </w:rPr>
            </w:pPr>
            <w:r>
              <w:rPr>
                <w:rFonts w:hint="eastAsia"/>
                <w:color w:val="auto"/>
                <w:sz w:val="15"/>
                <w:szCs w:val="15"/>
              </w:rPr>
              <w:t>次梁</w:t>
            </w:r>
          </w:p>
        </w:tc>
        <w:tc>
          <w:tcPr>
            <w:tcW w:w="3787" w:type="dxa"/>
            <w:vAlign w:val="center"/>
          </w:tcPr>
          <w:p>
            <w:pPr>
              <w:pStyle w:val="36"/>
              <w:rPr>
                <w:color w:val="auto"/>
                <w:sz w:val="15"/>
                <w:szCs w:val="15"/>
              </w:rPr>
            </w:pPr>
            <w:r>
              <w:rPr>
                <w:rFonts w:hint="eastAsia"/>
                <w:color w:val="auto"/>
                <w:sz w:val="15"/>
                <w:szCs w:val="15"/>
              </w:rPr>
              <w:t>L</w:t>
            </w:r>
            <w:r>
              <w:rPr>
                <w:rFonts w:hint="eastAsia"/>
                <w:color w:val="auto"/>
                <w:sz w:val="15"/>
                <w:szCs w:val="15"/>
                <w:vertAlign w:val="subscript"/>
              </w:rPr>
              <w:t>0</w:t>
            </w:r>
            <w:r>
              <w:rPr>
                <w:color w:val="auto"/>
                <w:sz w:val="15"/>
                <w:szCs w:val="15"/>
              </w:rPr>
              <w:t>/250</w:t>
            </w:r>
          </w:p>
        </w:tc>
        <w:tc>
          <w:tcPr>
            <w:tcW w:w="3560" w:type="dxa"/>
            <w:vAlign w:val="center"/>
          </w:tcPr>
          <w:p>
            <w:pPr>
              <w:pStyle w:val="36"/>
              <w:rPr>
                <w:color w:val="auto"/>
                <w:sz w:val="15"/>
                <w:szCs w:val="15"/>
              </w:rPr>
            </w:pPr>
            <w:r>
              <w:rPr>
                <w:rFonts w:hint="eastAsia"/>
                <w:color w:val="auto"/>
                <w:sz w:val="15"/>
                <w:szCs w:val="15"/>
              </w:rPr>
              <w:t>L</w:t>
            </w:r>
            <w:r>
              <w:rPr>
                <w:rFonts w:hint="eastAsia"/>
                <w:color w:val="auto"/>
                <w:sz w:val="15"/>
                <w:szCs w:val="15"/>
                <w:vertAlign w:val="subscript"/>
              </w:rPr>
              <w:t>0</w:t>
            </w:r>
            <w:r>
              <w:rPr>
                <w:color w:val="auto"/>
                <w:sz w:val="15"/>
                <w:szCs w:val="15"/>
              </w:rPr>
              <w:t>/350</w:t>
            </w:r>
          </w:p>
        </w:tc>
      </w:tr>
    </w:tbl>
    <w:p>
      <w:pPr>
        <w:pStyle w:val="36"/>
        <w:ind w:firstLine="420" w:firstLineChars="200"/>
        <w:jc w:val="both"/>
        <w:rPr>
          <w:color w:val="auto"/>
        </w:rPr>
      </w:pPr>
      <w:r>
        <w:rPr>
          <w:rFonts w:hint="eastAsia"/>
          <w:color w:val="auto"/>
        </w:rPr>
        <w:t>注：L</w:t>
      </w:r>
      <w:r>
        <w:rPr>
          <w:color w:val="auto"/>
          <w:vertAlign w:val="subscript"/>
        </w:rPr>
        <w:t>0</w:t>
      </w:r>
      <w:r>
        <w:rPr>
          <w:rFonts w:hint="eastAsia"/>
          <w:color w:val="auto"/>
        </w:rPr>
        <w:t>为计算跨度。</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12 </w:t>
      </w:r>
      <w:r>
        <w:rPr>
          <w:rFonts w:hint="eastAsia"/>
          <w:bCs/>
          <w:szCs w:val="21"/>
        </w:rPr>
        <w:t xml:space="preserve"> 在10年重现期风荷载标准值作用下，钢结构住宅顶点的最大风振加速度不宜大于0</w:t>
      </w:r>
      <w:r>
        <w:rPr>
          <w:rFonts w:hint="eastAsia" w:ascii="宋体" w:hAnsi="宋体"/>
          <w:b/>
          <w:bCs/>
          <w:szCs w:val="21"/>
        </w:rPr>
        <w:t>.</w:t>
      </w:r>
      <w:r>
        <w:rPr>
          <w:rFonts w:hint="eastAsia"/>
          <w:bCs/>
          <w:szCs w:val="21"/>
        </w:rPr>
        <w:t>15</w:t>
      </w:r>
      <w:r>
        <w:rPr>
          <w:rFonts w:ascii="宋体" w:hAnsi="宋体"/>
          <w:bCs/>
        </w:rPr>
        <w:t>m/s</w:t>
      </w:r>
      <w:r>
        <w:rPr>
          <w:rFonts w:ascii="宋体" w:hAnsi="宋体"/>
          <w:bCs/>
          <w:vertAlign w:val="superscript"/>
        </w:rPr>
        <w:t>2</w:t>
      </w:r>
      <w:r>
        <w:rPr>
          <w:rFonts w:hint="eastAsia"/>
          <w:bCs/>
          <w:szCs w:val="21"/>
        </w:rPr>
        <w:t>。计算分析时，钢结构阻尼比可取1%，混合结构阻尼比可取1</w:t>
      </w:r>
      <w:r>
        <w:rPr>
          <w:rFonts w:hint="eastAsia" w:ascii="宋体" w:hAnsi="宋体"/>
          <w:b/>
          <w:bCs/>
          <w:szCs w:val="21"/>
        </w:rPr>
        <w:t>.</w:t>
      </w:r>
      <w:r>
        <w:rPr>
          <w:rFonts w:hint="eastAsia"/>
          <w:bCs/>
          <w:szCs w:val="21"/>
        </w:rPr>
        <w:t>5%。</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13 </w:t>
      </w:r>
      <w:r>
        <w:rPr>
          <w:rFonts w:hint="eastAsia"/>
          <w:bCs/>
          <w:szCs w:val="21"/>
        </w:rPr>
        <w:t xml:space="preserve"> 钢结构住宅楼盖的第一阶竖向自振频率不宜小于4Hz，在行走激励下竖向振动峰值加速度不宜大于0</w:t>
      </w:r>
      <w:r>
        <w:rPr>
          <w:rFonts w:hint="eastAsia" w:ascii="宋体" w:hAnsi="宋体"/>
          <w:b/>
          <w:bCs/>
          <w:szCs w:val="21"/>
        </w:rPr>
        <w:t>.</w:t>
      </w:r>
      <w:r>
        <w:rPr>
          <w:rFonts w:hint="eastAsia"/>
          <w:bCs/>
          <w:szCs w:val="21"/>
        </w:rPr>
        <w:t>05</w:t>
      </w:r>
      <w:r>
        <w:rPr>
          <w:rFonts w:ascii="宋体" w:hAnsi="宋体"/>
          <w:bCs/>
        </w:rPr>
        <w:t>m/s</w:t>
      </w:r>
      <w:r>
        <w:rPr>
          <w:rFonts w:ascii="宋体" w:hAnsi="宋体"/>
          <w:bCs/>
          <w:vertAlign w:val="superscript"/>
        </w:rPr>
        <w:t>2</w:t>
      </w:r>
      <w:r>
        <w:rPr>
          <w:rFonts w:hint="eastAsia"/>
          <w:bCs/>
          <w:szCs w:val="21"/>
        </w:rPr>
        <w:t>。</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14 </w:t>
      </w:r>
      <w:r>
        <w:rPr>
          <w:rFonts w:hint="eastAsia"/>
          <w:bCs/>
          <w:szCs w:val="21"/>
        </w:rPr>
        <w:t xml:space="preserve"> 对高度不大于250m的高层钢结构装配式住宅建筑，当耐火等级为一级与二级时，钢结构构件与楼板的设计耐火极限应符合表5</w:t>
      </w:r>
      <w:r>
        <w:rPr>
          <w:rFonts w:hint="eastAsia" w:ascii="宋体" w:hAnsi="宋体"/>
          <w:bCs/>
          <w:szCs w:val="21"/>
        </w:rPr>
        <w:t>.</w:t>
      </w:r>
      <w:r>
        <w:rPr>
          <w:rFonts w:hint="eastAsia"/>
          <w:bCs/>
          <w:szCs w:val="21"/>
        </w:rPr>
        <w:t>2</w:t>
      </w:r>
      <w:r>
        <w:rPr>
          <w:rFonts w:hint="eastAsia" w:ascii="宋体" w:hAnsi="宋体"/>
          <w:bCs/>
          <w:szCs w:val="21"/>
        </w:rPr>
        <w:t>.</w:t>
      </w:r>
      <w:r>
        <w:rPr>
          <w:rFonts w:hint="eastAsia"/>
          <w:bCs/>
          <w:szCs w:val="21"/>
        </w:rPr>
        <w:t>14的规定。其它情况下构件的设计耐火极限应按现行国家标准《建筑设计防火规范》GB 50016的规定确定。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Cs/>
          <w:sz w:val="18"/>
          <w:szCs w:val="18"/>
        </w:rPr>
        <w:t>5</w:t>
      </w:r>
      <w:r>
        <w:rPr>
          <w:rFonts w:ascii="宋体" w:hAnsi="宋体" w:eastAsia="黑体" w:cs="黑体"/>
          <w:b/>
          <w:bCs/>
          <w:sz w:val="18"/>
          <w:szCs w:val="18"/>
        </w:rPr>
        <w:t>.</w:t>
      </w:r>
      <w:r>
        <w:rPr>
          <w:rFonts w:eastAsia="黑体" w:cs="黑体"/>
          <w:bCs/>
          <w:sz w:val="18"/>
          <w:szCs w:val="18"/>
        </w:rPr>
        <w:t>2</w:t>
      </w:r>
      <w:r>
        <w:rPr>
          <w:rFonts w:ascii="宋体" w:hAnsi="宋体" w:eastAsia="黑体" w:cs="黑体"/>
          <w:b/>
          <w:bCs/>
          <w:sz w:val="18"/>
          <w:szCs w:val="18"/>
        </w:rPr>
        <w:t>.</w:t>
      </w:r>
      <w:r>
        <w:rPr>
          <w:rFonts w:hint="eastAsia" w:eastAsia="黑体" w:cs="黑体"/>
          <w:bCs/>
          <w:sz w:val="18"/>
          <w:szCs w:val="18"/>
        </w:rPr>
        <w:t>14</w:t>
      </w:r>
      <w:r>
        <w:rPr>
          <w:rFonts w:eastAsia="黑体" w:cs="黑体"/>
          <w:bCs/>
          <w:sz w:val="18"/>
          <w:szCs w:val="18"/>
        </w:rPr>
        <w:t xml:space="preserve">  </w:t>
      </w:r>
      <w:r>
        <w:rPr>
          <w:rFonts w:hint="eastAsia" w:eastAsia="黑体" w:cs="黑体"/>
          <w:bCs/>
          <w:sz w:val="18"/>
          <w:szCs w:val="18"/>
        </w:rPr>
        <w:t>钢结构构件与楼板的设计耐火极限</w:t>
      </w:r>
    </w:p>
    <w:tbl>
      <w:tblPr>
        <w:tblStyle w:val="19"/>
        <w:tblW w:w="500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2371"/>
        <w:gridCol w:w="2372"/>
        <w:gridCol w:w="23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310" w:type="dxa"/>
            <w:vMerge w:val="restart"/>
            <w:vAlign w:val="center"/>
          </w:tcPr>
          <w:p>
            <w:pPr>
              <w:pStyle w:val="36"/>
              <w:rPr>
                <w:color w:val="auto"/>
                <w:sz w:val="15"/>
                <w:szCs w:val="15"/>
              </w:rPr>
            </w:pPr>
            <w:r>
              <w:rPr>
                <w:rFonts w:hint="eastAsia"/>
                <w:color w:val="auto"/>
                <w:sz w:val="15"/>
                <w:szCs w:val="15"/>
              </w:rPr>
              <w:t>耐火等级</w:t>
            </w:r>
          </w:p>
        </w:tc>
        <w:tc>
          <w:tcPr>
            <w:tcW w:w="6934" w:type="dxa"/>
            <w:gridSpan w:val="3"/>
            <w:vAlign w:val="center"/>
          </w:tcPr>
          <w:p>
            <w:pPr>
              <w:pStyle w:val="36"/>
              <w:rPr>
                <w:color w:val="auto"/>
                <w:sz w:val="15"/>
                <w:szCs w:val="15"/>
              </w:rPr>
            </w:pPr>
            <w:r>
              <w:rPr>
                <w:rFonts w:hint="eastAsia"/>
                <w:color w:val="auto"/>
                <w:sz w:val="15"/>
                <w:szCs w:val="15"/>
              </w:rPr>
              <w:t>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310" w:type="dxa"/>
            <w:vMerge w:val="continue"/>
            <w:vAlign w:val="center"/>
          </w:tcPr>
          <w:p>
            <w:pPr>
              <w:pStyle w:val="36"/>
              <w:rPr>
                <w:color w:val="auto"/>
                <w:sz w:val="15"/>
                <w:szCs w:val="15"/>
              </w:rPr>
            </w:pPr>
          </w:p>
        </w:tc>
        <w:tc>
          <w:tcPr>
            <w:tcW w:w="2310" w:type="dxa"/>
            <w:vAlign w:val="center"/>
          </w:tcPr>
          <w:p>
            <w:pPr>
              <w:pStyle w:val="36"/>
              <w:rPr>
                <w:color w:val="auto"/>
                <w:sz w:val="15"/>
                <w:szCs w:val="15"/>
              </w:rPr>
            </w:pPr>
            <w:r>
              <w:rPr>
                <w:rFonts w:hint="eastAsia"/>
                <w:color w:val="auto"/>
                <w:sz w:val="15"/>
                <w:szCs w:val="15"/>
              </w:rPr>
              <w:t>墙、柱、支撑</w:t>
            </w:r>
          </w:p>
        </w:tc>
        <w:tc>
          <w:tcPr>
            <w:tcW w:w="2311" w:type="dxa"/>
            <w:vAlign w:val="center"/>
          </w:tcPr>
          <w:p>
            <w:pPr>
              <w:pStyle w:val="36"/>
              <w:rPr>
                <w:color w:val="auto"/>
                <w:sz w:val="15"/>
                <w:szCs w:val="15"/>
              </w:rPr>
            </w:pPr>
            <w:r>
              <w:rPr>
                <w:rFonts w:hint="eastAsia"/>
                <w:color w:val="auto"/>
                <w:sz w:val="15"/>
                <w:szCs w:val="15"/>
              </w:rPr>
              <w:t>梁</w:t>
            </w:r>
          </w:p>
        </w:tc>
        <w:tc>
          <w:tcPr>
            <w:tcW w:w="2311" w:type="dxa"/>
            <w:vAlign w:val="center"/>
          </w:tcPr>
          <w:p>
            <w:pPr>
              <w:pStyle w:val="36"/>
              <w:rPr>
                <w:color w:val="auto"/>
                <w:sz w:val="15"/>
                <w:szCs w:val="15"/>
              </w:rPr>
            </w:pPr>
            <w:r>
              <w:rPr>
                <w:rFonts w:hint="eastAsia"/>
                <w:color w:val="auto"/>
                <w:sz w:val="15"/>
                <w:szCs w:val="15"/>
              </w:rPr>
              <w:t>楼板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310" w:type="dxa"/>
            <w:vAlign w:val="center"/>
          </w:tcPr>
          <w:p>
            <w:pPr>
              <w:pStyle w:val="36"/>
              <w:rPr>
                <w:color w:val="auto"/>
                <w:sz w:val="15"/>
                <w:szCs w:val="15"/>
              </w:rPr>
            </w:pPr>
            <w:r>
              <w:rPr>
                <w:rFonts w:hint="eastAsia"/>
                <w:color w:val="auto"/>
                <w:sz w:val="15"/>
                <w:szCs w:val="15"/>
              </w:rPr>
              <w:t>一级</w:t>
            </w:r>
          </w:p>
        </w:tc>
        <w:tc>
          <w:tcPr>
            <w:tcW w:w="2310" w:type="dxa"/>
            <w:vAlign w:val="center"/>
          </w:tcPr>
          <w:p>
            <w:pPr>
              <w:pStyle w:val="36"/>
              <w:rPr>
                <w:color w:val="auto"/>
                <w:sz w:val="15"/>
                <w:szCs w:val="15"/>
              </w:rPr>
            </w:pPr>
            <w:r>
              <w:rPr>
                <w:rFonts w:hint="eastAsia"/>
                <w:color w:val="auto"/>
                <w:sz w:val="15"/>
                <w:szCs w:val="15"/>
              </w:rPr>
              <w:t>3</w:t>
            </w:r>
            <w:r>
              <w:rPr>
                <w:rFonts w:hint="eastAsia" w:ascii="宋体" w:hAnsi="宋体"/>
                <w:b/>
                <w:color w:val="auto"/>
                <w:szCs w:val="15"/>
              </w:rPr>
              <w:t>.</w:t>
            </w:r>
            <w:r>
              <w:rPr>
                <w:rFonts w:hint="eastAsia"/>
                <w:color w:val="auto"/>
                <w:sz w:val="15"/>
                <w:szCs w:val="15"/>
              </w:rPr>
              <w:t>0</w:t>
            </w:r>
            <w:r>
              <w:rPr>
                <w:color w:val="auto"/>
                <w:sz w:val="15"/>
                <w:szCs w:val="15"/>
              </w:rPr>
              <w:t>h</w:t>
            </w:r>
          </w:p>
        </w:tc>
        <w:tc>
          <w:tcPr>
            <w:tcW w:w="2311" w:type="dxa"/>
            <w:vAlign w:val="center"/>
          </w:tcPr>
          <w:p>
            <w:pPr>
              <w:pStyle w:val="36"/>
              <w:rPr>
                <w:color w:val="auto"/>
                <w:sz w:val="15"/>
                <w:szCs w:val="15"/>
              </w:rPr>
            </w:pPr>
            <w:r>
              <w:rPr>
                <w:rFonts w:hint="eastAsia"/>
                <w:color w:val="auto"/>
                <w:sz w:val="15"/>
                <w:szCs w:val="15"/>
              </w:rPr>
              <w:t>2</w:t>
            </w:r>
            <w:r>
              <w:rPr>
                <w:rFonts w:hint="eastAsia" w:ascii="宋体" w:hAnsi="宋体"/>
                <w:b/>
                <w:color w:val="auto"/>
                <w:szCs w:val="15"/>
              </w:rPr>
              <w:t>.</w:t>
            </w:r>
            <w:r>
              <w:rPr>
                <w:color w:val="auto"/>
                <w:sz w:val="15"/>
                <w:szCs w:val="15"/>
              </w:rPr>
              <w:t>0h</w:t>
            </w:r>
          </w:p>
        </w:tc>
        <w:tc>
          <w:tcPr>
            <w:tcW w:w="2311" w:type="dxa"/>
            <w:vAlign w:val="center"/>
          </w:tcPr>
          <w:p>
            <w:pPr>
              <w:pStyle w:val="36"/>
              <w:rPr>
                <w:color w:val="auto"/>
                <w:sz w:val="15"/>
                <w:szCs w:val="15"/>
              </w:rPr>
            </w:pPr>
            <w:r>
              <w:rPr>
                <w:color w:val="auto"/>
                <w:sz w:val="15"/>
                <w:szCs w:val="15"/>
              </w:rPr>
              <w:t>1</w:t>
            </w:r>
            <w:r>
              <w:rPr>
                <w:rFonts w:ascii="宋体" w:hAnsi="宋体"/>
                <w:b/>
                <w:color w:val="auto"/>
                <w:szCs w:val="15"/>
              </w:rPr>
              <w:t>.</w:t>
            </w:r>
            <w:r>
              <w:rPr>
                <w:rFonts w:hint="eastAsia"/>
                <w:color w:val="auto"/>
                <w:sz w:val="15"/>
                <w:szCs w:val="15"/>
              </w:rPr>
              <w:t>5</w:t>
            </w:r>
            <w:r>
              <w:rPr>
                <w:color w:val="auto"/>
                <w:sz w:val="15"/>
                <w:szCs w:val="15"/>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2310" w:type="dxa"/>
            <w:vAlign w:val="center"/>
          </w:tcPr>
          <w:p>
            <w:pPr>
              <w:pStyle w:val="36"/>
              <w:rPr>
                <w:color w:val="auto"/>
                <w:sz w:val="15"/>
                <w:szCs w:val="15"/>
              </w:rPr>
            </w:pPr>
            <w:r>
              <w:rPr>
                <w:rFonts w:hint="eastAsia"/>
                <w:color w:val="auto"/>
                <w:sz w:val="15"/>
                <w:szCs w:val="15"/>
              </w:rPr>
              <w:t>二级</w:t>
            </w:r>
          </w:p>
        </w:tc>
        <w:tc>
          <w:tcPr>
            <w:tcW w:w="2310" w:type="dxa"/>
            <w:vAlign w:val="center"/>
          </w:tcPr>
          <w:p>
            <w:pPr>
              <w:pStyle w:val="36"/>
              <w:rPr>
                <w:color w:val="auto"/>
                <w:sz w:val="15"/>
                <w:szCs w:val="15"/>
              </w:rPr>
            </w:pPr>
            <w:r>
              <w:rPr>
                <w:rFonts w:hint="eastAsia"/>
                <w:color w:val="auto"/>
                <w:sz w:val="15"/>
                <w:szCs w:val="15"/>
              </w:rPr>
              <w:t>2</w:t>
            </w:r>
            <w:r>
              <w:rPr>
                <w:rFonts w:hint="eastAsia" w:ascii="宋体" w:hAnsi="宋体"/>
                <w:b/>
                <w:color w:val="auto"/>
                <w:szCs w:val="15"/>
              </w:rPr>
              <w:t>.</w:t>
            </w:r>
            <w:r>
              <w:rPr>
                <w:rFonts w:hint="eastAsia"/>
                <w:color w:val="auto"/>
                <w:sz w:val="15"/>
                <w:szCs w:val="15"/>
              </w:rPr>
              <w:t>5</w:t>
            </w:r>
            <w:r>
              <w:rPr>
                <w:color w:val="auto"/>
                <w:sz w:val="15"/>
                <w:szCs w:val="15"/>
              </w:rPr>
              <w:t>h</w:t>
            </w:r>
          </w:p>
        </w:tc>
        <w:tc>
          <w:tcPr>
            <w:tcW w:w="2311" w:type="dxa"/>
            <w:vAlign w:val="center"/>
          </w:tcPr>
          <w:p>
            <w:pPr>
              <w:pStyle w:val="36"/>
              <w:rPr>
                <w:color w:val="auto"/>
                <w:sz w:val="15"/>
                <w:szCs w:val="15"/>
              </w:rPr>
            </w:pPr>
            <w:r>
              <w:rPr>
                <w:color w:val="auto"/>
                <w:sz w:val="15"/>
                <w:szCs w:val="15"/>
              </w:rPr>
              <w:t>1</w:t>
            </w:r>
            <w:r>
              <w:rPr>
                <w:rFonts w:ascii="宋体" w:hAnsi="宋体"/>
                <w:b/>
                <w:color w:val="auto"/>
                <w:szCs w:val="15"/>
              </w:rPr>
              <w:t>.</w:t>
            </w:r>
            <w:r>
              <w:rPr>
                <w:rFonts w:hint="eastAsia"/>
                <w:color w:val="auto"/>
                <w:sz w:val="15"/>
                <w:szCs w:val="15"/>
              </w:rPr>
              <w:t>5</w:t>
            </w:r>
            <w:r>
              <w:rPr>
                <w:color w:val="auto"/>
                <w:sz w:val="15"/>
                <w:szCs w:val="15"/>
              </w:rPr>
              <w:t>h</w:t>
            </w:r>
          </w:p>
        </w:tc>
        <w:tc>
          <w:tcPr>
            <w:tcW w:w="2311" w:type="dxa"/>
            <w:vAlign w:val="center"/>
          </w:tcPr>
          <w:p>
            <w:pPr>
              <w:pStyle w:val="36"/>
              <w:rPr>
                <w:color w:val="auto"/>
                <w:sz w:val="15"/>
                <w:szCs w:val="15"/>
              </w:rPr>
            </w:pPr>
            <w:r>
              <w:rPr>
                <w:color w:val="auto"/>
                <w:sz w:val="15"/>
                <w:szCs w:val="15"/>
              </w:rPr>
              <w:t>1</w:t>
            </w:r>
            <w:r>
              <w:rPr>
                <w:rFonts w:ascii="宋体" w:hAnsi="宋体"/>
                <w:b/>
                <w:color w:val="auto"/>
                <w:szCs w:val="15"/>
              </w:rPr>
              <w:t>.</w:t>
            </w:r>
            <w:r>
              <w:rPr>
                <w:rFonts w:hint="eastAsia"/>
                <w:color w:val="auto"/>
                <w:sz w:val="15"/>
                <w:szCs w:val="15"/>
              </w:rPr>
              <w:t>0</w:t>
            </w:r>
            <w:r>
              <w:rPr>
                <w:color w:val="auto"/>
                <w:sz w:val="15"/>
                <w:szCs w:val="15"/>
              </w:rPr>
              <w:t>h</w:t>
            </w:r>
          </w:p>
        </w:tc>
      </w:tr>
    </w:tbl>
    <w:p>
      <w:pPr>
        <w:pStyle w:val="4"/>
        <w:spacing w:before="240" w:after="240" w:line="240" w:lineRule="auto"/>
        <w:jc w:val="center"/>
        <w:rPr>
          <w:rFonts w:ascii="Times New Roman" w:hAnsi="Times New Roman"/>
          <w:sz w:val="21"/>
          <w:szCs w:val="21"/>
        </w:rPr>
      </w:pPr>
      <w:bookmarkStart w:id="14" w:name="_Toc118357444"/>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结 构 体 系</w:t>
      </w:r>
      <w:bookmarkEnd w:id="14"/>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rFonts w:hint="eastAsia"/>
          <w:bCs/>
          <w:szCs w:val="21"/>
        </w:rPr>
        <w:t xml:space="preserve"> 钢结构装配式住宅可采用下列钢结构或钢-混凝土混合结构体系：</w:t>
      </w:r>
    </w:p>
    <w:p>
      <w:pPr>
        <w:spacing w:line="240" w:lineRule="auto"/>
        <w:ind w:firstLine="421" w:firstLineChars="200"/>
        <w:rPr>
          <w:bCs/>
          <w:szCs w:val="21"/>
        </w:rPr>
      </w:pPr>
      <w:r>
        <w:rPr>
          <w:rFonts w:hint="eastAsia"/>
          <w:b/>
          <w:bCs/>
          <w:szCs w:val="21"/>
        </w:rPr>
        <w:t xml:space="preserve">1 </w:t>
      </w:r>
      <w:r>
        <w:rPr>
          <w:rFonts w:hint="eastAsia"/>
          <w:bCs/>
          <w:szCs w:val="21"/>
        </w:rPr>
        <w:t xml:space="preserve"> 钢框架结构，框架柱采用钢柱或钢管混凝土柱；</w:t>
      </w:r>
    </w:p>
    <w:p>
      <w:pPr>
        <w:spacing w:line="240" w:lineRule="auto"/>
        <w:ind w:firstLine="421" w:firstLineChars="200"/>
        <w:rPr>
          <w:bCs/>
          <w:szCs w:val="21"/>
        </w:rPr>
      </w:pPr>
      <w:r>
        <w:rPr>
          <w:rFonts w:hint="eastAsia"/>
          <w:b/>
          <w:bCs/>
          <w:szCs w:val="21"/>
        </w:rPr>
        <w:t xml:space="preserve">2 </w:t>
      </w:r>
      <w:r>
        <w:rPr>
          <w:rFonts w:hint="eastAsia"/>
          <w:bCs/>
          <w:szCs w:val="21"/>
        </w:rPr>
        <w:t xml:space="preserve"> 钢框架-支撑结构，包括钢框架-中心支撑结构、钢框架-偏心支撑结构和钢框架-屈曲约束支撑结构；</w:t>
      </w:r>
    </w:p>
    <w:p>
      <w:pPr>
        <w:spacing w:line="240" w:lineRule="auto"/>
        <w:ind w:firstLine="421" w:firstLineChars="200"/>
        <w:rPr>
          <w:bCs/>
          <w:szCs w:val="21"/>
        </w:rPr>
      </w:pPr>
      <w:r>
        <w:rPr>
          <w:rFonts w:hint="eastAsia"/>
          <w:b/>
          <w:bCs/>
          <w:szCs w:val="21"/>
        </w:rPr>
        <w:t xml:space="preserve">3  </w:t>
      </w:r>
      <w:r>
        <w:rPr>
          <w:rFonts w:hint="eastAsia"/>
          <w:bCs/>
          <w:szCs w:val="21"/>
        </w:rPr>
        <w:t>钢框架-混凝土核心筒结构，混凝土核心筒包括钢筋混凝土核心筒及型钢混凝土核心筒；</w:t>
      </w:r>
    </w:p>
    <w:p>
      <w:pPr>
        <w:spacing w:line="240" w:lineRule="auto"/>
        <w:ind w:firstLine="421" w:firstLineChars="200"/>
        <w:rPr>
          <w:bCs/>
          <w:szCs w:val="21"/>
        </w:rPr>
      </w:pPr>
      <w:r>
        <w:rPr>
          <w:rFonts w:hint="eastAsia"/>
          <w:b/>
          <w:bCs/>
          <w:szCs w:val="21"/>
        </w:rPr>
        <w:t xml:space="preserve">4  </w:t>
      </w:r>
      <w:r>
        <w:rPr>
          <w:rFonts w:hint="eastAsia"/>
          <w:bCs/>
          <w:szCs w:val="21"/>
        </w:rPr>
        <w:t>钢框架-混凝土外筒结构，混凝土外筒即建筑外围布置钢筋混凝土剪力墙及型钢混凝土剪力墙或预制双面叠合剪力墙；</w:t>
      </w:r>
    </w:p>
    <w:p>
      <w:pPr>
        <w:spacing w:line="240" w:lineRule="auto"/>
        <w:ind w:firstLine="421" w:firstLineChars="200"/>
        <w:rPr>
          <w:bCs/>
          <w:szCs w:val="21"/>
        </w:rPr>
      </w:pPr>
      <w:r>
        <w:rPr>
          <w:rFonts w:hint="eastAsia"/>
          <w:b/>
          <w:bCs/>
          <w:szCs w:val="21"/>
        </w:rPr>
        <w:t xml:space="preserve">5  </w:t>
      </w:r>
      <w:r>
        <w:rPr>
          <w:rFonts w:hint="eastAsia"/>
          <w:bCs/>
          <w:szCs w:val="21"/>
        </w:rPr>
        <w:t>钢框架-混凝土剪力墙结构，混凝土剪力墙包括钢筋混凝土剪力墙及型钢混凝土剪力墙；</w:t>
      </w:r>
    </w:p>
    <w:p>
      <w:pPr>
        <w:spacing w:line="240" w:lineRule="auto"/>
        <w:ind w:firstLine="421" w:firstLineChars="200"/>
        <w:rPr>
          <w:bCs/>
          <w:szCs w:val="21"/>
        </w:rPr>
      </w:pPr>
      <w:r>
        <w:rPr>
          <w:rFonts w:hint="eastAsia"/>
          <w:b/>
          <w:bCs/>
          <w:szCs w:val="21"/>
        </w:rPr>
        <w:t xml:space="preserve">6  </w:t>
      </w:r>
      <w:r>
        <w:rPr>
          <w:rFonts w:hint="eastAsia"/>
          <w:bCs/>
          <w:szCs w:val="21"/>
        </w:rPr>
        <w:t>钢框架-钢板剪力墙结构，钢板剪力墙包括双层钢板混凝土组合剪力墙、延性墙板（含带加劲肋钢板剪力墙、无粘结内藏钢板支撑剪力墙、内嵌竖缝混凝土剪力墙等）；</w:t>
      </w:r>
    </w:p>
    <w:p>
      <w:pPr>
        <w:spacing w:line="240" w:lineRule="auto"/>
        <w:ind w:firstLine="421" w:firstLineChars="200"/>
        <w:rPr>
          <w:bCs/>
          <w:szCs w:val="21"/>
        </w:rPr>
      </w:pPr>
      <w:r>
        <w:rPr>
          <w:rFonts w:hint="eastAsia"/>
          <w:b/>
          <w:bCs/>
          <w:szCs w:val="21"/>
        </w:rPr>
        <w:t xml:space="preserve">7 </w:t>
      </w:r>
      <w:r>
        <w:rPr>
          <w:rFonts w:hint="eastAsia"/>
          <w:bCs/>
          <w:szCs w:val="21"/>
        </w:rPr>
        <w:t xml:space="preserve"> 异形柱-钢板剪力墙结构，钢板剪力墙包括双层钢板混凝土组合剪力墙、延性墙板（含带加劲肋钢板剪力墙、无粘结内藏钢板支撑剪力墙、内嵌竖缝混凝土剪力墙等）；</w:t>
      </w:r>
    </w:p>
    <w:p>
      <w:pPr>
        <w:spacing w:line="240" w:lineRule="auto"/>
        <w:ind w:firstLine="421" w:firstLineChars="200"/>
        <w:rPr>
          <w:bCs/>
          <w:szCs w:val="21"/>
        </w:rPr>
      </w:pPr>
      <w:r>
        <w:rPr>
          <w:rFonts w:hint="eastAsia"/>
          <w:b/>
          <w:bCs/>
          <w:szCs w:val="21"/>
        </w:rPr>
        <w:t xml:space="preserve">8  </w:t>
      </w:r>
      <w:r>
        <w:rPr>
          <w:rFonts w:hint="eastAsia"/>
          <w:bCs/>
          <w:szCs w:val="21"/>
        </w:rPr>
        <w:t>巨型钢框架结构-双钢板混凝土剪力墙（支撑），由巨型柱和巨型梁（或桁架）及双钢板混凝土剪力墙（支撑）组成的结构体系。</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 xml:space="preserve"> 各结构体系的适应高度与适宜高宽比不宜大于表5</w:t>
      </w:r>
      <w:r>
        <w:rPr>
          <w:rFonts w:hint="eastAsia" w:ascii="宋体" w:hAnsi="宋体"/>
          <w:bCs/>
          <w:szCs w:val="21"/>
        </w:rPr>
        <w:t>.</w:t>
      </w:r>
      <w:r>
        <w:rPr>
          <w:rFonts w:hint="eastAsia"/>
          <w:bCs/>
          <w:szCs w:val="21"/>
        </w:rPr>
        <w:t>3</w:t>
      </w:r>
      <w:r>
        <w:rPr>
          <w:rFonts w:hint="eastAsia" w:ascii="宋体" w:hAnsi="宋体"/>
          <w:bCs/>
          <w:szCs w:val="21"/>
        </w:rPr>
        <w:t>.</w:t>
      </w:r>
      <w:r>
        <w:rPr>
          <w:rFonts w:hint="eastAsia"/>
          <w:bCs/>
          <w:szCs w:val="21"/>
        </w:rPr>
        <w:t>2中限值。</w:t>
      </w:r>
    </w:p>
    <w:p>
      <w:pPr>
        <w:spacing w:line="240" w:lineRule="auto"/>
        <w:rPr>
          <w:bCs/>
          <w:szCs w:val="21"/>
        </w:rPr>
      </w:pP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Cs/>
          <w:sz w:val="18"/>
          <w:szCs w:val="18"/>
        </w:rPr>
        <w:t>5</w:t>
      </w:r>
      <w:r>
        <w:rPr>
          <w:rFonts w:ascii="宋体" w:hAnsi="宋体" w:eastAsia="黑体" w:cs="黑体"/>
          <w:b/>
          <w:bCs/>
          <w:sz w:val="18"/>
          <w:szCs w:val="18"/>
        </w:rPr>
        <w:t>.</w:t>
      </w:r>
      <w:r>
        <w:rPr>
          <w:rFonts w:hint="eastAsia" w:eastAsia="黑体" w:cs="黑体"/>
          <w:bCs/>
          <w:sz w:val="18"/>
          <w:szCs w:val="18"/>
        </w:rPr>
        <w:t>3</w:t>
      </w:r>
      <w:r>
        <w:rPr>
          <w:rFonts w:ascii="宋体" w:hAnsi="宋体" w:eastAsia="黑体" w:cs="黑体"/>
          <w:b/>
          <w:bCs/>
          <w:sz w:val="18"/>
          <w:szCs w:val="18"/>
        </w:rPr>
        <w:t>.</w:t>
      </w:r>
      <w:r>
        <w:rPr>
          <w:rFonts w:hint="eastAsia" w:eastAsia="黑体" w:cs="黑体"/>
          <w:bCs/>
          <w:sz w:val="18"/>
          <w:szCs w:val="18"/>
        </w:rPr>
        <w:t>2</w:t>
      </w:r>
      <w:r>
        <w:rPr>
          <w:rFonts w:eastAsia="黑体" w:cs="黑体"/>
          <w:bCs/>
          <w:sz w:val="18"/>
          <w:szCs w:val="18"/>
        </w:rPr>
        <w:t xml:space="preserve">  </w:t>
      </w:r>
      <w:r>
        <w:rPr>
          <w:rFonts w:hint="eastAsia" w:eastAsia="黑体" w:cs="黑体"/>
          <w:bCs/>
          <w:sz w:val="18"/>
          <w:szCs w:val="18"/>
        </w:rPr>
        <w:t>结构体系的适应高度与适宜高宽比限值</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044"/>
        <w:gridCol w:w="2916"/>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pStyle w:val="36"/>
              <w:rPr>
                <w:color w:val="auto"/>
                <w:sz w:val="15"/>
                <w:szCs w:val="15"/>
              </w:rPr>
            </w:pPr>
            <w:r>
              <w:rPr>
                <w:rFonts w:hint="eastAsia"/>
                <w:color w:val="auto"/>
                <w:sz w:val="15"/>
                <w:szCs w:val="15"/>
              </w:rPr>
              <w:t>结构类型</w:t>
            </w:r>
          </w:p>
        </w:tc>
        <w:tc>
          <w:tcPr>
            <w:tcW w:w="2552" w:type="dxa"/>
            <w:vAlign w:val="center"/>
          </w:tcPr>
          <w:p>
            <w:pPr>
              <w:pStyle w:val="36"/>
              <w:rPr>
                <w:color w:val="auto"/>
                <w:sz w:val="15"/>
                <w:szCs w:val="15"/>
              </w:rPr>
            </w:pPr>
            <w:r>
              <w:rPr>
                <w:rFonts w:hint="eastAsia"/>
                <w:color w:val="auto"/>
                <w:sz w:val="15"/>
                <w:szCs w:val="15"/>
              </w:rPr>
              <w:t>适应高度（m）</w:t>
            </w:r>
          </w:p>
        </w:tc>
        <w:tc>
          <w:tcPr>
            <w:tcW w:w="2205" w:type="dxa"/>
            <w:vAlign w:val="center"/>
          </w:tcPr>
          <w:p>
            <w:pPr>
              <w:pStyle w:val="36"/>
              <w:rPr>
                <w:color w:val="auto"/>
                <w:sz w:val="15"/>
                <w:szCs w:val="15"/>
              </w:rPr>
            </w:pPr>
            <w:r>
              <w:rPr>
                <w:rFonts w:hint="eastAsia"/>
                <w:color w:val="auto"/>
                <w:sz w:val="15"/>
                <w:szCs w:val="15"/>
              </w:rPr>
              <w:t>适宜高宽比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pStyle w:val="36"/>
              <w:rPr>
                <w:color w:val="auto"/>
                <w:sz w:val="15"/>
                <w:szCs w:val="15"/>
              </w:rPr>
            </w:pPr>
            <w:r>
              <w:rPr>
                <w:rFonts w:hint="eastAsia"/>
                <w:color w:val="auto"/>
                <w:sz w:val="15"/>
                <w:szCs w:val="15"/>
              </w:rPr>
              <w:t>钢框架结构</w:t>
            </w:r>
          </w:p>
        </w:tc>
        <w:tc>
          <w:tcPr>
            <w:tcW w:w="2552" w:type="dxa"/>
            <w:vAlign w:val="center"/>
          </w:tcPr>
          <w:p>
            <w:pPr>
              <w:pStyle w:val="36"/>
              <w:rPr>
                <w:color w:val="auto"/>
                <w:sz w:val="15"/>
                <w:szCs w:val="15"/>
              </w:rPr>
            </w:pPr>
            <w:r>
              <w:rPr>
                <w:rFonts w:hint="eastAsia"/>
                <w:color w:val="auto"/>
                <w:sz w:val="15"/>
                <w:szCs w:val="15"/>
              </w:rPr>
              <w:t>4</w:t>
            </w:r>
            <w:r>
              <w:rPr>
                <w:color w:val="auto"/>
                <w:sz w:val="15"/>
                <w:szCs w:val="15"/>
              </w:rPr>
              <w:t>0</w:t>
            </w:r>
          </w:p>
        </w:tc>
        <w:tc>
          <w:tcPr>
            <w:tcW w:w="2205" w:type="dxa"/>
            <w:vAlign w:val="center"/>
          </w:tcPr>
          <w:p>
            <w:pPr>
              <w:pStyle w:val="36"/>
              <w:rPr>
                <w:color w:val="auto"/>
                <w:sz w:val="15"/>
                <w:szCs w:val="15"/>
              </w:rPr>
            </w:pPr>
            <w:r>
              <w:rPr>
                <w:rFonts w:hint="eastAsia"/>
                <w:color w:val="auto"/>
                <w:sz w:val="15"/>
                <w:szCs w:val="15"/>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pStyle w:val="36"/>
              <w:rPr>
                <w:color w:val="auto"/>
                <w:sz w:val="15"/>
                <w:szCs w:val="15"/>
              </w:rPr>
            </w:pPr>
            <w:r>
              <w:rPr>
                <w:rFonts w:hint="eastAsia"/>
                <w:color w:val="auto"/>
                <w:sz w:val="15"/>
                <w:szCs w:val="15"/>
              </w:rPr>
              <w:t>异形柱-双钢板组合剪力墙结构</w:t>
            </w:r>
          </w:p>
        </w:tc>
        <w:tc>
          <w:tcPr>
            <w:tcW w:w="2552" w:type="dxa"/>
            <w:vAlign w:val="center"/>
          </w:tcPr>
          <w:p>
            <w:pPr>
              <w:pStyle w:val="36"/>
              <w:rPr>
                <w:color w:val="auto"/>
                <w:sz w:val="15"/>
                <w:szCs w:val="15"/>
              </w:rPr>
            </w:pPr>
            <w:r>
              <w:rPr>
                <w:rFonts w:hint="eastAsia"/>
                <w:color w:val="auto"/>
                <w:sz w:val="15"/>
                <w:szCs w:val="15"/>
              </w:rPr>
              <w:t>100</w:t>
            </w:r>
          </w:p>
        </w:tc>
        <w:tc>
          <w:tcPr>
            <w:tcW w:w="2205" w:type="dxa"/>
            <w:vAlign w:val="center"/>
          </w:tcPr>
          <w:p>
            <w:pPr>
              <w:pStyle w:val="36"/>
              <w:rPr>
                <w:color w:val="auto"/>
                <w:sz w:val="15"/>
                <w:szCs w:val="15"/>
              </w:rPr>
            </w:pPr>
            <w:r>
              <w:rPr>
                <w:rFonts w:hint="eastAsia"/>
                <w:color w:val="auto"/>
                <w:sz w:val="15"/>
                <w:szCs w:val="15"/>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pStyle w:val="36"/>
              <w:rPr>
                <w:color w:val="auto"/>
                <w:sz w:val="15"/>
                <w:szCs w:val="15"/>
              </w:rPr>
            </w:pPr>
            <w:r>
              <w:rPr>
                <w:rFonts w:hint="eastAsia"/>
                <w:color w:val="auto"/>
                <w:sz w:val="15"/>
                <w:szCs w:val="15"/>
              </w:rPr>
              <w:t>钢框架-支撑结构</w:t>
            </w:r>
          </w:p>
        </w:tc>
        <w:tc>
          <w:tcPr>
            <w:tcW w:w="2552" w:type="dxa"/>
            <w:vAlign w:val="center"/>
          </w:tcPr>
          <w:p>
            <w:pPr>
              <w:pStyle w:val="36"/>
              <w:rPr>
                <w:color w:val="auto"/>
                <w:sz w:val="15"/>
                <w:szCs w:val="15"/>
              </w:rPr>
            </w:pPr>
            <w:r>
              <w:rPr>
                <w:color w:val="auto"/>
                <w:sz w:val="15"/>
                <w:szCs w:val="15"/>
              </w:rPr>
              <w:t>120</w:t>
            </w:r>
          </w:p>
        </w:tc>
        <w:tc>
          <w:tcPr>
            <w:tcW w:w="2205" w:type="dxa"/>
            <w:vAlign w:val="center"/>
          </w:tcPr>
          <w:p>
            <w:pPr>
              <w:pStyle w:val="36"/>
              <w:rPr>
                <w:color w:val="auto"/>
                <w:sz w:val="15"/>
                <w:szCs w:val="15"/>
              </w:rPr>
            </w:pPr>
            <w:r>
              <w:rPr>
                <w:color w:val="auto"/>
                <w:sz w:val="15"/>
                <w:szCs w:val="15"/>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pStyle w:val="36"/>
              <w:rPr>
                <w:color w:val="auto"/>
                <w:sz w:val="15"/>
                <w:szCs w:val="15"/>
              </w:rPr>
            </w:pPr>
            <w:r>
              <w:rPr>
                <w:rFonts w:hint="eastAsia"/>
                <w:color w:val="auto"/>
                <w:sz w:val="15"/>
                <w:szCs w:val="15"/>
              </w:rPr>
              <w:t>钢框架-混凝土剪力墙结构</w:t>
            </w:r>
          </w:p>
        </w:tc>
        <w:tc>
          <w:tcPr>
            <w:tcW w:w="2552" w:type="dxa"/>
            <w:vAlign w:val="center"/>
          </w:tcPr>
          <w:p>
            <w:pPr>
              <w:pStyle w:val="36"/>
              <w:rPr>
                <w:color w:val="auto"/>
                <w:sz w:val="15"/>
                <w:szCs w:val="15"/>
              </w:rPr>
            </w:pPr>
            <w:r>
              <w:rPr>
                <w:color w:val="auto"/>
                <w:sz w:val="15"/>
                <w:szCs w:val="15"/>
              </w:rPr>
              <w:t>130</w:t>
            </w:r>
          </w:p>
        </w:tc>
        <w:tc>
          <w:tcPr>
            <w:tcW w:w="2205" w:type="dxa"/>
            <w:vAlign w:val="center"/>
          </w:tcPr>
          <w:p>
            <w:pPr>
              <w:pStyle w:val="36"/>
              <w:rPr>
                <w:color w:val="auto"/>
                <w:sz w:val="15"/>
                <w:szCs w:val="15"/>
              </w:rPr>
            </w:pPr>
            <w:r>
              <w:rPr>
                <w:color w:val="auto"/>
                <w:sz w:val="15"/>
                <w:szCs w:val="15"/>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39" w:type="dxa"/>
            <w:vAlign w:val="center"/>
          </w:tcPr>
          <w:p>
            <w:pPr>
              <w:pStyle w:val="36"/>
              <w:rPr>
                <w:color w:val="auto"/>
                <w:sz w:val="15"/>
                <w:szCs w:val="15"/>
              </w:rPr>
            </w:pPr>
            <w:r>
              <w:rPr>
                <w:rFonts w:hint="eastAsia"/>
                <w:color w:val="auto"/>
                <w:sz w:val="15"/>
                <w:szCs w:val="15"/>
              </w:rPr>
              <w:t>钢框架-混凝土核心筒结构、钢框架-混凝土外筒结构、钢框架-钢板剪力墙结构、巨型钢框架结构</w:t>
            </w:r>
          </w:p>
        </w:tc>
        <w:tc>
          <w:tcPr>
            <w:tcW w:w="2552" w:type="dxa"/>
            <w:vAlign w:val="center"/>
          </w:tcPr>
          <w:p>
            <w:pPr>
              <w:pStyle w:val="36"/>
              <w:rPr>
                <w:color w:val="auto"/>
                <w:sz w:val="15"/>
                <w:szCs w:val="15"/>
              </w:rPr>
            </w:pPr>
            <w:r>
              <w:rPr>
                <w:rFonts w:hint="eastAsia"/>
                <w:color w:val="auto"/>
                <w:sz w:val="15"/>
                <w:szCs w:val="15"/>
              </w:rPr>
              <w:t>150</w:t>
            </w:r>
          </w:p>
        </w:tc>
        <w:tc>
          <w:tcPr>
            <w:tcW w:w="2205" w:type="dxa"/>
            <w:vAlign w:val="center"/>
          </w:tcPr>
          <w:p>
            <w:pPr>
              <w:pStyle w:val="36"/>
              <w:rPr>
                <w:color w:val="auto"/>
                <w:sz w:val="15"/>
                <w:szCs w:val="15"/>
              </w:rPr>
            </w:pPr>
            <w:r>
              <w:rPr>
                <w:rFonts w:hint="eastAsia"/>
                <w:color w:val="auto"/>
                <w:sz w:val="15"/>
                <w:szCs w:val="15"/>
              </w:rPr>
              <w:t>6</w:t>
            </w:r>
          </w:p>
        </w:tc>
      </w:tr>
    </w:tbl>
    <w:p>
      <w:pPr>
        <w:spacing w:line="240" w:lineRule="auto"/>
        <w:ind w:firstLine="420" w:firstLineChars="200"/>
        <w:rPr>
          <w:bCs/>
          <w:szCs w:val="21"/>
        </w:rPr>
      </w:pPr>
      <w:r>
        <w:rPr>
          <w:rFonts w:hint="eastAsia"/>
          <w:bCs/>
          <w:szCs w:val="21"/>
        </w:rPr>
        <w:t>注：房屋高度指室外地坪到主要屋顶板的高度。</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rFonts w:hint="eastAsia"/>
          <w:bCs/>
          <w:szCs w:val="21"/>
        </w:rPr>
        <w:t xml:space="preserve"> 应根据建筑功能的要求、结构性能的要求、结构体系的特性与适应高度、装配化施工的要求、施工工期及综合造价等，按整体效益最大化原则选择合适的结构体系并进行优化设计。宜选用免支模的钢结构装配式体系。</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4 </w:t>
      </w:r>
      <w:r>
        <w:rPr>
          <w:rFonts w:hint="eastAsia"/>
          <w:bCs/>
          <w:szCs w:val="21"/>
        </w:rPr>
        <w:t xml:space="preserve"> 采用钢框架结构时，当框架柱内力存在较大剪力及弯矩时，宜采用钢框架-支撑结构或钢框架-混凝土核心筒结构等抗侧能力较强的结构。</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5 </w:t>
      </w:r>
      <w:r>
        <w:rPr>
          <w:rFonts w:hint="eastAsia"/>
          <w:bCs/>
          <w:szCs w:val="21"/>
        </w:rPr>
        <w:t xml:space="preserve"> 当结构设计为风振舒适度控制时，宜采用钢框架-混凝土核心筒结构等抗侧能力较强、阻尼比较大的结构体系。</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6 </w:t>
      </w:r>
      <w:r>
        <w:rPr>
          <w:rFonts w:hint="eastAsia"/>
          <w:bCs/>
          <w:szCs w:val="21"/>
        </w:rPr>
        <w:t xml:space="preserve"> 钢结构装配式住宅建筑应符合《建筑抗震设计规范》GB</w:t>
      </w:r>
      <w:r>
        <w:rPr>
          <w:bCs/>
          <w:szCs w:val="21"/>
        </w:rPr>
        <w:t xml:space="preserve"> </w:t>
      </w:r>
      <w:r>
        <w:rPr>
          <w:rFonts w:hint="eastAsia"/>
          <w:bCs/>
          <w:szCs w:val="21"/>
        </w:rPr>
        <w:t>50011、《建筑隔震设计标准》GB/T</w:t>
      </w:r>
      <w:r>
        <w:rPr>
          <w:bCs/>
          <w:szCs w:val="21"/>
        </w:rPr>
        <w:t xml:space="preserve"> </w:t>
      </w:r>
      <w:r>
        <w:rPr>
          <w:rFonts w:hint="eastAsia"/>
          <w:bCs/>
          <w:szCs w:val="21"/>
        </w:rPr>
        <w:t>51408及《深圳市建筑隔震和消能减震技术规程》SJG</w:t>
      </w:r>
      <w:r>
        <w:rPr>
          <w:bCs/>
          <w:szCs w:val="21"/>
        </w:rPr>
        <w:t xml:space="preserve"> </w:t>
      </w:r>
      <w:r>
        <w:rPr>
          <w:rFonts w:hint="eastAsia"/>
          <w:bCs/>
          <w:szCs w:val="21"/>
        </w:rPr>
        <w:t>56的有关规定，可采用减震或隔震技术措施。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7 </w:t>
      </w:r>
      <w:r>
        <w:rPr>
          <w:rFonts w:hint="eastAsia"/>
          <w:bCs/>
          <w:szCs w:val="21"/>
        </w:rPr>
        <w:t xml:space="preserve"> 不在本规程所列范围之内的创新结构体系应进行专项论证，并按照现行国家标准《建筑抗震设计规范》GB</w:t>
      </w:r>
      <w:r>
        <w:rPr>
          <w:bCs/>
          <w:szCs w:val="21"/>
        </w:rPr>
        <w:t xml:space="preserve"> </w:t>
      </w:r>
      <w:r>
        <w:rPr>
          <w:rFonts w:hint="eastAsia"/>
          <w:bCs/>
          <w:szCs w:val="21"/>
        </w:rPr>
        <w:t>50011的规定进行罕遇地震作用下的弹塑性变形验算，并应采取相应的抗震措施。</w:t>
      </w:r>
    </w:p>
    <w:p>
      <w:pPr>
        <w:pStyle w:val="4"/>
        <w:spacing w:before="240" w:after="240" w:line="240" w:lineRule="auto"/>
        <w:jc w:val="center"/>
        <w:rPr>
          <w:rFonts w:ascii="Times New Roman" w:hAnsi="Times New Roman"/>
          <w:sz w:val="21"/>
          <w:szCs w:val="21"/>
        </w:rPr>
      </w:pPr>
      <w:bookmarkStart w:id="15" w:name="_Toc118357445"/>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结 构 布 置</w:t>
      </w:r>
      <w:bookmarkEnd w:id="15"/>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  </w:t>
      </w:r>
      <w:r>
        <w:rPr>
          <w:rFonts w:hint="eastAsia"/>
          <w:bCs/>
          <w:szCs w:val="21"/>
        </w:rPr>
        <w:t xml:space="preserve">结构布置应满足下列安全性通用要求： </w:t>
      </w:r>
    </w:p>
    <w:p>
      <w:pPr>
        <w:spacing w:line="240" w:lineRule="auto"/>
        <w:ind w:firstLine="421" w:firstLineChars="200"/>
        <w:rPr>
          <w:bCs/>
          <w:szCs w:val="21"/>
        </w:rPr>
      </w:pPr>
      <w:r>
        <w:rPr>
          <w:rFonts w:hint="eastAsia"/>
          <w:b/>
          <w:bCs/>
          <w:szCs w:val="21"/>
        </w:rPr>
        <w:t xml:space="preserve">1 </w:t>
      </w:r>
      <w:r>
        <w:rPr>
          <w:rFonts w:hint="eastAsia"/>
          <w:bCs/>
          <w:szCs w:val="21"/>
        </w:rPr>
        <w:t xml:space="preserve"> 结构的竖向和水平布置宜使结构具有合理的刚度和承载力分布，避免因刚度和承载力突变或结构扭转效应而形成薄弱部位；</w:t>
      </w:r>
    </w:p>
    <w:p>
      <w:pPr>
        <w:spacing w:line="240" w:lineRule="auto"/>
        <w:ind w:firstLine="421" w:firstLineChars="200"/>
        <w:rPr>
          <w:bCs/>
          <w:szCs w:val="21"/>
        </w:rPr>
      </w:pPr>
      <w:r>
        <w:rPr>
          <w:rFonts w:hint="eastAsia"/>
          <w:b/>
          <w:bCs/>
          <w:szCs w:val="21"/>
        </w:rPr>
        <w:t xml:space="preserve">2 </w:t>
      </w:r>
      <w:r>
        <w:rPr>
          <w:rFonts w:hint="eastAsia"/>
          <w:bCs/>
          <w:szCs w:val="21"/>
        </w:rPr>
        <w:t xml:space="preserve"> 抗震设计时宜具有多道防线；</w:t>
      </w:r>
    </w:p>
    <w:p>
      <w:pPr>
        <w:spacing w:line="240" w:lineRule="auto"/>
        <w:ind w:firstLine="421" w:firstLineChars="200"/>
        <w:rPr>
          <w:bCs/>
          <w:szCs w:val="21"/>
        </w:rPr>
      </w:pPr>
      <w:r>
        <w:rPr>
          <w:rFonts w:hint="eastAsia"/>
          <w:b/>
          <w:bCs/>
          <w:szCs w:val="21"/>
        </w:rPr>
        <w:t xml:space="preserve">3 </w:t>
      </w:r>
      <w:r>
        <w:rPr>
          <w:rFonts w:hint="eastAsia"/>
          <w:bCs/>
          <w:szCs w:val="21"/>
        </w:rPr>
        <w:t xml:space="preserve"> 应具有明确的计算简图和合理的地震作用传递途径；</w:t>
      </w:r>
    </w:p>
    <w:p>
      <w:pPr>
        <w:spacing w:line="240" w:lineRule="auto"/>
        <w:ind w:firstLine="421" w:firstLineChars="200"/>
        <w:rPr>
          <w:bCs/>
          <w:szCs w:val="21"/>
        </w:rPr>
      </w:pPr>
      <w:r>
        <w:rPr>
          <w:rFonts w:hint="eastAsia"/>
          <w:b/>
          <w:bCs/>
          <w:szCs w:val="21"/>
        </w:rPr>
        <w:t xml:space="preserve">4 </w:t>
      </w:r>
      <w:r>
        <w:rPr>
          <w:rFonts w:hint="eastAsia"/>
          <w:bCs/>
          <w:szCs w:val="21"/>
        </w:rPr>
        <w:t xml:space="preserve"> 应具有必要的承载能力，足够的刚度，良好的变形能力和消耗地震能量的能力；</w:t>
      </w:r>
    </w:p>
    <w:p>
      <w:pPr>
        <w:spacing w:line="240" w:lineRule="auto"/>
        <w:ind w:firstLine="421" w:firstLineChars="200"/>
        <w:rPr>
          <w:bCs/>
          <w:szCs w:val="21"/>
        </w:rPr>
      </w:pPr>
      <w:r>
        <w:rPr>
          <w:rFonts w:hint="eastAsia"/>
          <w:b/>
          <w:bCs/>
          <w:szCs w:val="21"/>
        </w:rPr>
        <w:t xml:space="preserve">5 </w:t>
      </w:r>
      <w:r>
        <w:rPr>
          <w:rFonts w:hint="eastAsia"/>
          <w:bCs/>
          <w:szCs w:val="21"/>
        </w:rPr>
        <w:t xml:space="preserve"> 应避免因部分结构或构件的破坏而导致整个结构丧失承受重力荷载、风荷载和地震作用的能力；</w:t>
      </w:r>
    </w:p>
    <w:p>
      <w:pPr>
        <w:spacing w:line="240" w:lineRule="auto"/>
        <w:ind w:firstLine="421" w:firstLineChars="200"/>
        <w:rPr>
          <w:bCs/>
          <w:szCs w:val="21"/>
        </w:rPr>
      </w:pPr>
      <w:r>
        <w:rPr>
          <w:rFonts w:hint="eastAsia"/>
          <w:b/>
          <w:bCs/>
          <w:szCs w:val="21"/>
        </w:rPr>
        <w:t xml:space="preserve">6 </w:t>
      </w:r>
      <w:r>
        <w:rPr>
          <w:rFonts w:hint="eastAsia"/>
          <w:bCs/>
          <w:szCs w:val="21"/>
        </w:rPr>
        <w:t xml:space="preserve"> 对可能出现的薄弱部位，应采取有效的加强措施。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2 </w:t>
      </w:r>
      <w:r>
        <w:rPr>
          <w:rFonts w:hint="eastAsia"/>
          <w:bCs/>
          <w:szCs w:val="21"/>
        </w:rPr>
        <w:t xml:space="preserve"> 结构布置应与建筑户型、平面和立面设计相协调，不应影响住宅的使用功能。竖向构件宜布置在外墙、分户墙等处，减少对使用功能的影响，宜做到户内无竖向构件，为建筑灵活布置提供可能性；柱外轮廓尺寸宜上下一致。钢梁布置时，应减少对房间美观和使用的影响，宜做到客厅与餐厅之间不设梁、主要房间不露梁。</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rFonts w:hint="eastAsia"/>
          <w:bCs/>
          <w:szCs w:val="21"/>
        </w:rPr>
        <w:t xml:space="preserve"> 结构不宜采用平面和竖向特别不规则的设计方案， 规则性判断应符合现行国家标准《建筑抗震设计规范》GB 50011的要求。</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4 </w:t>
      </w:r>
      <w:r>
        <w:rPr>
          <w:rFonts w:hint="eastAsia"/>
          <w:bCs/>
          <w:szCs w:val="21"/>
        </w:rPr>
        <w:t xml:space="preserve"> 高层钢结构住宅宜选用风压较小的平面形状，并应考虑临近高层建筑物对该建筑物风压的影响。在体型上应避免设计风速范围内出现横向风振动。</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rFonts w:hint="eastAsia"/>
          <w:bCs/>
          <w:szCs w:val="21"/>
        </w:rPr>
        <w:t xml:space="preserve"> 钢结构住宅不宜设置伸缩缝，当必须设置时，伸缩缝应满足防震缝要求。纯钢结构防震缝的宽度不应小于相应钢筋混凝土结构缝宽的2倍，且不小于140mm。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6 </w:t>
      </w:r>
      <w:r>
        <w:rPr>
          <w:rFonts w:hint="eastAsia"/>
          <w:bCs/>
          <w:szCs w:val="21"/>
        </w:rPr>
        <w:t xml:space="preserve"> 采用钢框架结构时，楼梯间的布置应尽量减小其造成的结构平面不规则，若底层层高较高、填充墙较少时，可在底层布置斜撑或剪力墙。</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7 </w:t>
      </w:r>
      <w:r>
        <w:rPr>
          <w:rFonts w:hint="eastAsia"/>
          <w:bCs/>
          <w:szCs w:val="21"/>
        </w:rPr>
        <w:t xml:space="preserve"> 采用钢框架-支撑结构时，其布置应符合下列要求：</w:t>
      </w:r>
    </w:p>
    <w:p>
      <w:pPr>
        <w:spacing w:line="240" w:lineRule="auto"/>
        <w:ind w:firstLine="421" w:firstLineChars="200"/>
        <w:rPr>
          <w:bCs/>
          <w:szCs w:val="21"/>
        </w:rPr>
      </w:pPr>
      <w:r>
        <w:rPr>
          <w:rFonts w:hint="eastAsia"/>
          <w:b/>
          <w:bCs/>
          <w:szCs w:val="21"/>
        </w:rPr>
        <w:t xml:space="preserve">1  </w:t>
      </w:r>
      <w:r>
        <w:rPr>
          <w:rFonts w:hint="eastAsia"/>
          <w:bCs/>
          <w:szCs w:val="21"/>
        </w:rPr>
        <w:t>可分别沿建筑纵向、横向布置钢框架-支撑结构；也可沿横向布置钢框架-支撑结构，纵向布置钢框架结构，其结构最大适用高度可按钢框架结构确定；</w:t>
      </w:r>
    </w:p>
    <w:p>
      <w:pPr>
        <w:spacing w:line="240" w:lineRule="auto"/>
        <w:ind w:firstLine="421" w:firstLineChars="200"/>
        <w:rPr>
          <w:bCs/>
          <w:szCs w:val="21"/>
        </w:rPr>
      </w:pPr>
      <w:r>
        <w:rPr>
          <w:rFonts w:hint="eastAsia"/>
          <w:b/>
          <w:bCs/>
          <w:szCs w:val="21"/>
        </w:rPr>
        <w:t xml:space="preserve">2 </w:t>
      </w:r>
      <w:r>
        <w:rPr>
          <w:rFonts w:hint="eastAsia"/>
          <w:bCs/>
          <w:szCs w:val="21"/>
        </w:rPr>
        <w:t xml:space="preserve"> 支撑宜布置在分户墙、山墙或楼（电）梯间等部位，并不应妨碍和限制住宅建筑的使用功能；</w:t>
      </w:r>
    </w:p>
    <w:p>
      <w:pPr>
        <w:spacing w:line="240" w:lineRule="auto"/>
        <w:ind w:firstLine="421" w:firstLineChars="200"/>
        <w:rPr>
          <w:bCs/>
          <w:szCs w:val="21"/>
        </w:rPr>
      </w:pPr>
      <w:r>
        <w:rPr>
          <w:rFonts w:hint="eastAsia"/>
          <w:b/>
          <w:bCs/>
          <w:szCs w:val="21"/>
        </w:rPr>
        <w:t xml:space="preserve">3 </w:t>
      </w:r>
      <w:r>
        <w:rPr>
          <w:rFonts w:hint="eastAsia"/>
          <w:bCs/>
          <w:szCs w:val="21"/>
        </w:rPr>
        <w:t xml:space="preserve"> 宜采用中心支撑，也可采用偏心支撑、屈曲约束支撑等消能支撑；</w:t>
      </w:r>
    </w:p>
    <w:p>
      <w:pPr>
        <w:spacing w:line="240" w:lineRule="auto"/>
        <w:ind w:firstLine="421" w:firstLineChars="200"/>
        <w:rPr>
          <w:bCs/>
          <w:szCs w:val="21"/>
        </w:rPr>
      </w:pPr>
      <w:r>
        <w:rPr>
          <w:rFonts w:hint="eastAsia"/>
          <w:b/>
          <w:bCs/>
          <w:szCs w:val="21"/>
        </w:rPr>
        <w:t xml:space="preserve">4 </w:t>
      </w:r>
      <w:r>
        <w:rPr>
          <w:rFonts w:hint="eastAsia"/>
          <w:bCs/>
          <w:szCs w:val="21"/>
        </w:rPr>
        <w:t xml:space="preserve"> 支撑沿竖向宜连续布置，并应延伸至计算嵌固端。除底部楼层外，支撑的形式和布置在竖向宜一致。</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8 </w:t>
      </w:r>
      <w:r>
        <w:rPr>
          <w:rFonts w:hint="eastAsia"/>
          <w:bCs/>
          <w:szCs w:val="21"/>
        </w:rPr>
        <w:t xml:space="preserve"> 采用钢框架-混凝土核心筒结构或混凝土外筒结构、混凝土剪力墙结构、钢板剪力墙结构时，其布置应符合下列要求：</w:t>
      </w:r>
    </w:p>
    <w:p>
      <w:pPr>
        <w:spacing w:line="240" w:lineRule="auto"/>
        <w:ind w:firstLine="421" w:firstLineChars="200"/>
        <w:rPr>
          <w:bCs/>
          <w:szCs w:val="21"/>
        </w:rPr>
      </w:pPr>
      <w:r>
        <w:rPr>
          <w:rFonts w:hint="eastAsia"/>
          <w:b/>
          <w:bCs/>
          <w:szCs w:val="21"/>
        </w:rPr>
        <w:t xml:space="preserve">1  </w:t>
      </w:r>
      <w:r>
        <w:rPr>
          <w:rFonts w:hint="eastAsia"/>
          <w:bCs/>
          <w:szCs w:val="21"/>
        </w:rPr>
        <w:t>宜沿结构两主轴方向对称布置剪力墙，剪力墙宜布置在楼梯间、电梯间、分户墙、外墙、平面形状变化与恒荷载较大的部位。当平面形状凹凸较大时，宜在凸出部分的端部附近布置剪力墙；</w:t>
      </w:r>
    </w:p>
    <w:p>
      <w:pPr>
        <w:spacing w:line="240" w:lineRule="auto"/>
        <w:ind w:firstLine="421" w:firstLineChars="200"/>
        <w:rPr>
          <w:bCs/>
          <w:szCs w:val="21"/>
        </w:rPr>
      </w:pPr>
      <w:r>
        <w:rPr>
          <w:rFonts w:hint="eastAsia"/>
          <w:b/>
          <w:bCs/>
          <w:szCs w:val="21"/>
        </w:rPr>
        <w:t xml:space="preserve">2  </w:t>
      </w:r>
      <w:r>
        <w:rPr>
          <w:rFonts w:hint="eastAsia"/>
          <w:bCs/>
          <w:szCs w:val="21"/>
        </w:rPr>
        <w:t>混凝土剪力墙结构部分技术要求应符合《高层建筑混凝土结构技术规程》JGJ 3的有关规定；</w:t>
      </w:r>
    </w:p>
    <w:p>
      <w:pPr>
        <w:spacing w:line="240" w:lineRule="auto"/>
        <w:ind w:firstLine="421" w:firstLineChars="200"/>
        <w:rPr>
          <w:bCs/>
          <w:szCs w:val="21"/>
        </w:rPr>
      </w:pPr>
      <w:r>
        <w:rPr>
          <w:rFonts w:hint="eastAsia"/>
          <w:b/>
          <w:bCs/>
          <w:szCs w:val="21"/>
        </w:rPr>
        <w:t xml:space="preserve">3 </w:t>
      </w:r>
      <w:r>
        <w:rPr>
          <w:rFonts w:hint="eastAsia"/>
          <w:bCs/>
          <w:szCs w:val="21"/>
        </w:rPr>
        <w:t xml:space="preserve"> 核心筒高宽比不宜大于12；</w:t>
      </w:r>
    </w:p>
    <w:p>
      <w:pPr>
        <w:spacing w:line="240" w:lineRule="auto"/>
        <w:ind w:firstLine="421" w:firstLineChars="200"/>
        <w:rPr>
          <w:bCs/>
          <w:szCs w:val="21"/>
        </w:rPr>
      </w:pPr>
      <w:r>
        <w:rPr>
          <w:rFonts w:hint="eastAsia"/>
          <w:b/>
          <w:bCs/>
          <w:szCs w:val="21"/>
        </w:rPr>
        <w:t xml:space="preserve">4 </w:t>
      </w:r>
      <w:r>
        <w:rPr>
          <w:rFonts w:hint="eastAsia"/>
          <w:bCs/>
          <w:szCs w:val="21"/>
        </w:rPr>
        <w:t xml:space="preserve"> 钢框架梁与柱之间宜采用刚接，钢框架梁与剪力墙之间可采用铰接；钢框架梁与柱或柱与剪力墙的中心线宜重合。</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9 </w:t>
      </w:r>
      <w:r>
        <w:rPr>
          <w:rFonts w:hint="eastAsia"/>
          <w:bCs/>
          <w:szCs w:val="21"/>
        </w:rPr>
        <w:t xml:space="preserve"> 高度超过100m或对风荷载作用影响大的钢结构住宅，屋顶宜加装风速与风振加速度观测仪器，获取环境风与结构动态效应等信息，并验算风洞试验及计算分析的准确性。</w:t>
      </w:r>
    </w:p>
    <w:p>
      <w:pPr>
        <w:pStyle w:val="4"/>
        <w:spacing w:before="240" w:after="240" w:line="240" w:lineRule="auto"/>
        <w:jc w:val="center"/>
        <w:rPr>
          <w:rFonts w:ascii="Times New Roman" w:hAnsi="Times New Roman"/>
          <w:sz w:val="21"/>
          <w:szCs w:val="21"/>
        </w:rPr>
      </w:pPr>
      <w:bookmarkStart w:id="16" w:name="_Toc118357446"/>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5  </w:t>
      </w:r>
      <w:r>
        <w:rPr>
          <w:rFonts w:hint="eastAsia" w:ascii="黑体" w:hAnsi="黑体" w:eastAsia="黑体"/>
          <w:b w:val="0"/>
          <w:sz w:val="21"/>
          <w:szCs w:val="21"/>
        </w:rPr>
        <w:t>结 构 分 析</w:t>
      </w:r>
      <w:bookmarkEnd w:id="16"/>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 </w:t>
      </w:r>
      <w:r>
        <w:rPr>
          <w:rFonts w:hint="eastAsia"/>
          <w:bCs/>
          <w:szCs w:val="21"/>
        </w:rPr>
        <w:t xml:space="preserve"> 结构的计算模型与基本假定应与结构实际受力、变形的机制相符合。对体型复杂或结构布置复杂且房屋高度超过100m的结构，宜采用两个不同力学模型的结构分析软件进行对比分析。</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2 </w:t>
      </w:r>
      <w:r>
        <w:rPr>
          <w:rFonts w:hint="eastAsia"/>
          <w:bCs/>
          <w:szCs w:val="21"/>
        </w:rPr>
        <w:t xml:space="preserve"> 对钢结构，根据整体结构最低弹性竖向临界荷载与荷载设计值的比值或各方向侧力作用下最大顶点位移二阶效应增大系数，选择一阶弹性分析与设计法或二阶P-Δ弹性分析与设计法或直接分析与设计法。当结构整体最低弹性竖向临界荷载与荷载设计值的比值大于10或弯剪型结构各方向侧力作用下最大顶点位移二阶效应增大系数小于8%时，可采用一阶弹性分析与设计法。</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3 </w:t>
      </w:r>
      <w:r>
        <w:rPr>
          <w:rFonts w:hint="eastAsia"/>
          <w:bCs/>
          <w:szCs w:val="21"/>
        </w:rPr>
        <w:t xml:space="preserve"> 当结构内力分析采用一阶弹性分析方法时，柱的计算长度系数应根据结构类型及支撑体系刚度按现行规范确定。当结构内力分析采用二阶弹性分析方法且在每层柱顶施加假想水平力时，柱的计算长度系数取1</w:t>
      </w:r>
      <w:r>
        <w:rPr>
          <w:rFonts w:hint="eastAsia" w:ascii="宋体" w:hAnsi="宋体"/>
          <w:b/>
          <w:bCs/>
          <w:szCs w:val="21"/>
        </w:rPr>
        <w:t>.</w:t>
      </w:r>
      <w:r>
        <w:rPr>
          <w:rFonts w:hint="eastAsia"/>
          <w:bCs/>
          <w:szCs w:val="21"/>
        </w:rPr>
        <w:t>0。</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4 </w:t>
      </w:r>
      <w:r>
        <w:rPr>
          <w:rFonts w:hint="eastAsia"/>
          <w:bCs/>
          <w:szCs w:val="21"/>
        </w:rPr>
        <w:t xml:space="preserve"> 高层钢结构的整体稳定性应满足如下要求：</w:t>
      </w:r>
    </w:p>
    <w:p>
      <w:pPr>
        <w:spacing w:line="240" w:lineRule="auto"/>
        <w:ind w:firstLine="421" w:firstLineChars="200"/>
        <w:rPr>
          <w:bCs/>
          <w:szCs w:val="21"/>
        </w:rPr>
      </w:pPr>
      <w:r>
        <w:rPr>
          <w:rFonts w:hint="eastAsia"/>
          <w:b/>
          <w:bCs/>
          <w:szCs w:val="21"/>
        </w:rPr>
        <w:t xml:space="preserve">1  </w:t>
      </w:r>
      <w:r>
        <w:rPr>
          <w:rFonts w:hint="eastAsia"/>
          <w:bCs/>
          <w:szCs w:val="21"/>
        </w:rPr>
        <w:t>整体结构最低弹性竖向临界荷载与荷载设计值的比值大于6；</w:t>
      </w:r>
    </w:p>
    <w:p>
      <w:pPr>
        <w:spacing w:line="240" w:lineRule="auto"/>
        <w:ind w:firstLine="421" w:firstLineChars="200"/>
        <w:rPr>
          <w:bCs/>
          <w:szCs w:val="21"/>
        </w:rPr>
      </w:pPr>
      <w:r>
        <w:rPr>
          <w:rFonts w:hint="eastAsia"/>
          <w:b/>
          <w:bCs/>
          <w:szCs w:val="21"/>
        </w:rPr>
        <w:t xml:space="preserve">2  </w:t>
      </w:r>
      <w:r>
        <w:rPr>
          <w:rFonts w:hint="eastAsia"/>
          <w:bCs/>
          <w:szCs w:val="21"/>
        </w:rPr>
        <w:t>弯剪型结构最大顶点位移二阶效应增大系数小于或等于16%。</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5</w:t>
      </w:r>
      <w:r>
        <w:rPr>
          <w:rFonts w:hint="eastAsia"/>
          <w:bCs/>
          <w:szCs w:val="21"/>
        </w:rPr>
        <w:t xml:space="preserve">  对钢框架-支撑（剪力墙、核心筒）结构，底部框架柱所承担的剪力不宜大于地震总剪力的50%。当底部框架按刚度分配所得框架的剪力小于总剪力的25%及框架部分最大层剪力的1</w:t>
      </w:r>
      <w:r>
        <w:rPr>
          <w:rFonts w:hint="eastAsia" w:ascii="宋体" w:hAnsi="宋体"/>
          <w:bCs/>
          <w:szCs w:val="21"/>
        </w:rPr>
        <w:t>.</w:t>
      </w:r>
      <w:r>
        <w:rPr>
          <w:rFonts w:hint="eastAsia"/>
          <w:bCs/>
          <w:szCs w:val="21"/>
        </w:rPr>
        <w:t>8倍二者的较小值时，设计时框架部分的地震剪力应乘以增大系数。</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6</w:t>
      </w:r>
      <w:r>
        <w:rPr>
          <w:rFonts w:hint="eastAsia"/>
          <w:bCs/>
          <w:szCs w:val="21"/>
        </w:rPr>
        <w:t xml:space="preserve">  多遇地震与风荷载作用下的内力与变形分析时，对钢结构，其阻尼比取2%；对混合结构，其阻尼比取3%，也可按钢材与混凝土的材料阻尼比及应变能因子确定各振型的阻尼比。</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7 </w:t>
      </w:r>
      <w:r>
        <w:rPr>
          <w:rFonts w:hint="eastAsia"/>
          <w:bCs/>
          <w:szCs w:val="21"/>
        </w:rPr>
        <w:t xml:space="preserve"> 结构分析时，应考虑构件偏心的影响及楼板、楼梯和围护结构的作用，并考虑混凝土受拉开裂后刚度退化的影响。</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8 </w:t>
      </w:r>
      <w:r>
        <w:rPr>
          <w:rFonts w:hint="eastAsia"/>
          <w:bCs/>
          <w:szCs w:val="21"/>
        </w:rPr>
        <w:t xml:space="preserve"> 应考虑楼板对钢梁刚度的贡献，相应梁的抗弯刚度可乘以放大系数。对两侧有楼板的梁，其抗弯刚度放大系数可取1</w:t>
      </w:r>
      <w:r>
        <w:rPr>
          <w:rFonts w:hint="eastAsia" w:ascii="宋体" w:hAnsi="宋体"/>
          <w:b/>
          <w:bCs/>
          <w:szCs w:val="21"/>
        </w:rPr>
        <w:t>.</w:t>
      </w:r>
      <w:r>
        <w:rPr>
          <w:rFonts w:hint="eastAsia"/>
          <w:bCs/>
          <w:szCs w:val="21"/>
        </w:rPr>
        <w:t>5；对仅一侧有楼板的梁，其抗弯刚度放大系数可取1</w:t>
      </w:r>
      <w:r>
        <w:rPr>
          <w:rFonts w:hint="eastAsia" w:ascii="宋体" w:hAnsi="宋体"/>
          <w:b/>
          <w:bCs/>
          <w:szCs w:val="21"/>
        </w:rPr>
        <w:t>.</w:t>
      </w:r>
      <w:r>
        <w:rPr>
          <w:rFonts w:hint="eastAsia"/>
          <w:bCs/>
          <w:szCs w:val="21"/>
        </w:rPr>
        <w:t xml:space="preserve">2。 </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9 </w:t>
      </w:r>
      <w:r>
        <w:rPr>
          <w:rFonts w:hint="eastAsia"/>
          <w:bCs/>
          <w:szCs w:val="21"/>
        </w:rPr>
        <w:t xml:space="preserve"> 对钢管混凝土柱，应复核水平作用下柱中的混凝土拉应力标准值是否超过抗拉强度的标准值，否则，应采取相应的措施。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10 </w:t>
      </w:r>
      <w:r>
        <w:rPr>
          <w:rFonts w:hint="eastAsia"/>
          <w:bCs/>
          <w:szCs w:val="21"/>
        </w:rPr>
        <w:t xml:space="preserve"> 应根据楼板的内力，复核钢梁与混凝土楼板之间栓钉的抗剪承载力。次梁设计时，其抗弯与抗剪承载力可考虑与楼板组合的有利作用。</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11 </w:t>
      </w:r>
      <w:r>
        <w:rPr>
          <w:rFonts w:hint="eastAsia"/>
          <w:bCs/>
          <w:szCs w:val="21"/>
        </w:rPr>
        <w:t xml:space="preserve"> 风振加速度计算时，采用10年重现期风压作用，钢结构阻尼比可取0</w:t>
      </w:r>
      <w:r>
        <w:rPr>
          <w:rFonts w:hint="eastAsia" w:ascii="宋体" w:hAnsi="宋体"/>
          <w:bCs/>
          <w:szCs w:val="21"/>
        </w:rPr>
        <w:t>.</w:t>
      </w:r>
      <w:r>
        <w:rPr>
          <w:rFonts w:hint="eastAsia"/>
          <w:bCs/>
          <w:szCs w:val="21"/>
        </w:rPr>
        <w:t>01，混合结构阻尼比取0</w:t>
      </w:r>
      <w:r>
        <w:rPr>
          <w:rFonts w:hint="eastAsia" w:ascii="宋体" w:hAnsi="宋体"/>
          <w:b/>
          <w:bCs/>
          <w:szCs w:val="21"/>
        </w:rPr>
        <w:t>.</w:t>
      </w:r>
      <w:r>
        <w:rPr>
          <w:rFonts w:hint="eastAsia"/>
          <w:bCs/>
          <w:szCs w:val="21"/>
        </w:rPr>
        <w:t>015。</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12  </w:t>
      </w:r>
      <w:r>
        <w:rPr>
          <w:rFonts w:hint="eastAsia"/>
          <w:bCs/>
          <w:szCs w:val="21"/>
        </w:rPr>
        <w:t>对凹凸不规则程度较大的结构，宜采用风洞试验测点的风力时程进行多点加载，按弹性楼盖模型进行时程分析，并按合成加速度的算法及随机理论的处理方法，求出峰值因子为2</w:t>
      </w:r>
      <w:r>
        <w:rPr>
          <w:rFonts w:hint="eastAsia" w:ascii="宋体" w:hAnsi="宋体"/>
          <w:b/>
          <w:bCs/>
          <w:szCs w:val="21"/>
        </w:rPr>
        <w:t>.</w:t>
      </w:r>
      <w:r>
        <w:rPr>
          <w:rFonts w:hint="eastAsia"/>
          <w:bCs/>
          <w:szCs w:val="21"/>
        </w:rPr>
        <w:t>5时对应的合成加速度，复核其是否满足5</w:t>
      </w:r>
      <w:r>
        <w:rPr>
          <w:rFonts w:hint="eastAsia" w:ascii="宋体" w:hAnsi="宋体"/>
          <w:bCs/>
          <w:szCs w:val="21"/>
        </w:rPr>
        <w:t>.</w:t>
      </w:r>
      <w:r>
        <w:rPr>
          <w:rFonts w:hint="eastAsia"/>
          <w:bCs/>
          <w:szCs w:val="21"/>
        </w:rPr>
        <w:t>2</w:t>
      </w:r>
      <w:r>
        <w:rPr>
          <w:rFonts w:hint="eastAsia" w:ascii="宋体" w:hAnsi="宋体"/>
          <w:bCs/>
          <w:szCs w:val="21"/>
        </w:rPr>
        <w:t>.</w:t>
      </w:r>
      <w:r>
        <w:rPr>
          <w:rFonts w:hint="eastAsia"/>
          <w:bCs/>
          <w:szCs w:val="21"/>
        </w:rPr>
        <w:t>12条的限值的要求。</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13 </w:t>
      </w:r>
      <w:r>
        <w:rPr>
          <w:rFonts w:hint="eastAsia"/>
          <w:bCs/>
          <w:szCs w:val="21"/>
        </w:rPr>
        <w:t xml:space="preserve"> 对钢结构的关键节点，应采用壳元或实体元对节点进行精细化分析。</w:t>
      </w:r>
    </w:p>
    <w:p>
      <w:pPr>
        <w:pStyle w:val="4"/>
        <w:spacing w:before="240" w:after="240" w:line="240" w:lineRule="auto"/>
        <w:jc w:val="center"/>
        <w:rPr>
          <w:rFonts w:ascii="Times New Roman" w:hAnsi="Times New Roman"/>
          <w:sz w:val="21"/>
          <w:szCs w:val="21"/>
        </w:rPr>
      </w:pPr>
      <w:bookmarkStart w:id="17" w:name="_Toc118357447"/>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6 </w:t>
      </w:r>
      <w:r>
        <w:rPr>
          <w:rFonts w:hint="eastAsia" w:ascii="黑体" w:hAnsi="黑体" w:eastAsia="黑体"/>
          <w:b w:val="0"/>
          <w:sz w:val="21"/>
          <w:szCs w:val="21"/>
        </w:rPr>
        <w:t xml:space="preserve"> 部（构）件设计</w:t>
      </w:r>
      <w:bookmarkEnd w:id="17"/>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钢结构装配式住宅建筑的主要钢结构部（构）件系统宜采用《钢结构住宅主要构件尺寸指南》中型钢构件，也可采用焊接组合截面。当采用冷弯方形、矩形钢管部（构）件时，宜进行热处理。</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2 </w:t>
      </w:r>
      <w:r>
        <w:rPr>
          <w:rFonts w:hint="eastAsia"/>
          <w:bCs/>
          <w:szCs w:val="21"/>
        </w:rPr>
        <w:t xml:space="preserve"> 框架柱、支撑斜杆的长细比，框架梁、柱和支撑斜杆的板件宽厚比应符合现行相关标准的规定。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3 </w:t>
      </w:r>
      <w:r>
        <w:rPr>
          <w:rFonts w:hint="eastAsia"/>
          <w:bCs/>
          <w:szCs w:val="21"/>
        </w:rPr>
        <w:t xml:space="preserve"> 除位于地下的结构构件外，其余结构构件不宜采用现场浇筑的型钢混凝土部（构）件。当采用钢管混凝土柱时，设计与施工时应采取保证混凝土浇筑密实的措施。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4 </w:t>
      </w:r>
      <w:r>
        <w:rPr>
          <w:rFonts w:hint="eastAsia"/>
          <w:bCs/>
          <w:szCs w:val="21"/>
        </w:rPr>
        <w:t xml:space="preserve"> 多层框架柱可选用热轧H型钢或焊接H形截面柱，高层框架柱宜选用矩形截面构件，可采用冷成型方（矩）钢管柱、焊接箱形截面柱以及钢管混凝土柱。冷成型方（矩）管应选用符合现行行业标准《建筑结构用冷弯矩形钢管》JG/T</w:t>
      </w:r>
      <w:r>
        <w:rPr>
          <w:bCs/>
          <w:szCs w:val="21"/>
        </w:rPr>
        <w:t xml:space="preserve"> </w:t>
      </w:r>
      <w:r>
        <w:rPr>
          <w:rFonts w:hint="eastAsia"/>
          <w:bCs/>
          <w:szCs w:val="21"/>
        </w:rPr>
        <w:t>178规定的I级产品；当钢柱壁厚大于20mm时，宜选用四块板组焊的箱形截面。高层钢框架结构柱截面最小尺寸不宜小于300mm。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5 </w:t>
      </w:r>
      <w:r>
        <w:rPr>
          <w:rFonts w:hint="eastAsia"/>
          <w:bCs/>
          <w:szCs w:val="21"/>
        </w:rPr>
        <w:t xml:space="preserve"> 框架梁与楼面梁宜选用热轧H型钢或焊接H形截面构件。当选用高频焊薄壁H形钢梁时，截面板件厚度不宜小于4</w:t>
      </w:r>
      <w:r>
        <w:rPr>
          <w:rFonts w:hint="eastAsia" w:ascii="宋体" w:hAnsi="宋体"/>
          <w:b/>
          <w:bCs/>
          <w:szCs w:val="21"/>
        </w:rPr>
        <w:t>.</w:t>
      </w:r>
      <w:r>
        <w:rPr>
          <w:rFonts w:hint="eastAsia"/>
          <w:bCs/>
          <w:szCs w:val="21"/>
        </w:rPr>
        <w:t>5mm。当结构的抗震等级为一级或二级时，框架梁端部应按规定加强构造。</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6 </w:t>
      </w:r>
      <w:r>
        <w:rPr>
          <w:rFonts w:hint="eastAsia"/>
          <w:bCs/>
          <w:szCs w:val="21"/>
        </w:rPr>
        <w:t xml:space="preserve"> 支撑宜选用箱形截面或H形截面构件,不应选用圆钢拉杆作支撑。支撑布置在分户墙或隔墙内时，宜选用平面外宽度较小的截面形式。</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7 </w:t>
      </w:r>
      <w:r>
        <w:rPr>
          <w:rFonts w:hint="eastAsia"/>
          <w:bCs/>
          <w:szCs w:val="21"/>
        </w:rPr>
        <w:t xml:space="preserve"> 钢结构装配式住宅的楼梯、阳台板、空调板、飘窗等宜采用预制构件或叠合构件。预制构件应与主体结构可靠连接；叠合构件的负弯矩钢筋应在相邻叠合板的后浇混凝土中可靠锚固。其构造做法可按现行行业标准《装配式混凝土结构技术规程》JGJ 1相关规定执行。</w:t>
      </w:r>
    </w:p>
    <w:p>
      <w:pPr>
        <w:pStyle w:val="4"/>
        <w:spacing w:before="240" w:after="240" w:line="240" w:lineRule="auto"/>
        <w:jc w:val="center"/>
        <w:rPr>
          <w:rFonts w:ascii="Times New Roman" w:hAnsi="Times New Roman"/>
          <w:sz w:val="21"/>
          <w:szCs w:val="21"/>
        </w:rPr>
      </w:pPr>
      <w:bookmarkStart w:id="18" w:name="_Toc118357448"/>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7  </w:t>
      </w:r>
      <w:r>
        <w:rPr>
          <w:rFonts w:hint="eastAsia" w:ascii="黑体" w:hAnsi="黑体" w:eastAsia="黑体"/>
          <w:b w:val="0"/>
          <w:sz w:val="21"/>
          <w:szCs w:val="21"/>
        </w:rPr>
        <w:t>节点与连接设计</w:t>
      </w:r>
      <w:bookmarkEnd w:id="18"/>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1  </w:t>
      </w:r>
      <w:r>
        <w:rPr>
          <w:rFonts w:hint="eastAsia"/>
          <w:bCs/>
          <w:szCs w:val="21"/>
        </w:rPr>
        <w:t>节点设计应符合下列要求：</w:t>
      </w:r>
    </w:p>
    <w:p>
      <w:pPr>
        <w:spacing w:line="240" w:lineRule="auto"/>
        <w:ind w:firstLine="421" w:firstLineChars="200"/>
        <w:rPr>
          <w:bCs/>
          <w:szCs w:val="21"/>
        </w:rPr>
      </w:pPr>
      <w:r>
        <w:rPr>
          <w:rFonts w:hint="eastAsia"/>
          <w:b/>
          <w:bCs/>
          <w:szCs w:val="21"/>
        </w:rPr>
        <w:t xml:space="preserve">1  </w:t>
      </w:r>
      <w:r>
        <w:rPr>
          <w:rFonts w:hint="eastAsia"/>
          <w:bCs/>
          <w:szCs w:val="21"/>
        </w:rPr>
        <w:t>节点设计应根据建筑与设备的要求、住宅结构的受力特点、荷载情况和工作环境及装饰装修等因素，选用适宜的节点形式，节点与连接应做到安全可靠、传力直接、节约材料、便捷施工和标准化。</w:t>
      </w:r>
    </w:p>
    <w:p>
      <w:pPr>
        <w:spacing w:line="240" w:lineRule="auto"/>
        <w:ind w:firstLine="421" w:firstLineChars="200"/>
        <w:rPr>
          <w:bCs/>
          <w:szCs w:val="21"/>
        </w:rPr>
      </w:pPr>
      <w:r>
        <w:rPr>
          <w:rFonts w:hint="eastAsia"/>
          <w:b/>
          <w:bCs/>
          <w:szCs w:val="21"/>
        </w:rPr>
        <w:t xml:space="preserve">2 </w:t>
      </w:r>
      <w:r>
        <w:rPr>
          <w:rFonts w:hint="eastAsia"/>
          <w:bCs/>
          <w:szCs w:val="21"/>
        </w:rPr>
        <w:t xml:space="preserve"> 节点设计应满足承载力极限状态要求，防止节点因强度破坏、局部失稳、变形过大、连接开裂等引起节点失效。并应具有必要的延性，避免产生应力集中和过大的焊接约束应力；</w:t>
      </w:r>
    </w:p>
    <w:p>
      <w:pPr>
        <w:spacing w:line="240" w:lineRule="auto"/>
        <w:ind w:firstLine="421" w:firstLineChars="200"/>
        <w:rPr>
          <w:bCs/>
          <w:szCs w:val="21"/>
        </w:rPr>
      </w:pPr>
      <w:r>
        <w:rPr>
          <w:rFonts w:hint="eastAsia"/>
          <w:b/>
          <w:bCs/>
          <w:szCs w:val="21"/>
        </w:rPr>
        <w:t xml:space="preserve">3  </w:t>
      </w:r>
      <w:r>
        <w:rPr>
          <w:rFonts w:hint="eastAsia"/>
          <w:bCs/>
          <w:szCs w:val="21"/>
        </w:rPr>
        <w:t>节点设计除按弹性方法进行节点域及连接极限承载力等计算外，尚应按结构进入弹塑性阶段进行节点区梁端、柱端全塑性承载力与节点域屈服承载力的验算；当钢管柱（方矩形管）与钢梁连接时，应进行局部管壁应力验算；节点的强度、刚度、节点连接的承载力应不低于连接于节点上各个构件的屈服承载能力；强柱弱梁等验算尚应符合现行相关规范的规定；</w:t>
      </w:r>
    </w:p>
    <w:p>
      <w:pPr>
        <w:spacing w:line="240" w:lineRule="auto"/>
        <w:ind w:firstLine="421" w:firstLineChars="200"/>
        <w:rPr>
          <w:bCs/>
          <w:szCs w:val="21"/>
        </w:rPr>
      </w:pPr>
      <w:r>
        <w:rPr>
          <w:rFonts w:hint="eastAsia"/>
          <w:b/>
          <w:bCs/>
          <w:szCs w:val="21"/>
        </w:rPr>
        <w:t xml:space="preserve">4  </w:t>
      </w:r>
      <w:r>
        <w:rPr>
          <w:rFonts w:hint="eastAsia"/>
          <w:bCs/>
          <w:szCs w:val="21"/>
        </w:rPr>
        <w:t>钢框架梁柱刚性节点设计，应符合受力过程中刚性交角不变的设计假定。当构件在节点偏心相交时，尚应考虑局部弯矩的影响，特殊节点应通过有限元分析确定其承载力，新型节点应通过试验验证；</w:t>
      </w:r>
    </w:p>
    <w:p>
      <w:pPr>
        <w:spacing w:line="240" w:lineRule="auto"/>
        <w:ind w:firstLine="421" w:firstLineChars="200"/>
        <w:rPr>
          <w:bCs/>
          <w:szCs w:val="21"/>
        </w:rPr>
      </w:pPr>
      <w:r>
        <w:rPr>
          <w:rFonts w:hint="eastAsia"/>
          <w:b/>
          <w:bCs/>
          <w:szCs w:val="21"/>
        </w:rPr>
        <w:t xml:space="preserve">5  </w:t>
      </w:r>
      <w:r>
        <w:rPr>
          <w:rFonts w:hint="eastAsia"/>
          <w:bCs/>
          <w:szCs w:val="21"/>
        </w:rPr>
        <w:t>梁柱节点可采用隔板贯通式连接、栓-焊连接、带短梁的内隔板式连接、外肋环板式连接和全螺栓连接等形式，并应符合《钢结构设计标准》GB 50017、《建筑抗震设计规范》GB 50011及《高层民用建筑钢结构技术规程》JGJ 99等标准的有关规定；当柱采用钢管混凝土柱时，尚应符合《钢管混凝土结构技术规范》GB 50936的有关规定；</w:t>
      </w:r>
    </w:p>
    <w:p>
      <w:pPr>
        <w:spacing w:line="240" w:lineRule="auto"/>
        <w:ind w:firstLine="421" w:firstLineChars="200"/>
        <w:rPr>
          <w:bCs/>
          <w:szCs w:val="21"/>
        </w:rPr>
      </w:pPr>
      <w:r>
        <w:rPr>
          <w:rFonts w:hint="eastAsia"/>
          <w:b/>
          <w:bCs/>
          <w:szCs w:val="21"/>
        </w:rPr>
        <w:t xml:space="preserve">6 </w:t>
      </w:r>
      <w:r>
        <w:rPr>
          <w:rFonts w:hint="eastAsia"/>
          <w:bCs/>
          <w:szCs w:val="21"/>
        </w:rPr>
        <w:t xml:space="preserve"> 连接节点采用半刚性假定时，其节点计算假定的刚度取值应与构造形成的节点刚度值保持一致；</w:t>
      </w:r>
    </w:p>
    <w:p>
      <w:pPr>
        <w:spacing w:line="240" w:lineRule="auto"/>
        <w:ind w:firstLine="421" w:firstLineChars="200"/>
        <w:rPr>
          <w:bCs/>
          <w:szCs w:val="21"/>
        </w:rPr>
      </w:pPr>
      <w:r>
        <w:rPr>
          <w:rFonts w:hint="eastAsia"/>
          <w:b/>
          <w:bCs/>
          <w:szCs w:val="21"/>
        </w:rPr>
        <w:t xml:space="preserve">7  </w:t>
      </w:r>
      <w:r>
        <w:rPr>
          <w:rFonts w:hint="eastAsia"/>
          <w:bCs/>
          <w:szCs w:val="21"/>
        </w:rPr>
        <w:t>钢框架梁柱、支撑等杆件的拼接接头，应按与构件等强度设计其构造，尚应进行极限承载力验算；</w:t>
      </w:r>
    </w:p>
    <w:p>
      <w:pPr>
        <w:spacing w:line="240" w:lineRule="auto"/>
        <w:ind w:firstLine="421" w:firstLineChars="200"/>
        <w:rPr>
          <w:bCs/>
          <w:szCs w:val="21"/>
        </w:rPr>
      </w:pPr>
      <w:r>
        <w:rPr>
          <w:rFonts w:hint="eastAsia"/>
          <w:b/>
          <w:bCs/>
          <w:szCs w:val="21"/>
        </w:rPr>
        <w:t xml:space="preserve">8 </w:t>
      </w:r>
      <w:r>
        <w:rPr>
          <w:rFonts w:hint="eastAsia"/>
          <w:bCs/>
          <w:szCs w:val="21"/>
        </w:rPr>
        <w:t xml:space="preserve"> 节点构造应便于制作、运输、安装、维护，防止积水、积尘，并采取可靠的防腐与防火措施。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2 </w:t>
      </w:r>
      <w:r>
        <w:rPr>
          <w:rFonts w:hint="eastAsia"/>
          <w:bCs/>
          <w:szCs w:val="21"/>
        </w:rPr>
        <w:t xml:space="preserve"> 钢柱脚宜采用埋入式柱脚，有地下室时也可以采用外包式柱脚。当地下室不少于两层，且嵌固端在地下室顶板时，延伸至地下室顶板的钢柱脚也可以采用铰接柱脚，但应复核柱脚抗拉承载力。</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3 </w:t>
      </w:r>
      <w:r>
        <w:rPr>
          <w:rFonts w:hint="eastAsia"/>
          <w:bCs/>
          <w:szCs w:val="21"/>
        </w:rPr>
        <w:t xml:space="preserve"> 埋入式柱脚构造应符合下列要求：</w:t>
      </w:r>
    </w:p>
    <w:p>
      <w:pPr>
        <w:spacing w:line="240" w:lineRule="auto"/>
        <w:ind w:firstLine="421" w:firstLineChars="200"/>
        <w:rPr>
          <w:bCs/>
          <w:szCs w:val="21"/>
        </w:rPr>
      </w:pPr>
      <w:r>
        <w:rPr>
          <w:rFonts w:hint="eastAsia"/>
          <w:b/>
          <w:bCs/>
          <w:szCs w:val="21"/>
        </w:rPr>
        <w:t>1</w:t>
      </w:r>
      <w:r>
        <w:rPr>
          <w:b/>
          <w:bCs/>
          <w:szCs w:val="21"/>
        </w:rPr>
        <w:t xml:space="preserve">  </w:t>
      </w:r>
      <w:r>
        <w:rPr>
          <w:rFonts w:hint="eastAsia"/>
          <w:bCs/>
          <w:szCs w:val="21"/>
        </w:rPr>
        <w:t>埋入式柱脚的埋深，对轻型钢柱，不得小于钢柱截面高度的2倍，对于热轧H型钢和箱形（圆形）柱，不得小于钢柱截面高度（直径）的3倍；</w:t>
      </w:r>
    </w:p>
    <w:p>
      <w:pPr>
        <w:spacing w:line="240" w:lineRule="auto"/>
        <w:ind w:firstLine="421" w:firstLineChars="200"/>
        <w:rPr>
          <w:bCs/>
          <w:szCs w:val="21"/>
        </w:rPr>
      </w:pPr>
      <w:r>
        <w:rPr>
          <w:rFonts w:hint="eastAsia"/>
          <w:b/>
          <w:bCs/>
          <w:szCs w:val="21"/>
        </w:rPr>
        <w:t>2</w:t>
      </w:r>
      <w:r>
        <w:rPr>
          <w:b/>
          <w:bCs/>
          <w:szCs w:val="21"/>
        </w:rPr>
        <w:t xml:space="preserve">  </w:t>
      </w:r>
      <w:r>
        <w:rPr>
          <w:rFonts w:hint="eastAsia"/>
          <w:bCs/>
          <w:szCs w:val="21"/>
        </w:rPr>
        <w:t>埋入式柱脚底板应用预埋锚栓连接，柱脚的埋入部分应设置栓钉。栓钉的数量和布置可按外包式柱脚的有关规定确定；</w:t>
      </w:r>
    </w:p>
    <w:p>
      <w:pPr>
        <w:spacing w:line="240" w:lineRule="auto"/>
        <w:ind w:firstLine="421" w:firstLineChars="200"/>
        <w:rPr>
          <w:bCs/>
          <w:szCs w:val="21"/>
        </w:rPr>
      </w:pPr>
      <w:r>
        <w:rPr>
          <w:rFonts w:hint="eastAsia"/>
          <w:b/>
          <w:bCs/>
          <w:szCs w:val="21"/>
        </w:rPr>
        <w:t>3</w:t>
      </w:r>
      <w:r>
        <w:rPr>
          <w:b/>
          <w:bCs/>
          <w:szCs w:val="21"/>
        </w:rPr>
        <w:t xml:space="preserve">  </w:t>
      </w:r>
      <w:r>
        <w:rPr>
          <w:rFonts w:hint="eastAsia"/>
          <w:bCs/>
          <w:szCs w:val="21"/>
        </w:rPr>
        <w:t>埋入式柱脚通过混凝土对钢柱的承压力传递弯矩。埋入式柱脚的混凝土承压应力应小于混凝土轴心抗压强度设计值。</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4 </w:t>
      </w:r>
      <w:r>
        <w:rPr>
          <w:rFonts w:hint="eastAsia"/>
          <w:bCs/>
          <w:szCs w:val="21"/>
        </w:rPr>
        <w:t xml:space="preserve"> 外包式钢柱脚构造应符合下列要求：</w:t>
      </w:r>
    </w:p>
    <w:p>
      <w:pPr>
        <w:spacing w:line="240" w:lineRule="auto"/>
        <w:ind w:firstLine="421" w:firstLineChars="200"/>
        <w:rPr>
          <w:bCs/>
          <w:szCs w:val="21"/>
        </w:rPr>
      </w:pPr>
      <w:r>
        <w:rPr>
          <w:rFonts w:hint="eastAsia"/>
          <w:b/>
          <w:bCs/>
          <w:szCs w:val="21"/>
        </w:rPr>
        <w:t>1</w:t>
      </w:r>
      <w:r>
        <w:rPr>
          <w:b/>
          <w:bCs/>
          <w:szCs w:val="21"/>
        </w:rPr>
        <w:t xml:space="preserve">  </w:t>
      </w:r>
      <w:r>
        <w:rPr>
          <w:rFonts w:hint="eastAsia"/>
          <w:bCs/>
          <w:szCs w:val="21"/>
        </w:rPr>
        <w:t>外包式钢柱脚的外包混凝土高度与埋入式柱脚的埋入深度要求相同，当设有地下室时，外包混凝土宜贯通至底板，外包混凝土中钢筋应锚入底板及顶板框架梁内；</w:t>
      </w:r>
    </w:p>
    <w:p>
      <w:pPr>
        <w:spacing w:line="240" w:lineRule="auto"/>
        <w:ind w:firstLine="421" w:firstLineChars="200"/>
        <w:rPr>
          <w:bCs/>
          <w:szCs w:val="21"/>
        </w:rPr>
      </w:pPr>
      <w:r>
        <w:rPr>
          <w:rFonts w:hint="eastAsia"/>
          <w:b/>
          <w:bCs/>
          <w:szCs w:val="21"/>
        </w:rPr>
        <w:t>2</w:t>
      </w:r>
      <w:r>
        <w:rPr>
          <w:b/>
          <w:bCs/>
          <w:szCs w:val="21"/>
        </w:rPr>
        <w:t xml:space="preserve"> </w:t>
      </w:r>
      <w:r>
        <w:rPr>
          <w:bCs/>
          <w:szCs w:val="21"/>
        </w:rPr>
        <w:t xml:space="preserve"> </w:t>
      </w:r>
      <w:r>
        <w:rPr>
          <w:rFonts w:hint="eastAsia"/>
          <w:bCs/>
          <w:szCs w:val="21"/>
        </w:rPr>
        <w:t>混凝土外包部分的柱身应设置栓钉。柱脚部位的轴向力、弯矩和剪力可由外包钢筋混凝土承担；</w:t>
      </w:r>
    </w:p>
    <w:p>
      <w:pPr>
        <w:spacing w:line="240" w:lineRule="auto"/>
        <w:ind w:firstLine="421" w:firstLineChars="200"/>
        <w:rPr>
          <w:bCs/>
          <w:szCs w:val="21"/>
        </w:rPr>
      </w:pPr>
      <w:r>
        <w:rPr>
          <w:rFonts w:hint="eastAsia"/>
          <w:b/>
          <w:bCs/>
          <w:szCs w:val="21"/>
        </w:rPr>
        <w:t>3</w:t>
      </w:r>
      <w:r>
        <w:rPr>
          <w:b/>
          <w:bCs/>
          <w:szCs w:val="21"/>
        </w:rPr>
        <w:t xml:space="preserve">  </w:t>
      </w:r>
      <w:r>
        <w:rPr>
          <w:rFonts w:hint="eastAsia"/>
          <w:bCs/>
          <w:szCs w:val="21"/>
        </w:rPr>
        <w:t>对由钢柱柱脚传递至混凝土基础或混凝土柱头部分的轴向压力，应验算混凝土局部承载力，如不满足要求，应采取相应措施。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5 </w:t>
      </w:r>
      <w:r>
        <w:rPr>
          <w:rFonts w:hint="eastAsia"/>
          <w:bCs/>
          <w:szCs w:val="21"/>
        </w:rPr>
        <w:t xml:space="preserve"> 幕墙构件不宜与钢梁下翼缘及腹板连接。若与工字梁上翼缘连接，其工字梁与混凝土之间栓钉抗剪承载力验算时，应考虑幕墙骨架相关作用力的影响；若与工字梁下翼缘或腹板连接，其工字梁承载力验算时，应考虑幕墙骨架相关作用力（含对工字钢梁形成的扭矩）的不利影响。</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6 </w:t>
      </w:r>
      <w:r>
        <w:rPr>
          <w:rFonts w:hint="eastAsia"/>
          <w:bCs/>
          <w:szCs w:val="21"/>
        </w:rPr>
        <w:t xml:space="preserve"> 钢梁腹板连接宜采用高强度螺栓摩擦型连接，连接处的抗剪承载力不小于腹板抗剪承载力的一半。</w:t>
      </w:r>
    </w:p>
    <w:p>
      <w:pPr>
        <w:pStyle w:val="4"/>
        <w:spacing w:before="240" w:after="240" w:line="240" w:lineRule="auto"/>
        <w:jc w:val="center"/>
        <w:rPr>
          <w:rFonts w:ascii="Times New Roman" w:hAnsi="Times New Roman"/>
          <w:sz w:val="21"/>
          <w:szCs w:val="21"/>
        </w:rPr>
      </w:pPr>
      <w:bookmarkStart w:id="19" w:name="_Toc118357449"/>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8  </w:t>
      </w:r>
      <w:r>
        <w:rPr>
          <w:rFonts w:hint="eastAsia" w:ascii="黑体" w:hAnsi="黑体" w:eastAsia="黑体"/>
          <w:b w:val="0"/>
          <w:sz w:val="21"/>
          <w:szCs w:val="21"/>
        </w:rPr>
        <w:t>楼盖与屋盖结构</w:t>
      </w:r>
      <w:bookmarkEnd w:id="19"/>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1 </w:t>
      </w:r>
      <w:r>
        <w:rPr>
          <w:rFonts w:hint="eastAsia"/>
          <w:bCs/>
          <w:szCs w:val="21"/>
        </w:rPr>
        <w:t xml:space="preserve"> 钢结构住宅的楼盖与屋盖结构应符合下列规定：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楼盖及屋盖结构宜选用工业化部品程度高的钢-混凝土组合楼盖或装配整体式楼盖，也可采用工业化施工程度高的现浇钢筋混凝土楼板，宜采用下列五种形式（图5</w:t>
      </w:r>
      <w:r>
        <w:rPr>
          <w:rFonts w:hint="eastAsia" w:ascii="宋体" w:hAnsi="宋体"/>
          <w:bCs/>
          <w:szCs w:val="21"/>
        </w:rPr>
        <w:t>.</w:t>
      </w:r>
      <w:r>
        <w:rPr>
          <w:rFonts w:hint="eastAsia"/>
          <w:bCs/>
          <w:szCs w:val="21"/>
        </w:rPr>
        <w:t>8</w:t>
      </w:r>
      <w:r>
        <w:rPr>
          <w:rFonts w:hint="eastAsia" w:ascii="宋体" w:hAnsi="宋体"/>
          <w:bCs/>
          <w:szCs w:val="21"/>
        </w:rPr>
        <w:t>.</w:t>
      </w:r>
      <w:r>
        <w:rPr>
          <w:rFonts w:hint="eastAsia"/>
          <w:bCs/>
          <w:szCs w:val="21"/>
        </w:rPr>
        <w:t>1）：</w:t>
      </w:r>
    </w:p>
    <w:p>
      <w:pPr>
        <w:spacing w:line="240" w:lineRule="auto"/>
        <w:ind w:firstLine="632" w:firstLineChars="300"/>
        <w:rPr>
          <w:bCs/>
          <w:szCs w:val="21"/>
        </w:rPr>
      </w:pPr>
      <w:r>
        <w:rPr>
          <w:rFonts w:hint="eastAsia"/>
          <w:b/>
          <w:bCs/>
          <w:szCs w:val="21"/>
        </w:rPr>
        <w:t>1</w:t>
      </w:r>
      <w:r>
        <w:rPr>
          <w:rFonts w:hint="eastAsia"/>
          <w:bCs/>
          <w:szCs w:val="21"/>
        </w:rPr>
        <w:t>）钢筋桁架楼承板，混凝土浇筑后底板宜采用可拆卸重复使用方式；</w:t>
      </w:r>
    </w:p>
    <w:p>
      <w:pPr>
        <w:spacing w:line="240" w:lineRule="auto"/>
        <w:ind w:firstLine="632" w:firstLineChars="300"/>
        <w:rPr>
          <w:bCs/>
          <w:szCs w:val="21"/>
        </w:rPr>
      </w:pPr>
      <w:r>
        <w:rPr>
          <w:rFonts w:hint="eastAsia"/>
          <w:b/>
          <w:bCs/>
          <w:szCs w:val="21"/>
        </w:rPr>
        <w:t>2</w:t>
      </w:r>
      <w:r>
        <w:rPr>
          <w:rFonts w:hint="eastAsia"/>
          <w:bCs/>
          <w:szCs w:val="21"/>
        </w:rPr>
        <w:t>）混凝土叠合楼板；</w:t>
      </w:r>
    </w:p>
    <w:p>
      <w:pPr>
        <w:spacing w:line="240" w:lineRule="auto"/>
        <w:ind w:firstLine="632" w:firstLineChars="300"/>
        <w:rPr>
          <w:bCs/>
          <w:szCs w:val="21"/>
        </w:rPr>
      </w:pPr>
      <w:r>
        <w:rPr>
          <w:rFonts w:hint="eastAsia"/>
          <w:b/>
          <w:bCs/>
          <w:szCs w:val="21"/>
        </w:rPr>
        <w:t>3</w:t>
      </w:r>
      <w:r>
        <w:rPr>
          <w:rFonts w:hint="eastAsia"/>
          <w:bCs/>
          <w:szCs w:val="21"/>
        </w:rPr>
        <w:t>）标准化铝合金模板工具式快拆支撑模板体系；</w:t>
      </w:r>
    </w:p>
    <w:p>
      <w:pPr>
        <w:spacing w:line="240" w:lineRule="auto"/>
        <w:ind w:firstLine="632" w:firstLineChars="300"/>
        <w:rPr>
          <w:bCs/>
          <w:szCs w:val="21"/>
        </w:rPr>
      </w:pPr>
      <w:r>
        <w:rPr>
          <w:rFonts w:hint="eastAsia"/>
          <w:b/>
          <w:bCs/>
          <w:szCs w:val="21"/>
        </w:rPr>
        <w:t>4</w:t>
      </w:r>
      <w:r>
        <w:rPr>
          <w:rFonts w:hint="eastAsia"/>
          <w:bCs/>
          <w:szCs w:val="21"/>
        </w:rPr>
        <w:t>）压型钢板组合楼板，楼板下宜进行吊顶处理，压型钢板宜采用闭口型或缩口型；</w:t>
      </w:r>
    </w:p>
    <w:p>
      <w:pPr>
        <w:spacing w:line="240" w:lineRule="auto"/>
        <w:ind w:firstLine="632" w:firstLineChars="300"/>
        <w:rPr>
          <w:bCs/>
          <w:szCs w:val="21"/>
        </w:rPr>
      </w:pPr>
      <w:r>
        <w:rPr>
          <w:rFonts w:hint="eastAsia"/>
          <w:b/>
          <w:bCs/>
          <w:szCs w:val="21"/>
        </w:rPr>
        <w:t>5</w:t>
      </w:r>
      <w:r>
        <w:rPr>
          <w:rFonts w:hint="eastAsia"/>
          <w:bCs/>
          <w:szCs w:val="21"/>
        </w:rPr>
        <w:t>）交叉钢桁架组合楼板（主板架）。</w:t>
      </w:r>
    </w:p>
    <w:p>
      <w:pPr>
        <w:widowControl/>
        <w:spacing w:line="240" w:lineRule="auto"/>
        <w:jc w:val="center"/>
        <w:rPr>
          <w:bCs/>
          <w:color w:val="002060"/>
          <w:szCs w:val="32"/>
        </w:rPr>
      </w:pPr>
      <w:r>
        <w:rPr>
          <w:bCs/>
          <w:color w:val="002060"/>
          <w:szCs w:val="32"/>
        </w:rPr>
        <w:drawing>
          <wp:inline distT="0" distB="0" distL="114300" distR="114300">
            <wp:extent cx="2894965" cy="1268095"/>
            <wp:effectExtent l="0" t="0" r="635" b="8255"/>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pic:cNvPicPr>
                  </pic:nvPicPr>
                  <pic:blipFill>
                    <a:blip r:embed="rId9"/>
                    <a:srcRect l="5556" t="1974" r="11696" b="57237"/>
                    <a:stretch>
                      <a:fillRect/>
                    </a:stretch>
                  </pic:blipFill>
                  <pic:spPr>
                    <a:xfrm>
                      <a:off x="0" y="0"/>
                      <a:ext cx="2908138" cy="1274237"/>
                    </a:xfrm>
                    <a:prstGeom prst="rect">
                      <a:avLst/>
                    </a:prstGeom>
                    <a:noFill/>
                    <a:ln>
                      <a:noFill/>
                    </a:ln>
                  </pic:spPr>
                </pic:pic>
              </a:graphicData>
            </a:graphic>
          </wp:inline>
        </w:drawing>
      </w:r>
      <w:r>
        <w:rPr>
          <w:bCs/>
          <w:color w:val="002060"/>
          <w:szCs w:val="32"/>
        </w:rPr>
        <w:t xml:space="preserve">   </w:t>
      </w:r>
      <w:r>
        <w:rPr>
          <w:bCs/>
          <w:color w:val="002060"/>
          <w:szCs w:val="32"/>
        </w:rPr>
        <w:drawing>
          <wp:inline distT="0" distB="0" distL="0" distR="0">
            <wp:extent cx="1325880" cy="1264920"/>
            <wp:effectExtent l="0" t="0" r="7620" b="0"/>
            <wp:docPr id="21"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true"/>
                    </pic:cNvPicPr>
                  </pic:nvPicPr>
                  <pic:blipFill>
                    <a:blip r:embed="rId9">
                      <a:extLst>
                        <a:ext uri="{28A0092B-C50C-407E-A947-70E740481C1C}">
                          <a14:useLocalDpi xmlns:a14="http://schemas.microsoft.com/office/drawing/2010/main" val="false"/>
                        </a:ext>
                      </a:extLst>
                    </a:blip>
                    <a:srcRect l="12574" t="50329" r="55555" b="15461"/>
                    <a:stretch>
                      <a:fillRect/>
                    </a:stretch>
                  </pic:blipFill>
                  <pic:spPr>
                    <a:xfrm>
                      <a:off x="0" y="0"/>
                      <a:ext cx="1334605" cy="1273384"/>
                    </a:xfrm>
                    <a:prstGeom prst="rect">
                      <a:avLst/>
                    </a:prstGeom>
                    <a:noFill/>
                    <a:ln>
                      <a:noFill/>
                    </a:ln>
                  </pic:spPr>
                </pic:pic>
              </a:graphicData>
            </a:graphic>
          </wp:inline>
        </w:drawing>
      </w:r>
    </w:p>
    <w:p>
      <w:pPr>
        <w:spacing w:line="240" w:lineRule="auto"/>
        <w:ind w:left="-6"/>
        <w:jc w:val="center"/>
        <w:rPr>
          <w:rFonts w:eastAsia="黑体" w:cs="黑体"/>
          <w:bCs/>
          <w:sz w:val="18"/>
          <w:szCs w:val="18"/>
        </w:rPr>
      </w:pPr>
      <w:r>
        <w:rPr>
          <w:rFonts w:eastAsia="黑体" w:cs="黑体"/>
          <w:bCs/>
          <w:sz w:val="18"/>
          <w:szCs w:val="18"/>
        </w:rPr>
        <w:t>a</w:t>
      </w:r>
      <w:r>
        <w:rPr>
          <w:rFonts w:hint="eastAsia" w:eastAsia="黑体" w:cs="黑体"/>
          <w:bCs/>
          <w:sz w:val="18"/>
          <w:szCs w:val="18"/>
        </w:rPr>
        <w:t>）钢筋桁架楼承板楼板</w:t>
      </w:r>
      <w:r>
        <w:rPr>
          <w:rFonts w:eastAsia="黑体" w:cs="黑体"/>
          <w:bCs/>
          <w:sz w:val="18"/>
          <w:szCs w:val="18"/>
        </w:rPr>
        <w:t xml:space="preserve">    b</w:t>
      </w:r>
      <w:r>
        <w:rPr>
          <w:rFonts w:hint="eastAsia" w:eastAsia="黑体" w:cs="黑体"/>
          <w:bCs/>
          <w:sz w:val="18"/>
          <w:szCs w:val="18"/>
        </w:rPr>
        <w:t>）压型钢板组合楼板</w:t>
      </w:r>
      <w:r>
        <w:rPr>
          <w:rFonts w:eastAsia="黑体" w:cs="黑体"/>
          <w:bCs/>
          <w:sz w:val="18"/>
          <w:szCs w:val="18"/>
        </w:rPr>
        <w:t xml:space="preserve">    c</w:t>
      </w:r>
      <w:r>
        <w:rPr>
          <w:rFonts w:hint="eastAsia" w:eastAsia="黑体" w:cs="黑体"/>
          <w:bCs/>
          <w:sz w:val="18"/>
          <w:szCs w:val="18"/>
        </w:rPr>
        <w:t>）混凝土叠合楼板</w:t>
      </w:r>
    </w:p>
    <w:p>
      <w:pPr>
        <w:spacing w:line="240" w:lineRule="auto"/>
        <w:ind w:left="-6"/>
        <w:jc w:val="center"/>
        <w:rPr>
          <w:rFonts w:eastAsia="黑体" w:cs="黑体"/>
          <w:bCs/>
          <w:sz w:val="18"/>
          <w:szCs w:val="18"/>
        </w:rPr>
      </w:pPr>
      <w:r>
        <w:rPr>
          <w:rFonts w:hint="eastAsia" w:eastAsia="黑体" w:cs="黑体"/>
          <w:bCs/>
          <w:sz w:val="18"/>
          <w:szCs w:val="18"/>
        </w:rPr>
        <w:t>图</w:t>
      </w:r>
      <w:r>
        <w:rPr>
          <w:rFonts w:eastAsia="黑体" w:cs="黑体"/>
          <w:b/>
          <w:bCs/>
          <w:sz w:val="18"/>
          <w:szCs w:val="18"/>
        </w:rPr>
        <w:t>5</w:t>
      </w:r>
      <w:r>
        <w:rPr>
          <w:rFonts w:ascii="宋体" w:hAnsi="宋体" w:eastAsia="黑体" w:cs="黑体"/>
          <w:b/>
          <w:bCs/>
          <w:szCs w:val="18"/>
        </w:rPr>
        <w:t>.</w:t>
      </w:r>
      <w:r>
        <w:rPr>
          <w:rFonts w:eastAsia="黑体" w:cs="黑体"/>
          <w:b/>
          <w:bCs/>
          <w:sz w:val="18"/>
          <w:szCs w:val="18"/>
        </w:rPr>
        <w:t>8</w:t>
      </w:r>
      <w:r>
        <w:rPr>
          <w:rFonts w:ascii="宋体" w:hAnsi="宋体" w:eastAsia="黑体" w:cs="黑体"/>
          <w:b/>
          <w:bCs/>
          <w:szCs w:val="18"/>
        </w:rPr>
        <w:t>.</w:t>
      </w:r>
      <w:r>
        <w:rPr>
          <w:rFonts w:eastAsia="黑体" w:cs="黑体"/>
          <w:b/>
          <w:bCs/>
          <w:sz w:val="18"/>
          <w:szCs w:val="18"/>
        </w:rPr>
        <w:t>1</w:t>
      </w:r>
      <w:r>
        <w:rPr>
          <w:rFonts w:eastAsia="黑体" w:cs="黑体"/>
          <w:bCs/>
          <w:sz w:val="18"/>
          <w:szCs w:val="18"/>
        </w:rPr>
        <w:t xml:space="preserve">  </w:t>
      </w:r>
      <w:r>
        <w:rPr>
          <w:rFonts w:hint="eastAsia" w:eastAsia="黑体" w:cs="黑体"/>
          <w:bCs/>
          <w:sz w:val="18"/>
          <w:szCs w:val="18"/>
        </w:rPr>
        <w:t>装配整体式结构楼盖和屋盖类型</w:t>
      </w:r>
    </w:p>
    <w:p>
      <w:pPr>
        <w:spacing w:line="240" w:lineRule="auto"/>
        <w:ind w:firstLine="421" w:firstLineChars="200"/>
        <w:rPr>
          <w:bCs/>
          <w:szCs w:val="21"/>
        </w:rPr>
      </w:pPr>
      <w:r>
        <w:rPr>
          <w:rFonts w:hint="eastAsia"/>
          <w:b/>
          <w:bCs/>
          <w:szCs w:val="21"/>
        </w:rPr>
        <w:t xml:space="preserve">2 </w:t>
      </w:r>
      <w:r>
        <w:rPr>
          <w:rFonts w:hint="eastAsia"/>
          <w:bCs/>
          <w:szCs w:val="21"/>
        </w:rPr>
        <w:t xml:space="preserve"> 结构转换层、平面复杂或开洞较大楼层的楼板，以及作为上部结构嵌固部位的地下室顶板应采用现浇混凝土组合楼板或现浇钢筋混凝土楼板；</w:t>
      </w:r>
    </w:p>
    <w:p>
      <w:pPr>
        <w:spacing w:line="240" w:lineRule="auto"/>
        <w:ind w:firstLine="421" w:firstLineChars="200"/>
        <w:rPr>
          <w:bCs/>
          <w:szCs w:val="21"/>
        </w:rPr>
      </w:pPr>
      <w:r>
        <w:rPr>
          <w:rFonts w:hint="eastAsia"/>
          <w:b/>
          <w:bCs/>
          <w:szCs w:val="21"/>
        </w:rPr>
        <w:t xml:space="preserve">3  </w:t>
      </w:r>
      <w:r>
        <w:rPr>
          <w:rFonts w:hint="eastAsia"/>
          <w:bCs/>
          <w:szCs w:val="21"/>
        </w:rPr>
        <w:t>房屋高度不超过50m时，或巨型框架结构中次结构的楼盖，可采用无现浇层的全预制装配楼板或轻型楼盖，但应采取设置水平支撑、采取保证预制板之间的可靠连接措施确保楼盖的整体性；</w:t>
      </w:r>
    </w:p>
    <w:p>
      <w:pPr>
        <w:spacing w:line="240" w:lineRule="auto"/>
        <w:ind w:firstLine="421" w:firstLineChars="200"/>
        <w:rPr>
          <w:bCs/>
          <w:szCs w:val="21"/>
        </w:rPr>
      </w:pPr>
      <w:r>
        <w:rPr>
          <w:rFonts w:hint="eastAsia"/>
          <w:b/>
          <w:bCs/>
          <w:szCs w:val="21"/>
        </w:rPr>
        <w:t xml:space="preserve">4  </w:t>
      </w:r>
      <w:r>
        <w:rPr>
          <w:rFonts w:hint="eastAsia"/>
          <w:bCs/>
          <w:szCs w:val="21"/>
        </w:rPr>
        <w:t>钢结构装配式住宅建筑采用整体式楼板时，应适当降低结构体系的适用高度；</w:t>
      </w:r>
    </w:p>
    <w:p>
      <w:pPr>
        <w:spacing w:line="240" w:lineRule="auto"/>
        <w:ind w:firstLine="421" w:firstLineChars="200"/>
        <w:rPr>
          <w:bCs/>
          <w:szCs w:val="21"/>
        </w:rPr>
      </w:pPr>
      <w:r>
        <w:rPr>
          <w:rFonts w:hint="eastAsia"/>
          <w:b/>
          <w:bCs/>
          <w:szCs w:val="21"/>
        </w:rPr>
        <w:t xml:space="preserve">5 </w:t>
      </w:r>
      <w:r>
        <w:rPr>
          <w:rFonts w:hint="eastAsia"/>
          <w:bCs/>
          <w:szCs w:val="21"/>
        </w:rPr>
        <w:t xml:space="preserve"> 楼盖和屋盖结构除满足承载力、变形及舒适度要求外，还需满足建筑设计对于隔音的要求，楼板厚度不宜小于120mm。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2  </w:t>
      </w:r>
      <w:r>
        <w:rPr>
          <w:rFonts w:hint="eastAsia"/>
          <w:bCs/>
          <w:szCs w:val="21"/>
        </w:rPr>
        <w:t>全预制装配楼盖或轻型楼盖宜采用下列四种形式：</w:t>
      </w:r>
    </w:p>
    <w:p>
      <w:pPr>
        <w:spacing w:line="240" w:lineRule="auto"/>
        <w:ind w:firstLine="421" w:firstLineChars="200"/>
        <w:rPr>
          <w:bCs/>
          <w:szCs w:val="21"/>
        </w:rPr>
      </w:pPr>
      <w:r>
        <w:rPr>
          <w:rFonts w:hint="eastAsia"/>
          <w:b/>
          <w:bCs/>
          <w:szCs w:val="21"/>
        </w:rPr>
        <w:t xml:space="preserve">1 </w:t>
      </w:r>
      <w:r>
        <w:rPr>
          <w:rFonts w:hint="eastAsia"/>
          <w:bCs/>
          <w:szCs w:val="21"/>
        </w:rPr>
        <w:t xml:space="preserve"> 混凝土预制板、预应力混凝土预制板和预制混凝土空心楼板；</w:t>
      </w:r>
    </w:p>
    <w:p>
      <w:pPr>
        <w:spacing w:line="240" w:lineRule="auto"/>
        <w:ind w:firstLine="421" w:firstLineChars="200"/>
        <w:rPr>
          <w:bCs/>
          <w:szCs w:val="21"/>
        </w:rPr>
      </w:pPr>
      <w:r>
        <w:rPr>
          <w:rFonts w:hint="eastAsia"/>
          <w:b/>
          <w:bCs/>
          <w:szCs w:val="21"/>
        </w:rPr>
        <w:t xml:space="preserve">2 </w:t>
      </w:r>
      <w:r>
        <w:rPr>
          <w:rFonts w:hint="eastAsia"/>
          <w:bCs/>
          <w:szCs w:val="21"/>
        </w:rPr>
        <w:t xml:space="preserve"> 蒸压加气轻质混凝土板、陶粒混凝土板等轻质混凝土预制板；</w:t>
      </w:r>
    </w:p>
    <w:p>
      <w:pPr>
        <w:spacing w:line="240" w:lineRule="auto"/>
        <w:ind w:firstLine="421" w:firstLineChars="200"/>
        <w:rPr>
          <w:bCs/>
          <w:szCs w:val="21"/>
        </w:rPr>
      </w:pPr>
      <w:r>
        <w:rPr>
          <w:rFonts w:hint="eastAsia"/>
          <w:b/>
          <w:bCs/>
          <w:szCs w:val="21"/>
        </w:rPr>
        <w:t xml:space="preserve">3 </w:t>
      </w:r>
      <w:r>
        <w:rPr>
          <w:rFonts w:hint="eastAsia"/>
          <w:bCs/>
          <w:szCs w:val="21"/>
        </w:rPr>
        <w:t xml:space="preserve"> 轻钢骨架、交叉钢桁架与定向刨花板、水泥纤维板等防火板材组成的轻质楼盖；</w:t>
      </w:r>
    </w:p>
    <w:p>
      <w:pPr>
        <w:spacing w:line="240" w:lineRule="auto"/>
        <w:ind w:firstLine="421" w:firstLineChars="200"/>
        <w:rPr>
          <w:bCs/>
          <w:szCs w:val="21"/>
        </w:rPr>
      </w:pPr>
      <w:r>
        <w:rPr>
          <w:rFonts w:hint="eastAsia"/>
          <w:b/>
          <w:bCs/>
          <w:szCs w:val="21"/>
        </w:rPr>
        <w:t xml:space="preserve">4 </w:t>
      </w:r>
      <w:r>
        <w:rPr>
          <w:rFonts w:hint="eastAsia"/>
          <w:bCs/>
          <w:szCs w:val="21"/>
        </w:rPr>
        <w:t xml:space="preserve"> 其它具有防火性能的轻质楼盖。</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3 </w:t>
      </w:r>
      <w:r>
        <w:rPr>
          <w:rFonts w:hint="eastAsia"/>
          <w:bCs/>
          <w:szCs w:val="21"/>
        </w:rPr>
        <w:t xml:space="preserve"> 楼板的现浇混凝土与钢梁应通过抗剪连接件可靠连接，抗剪连接件宜采用圆柱头焊钉，焊钉应穿透压型钢板或钢筋桁架楼承板的底板后焊牢在钢梁上，焊钉设置应符合相关规范的规定；混凝土叠合楼板的预制板应通过预埋件与钢梁可靠连接，连接方式宜采用焊接连接。</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4 </w:t>
      </w:r>
      <w:r>
        <w:rPr>
          <w:rFonts w:hint="eastAsia"/>
          <w:bCs/>
          <w:szCs w:val="21"/>
        </w:rPr>
        <w:t xml:space="preserve"> 高层钢结构住宅的楼板应进行承载能力极限状态和正常使用极限状态设计。采用工业化部品程度高的钢-混凝土组合楼盖或装配整体式楼盖，施工阶段未设置临时支撑的，应进行施工阶段和使用阶段设计。施工阶段设置可靠支撑的现浇混凝土组合楼板、混凝土叠合楼板，可仅进行使用阶段设计。</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5 </w:t>
      </w:r>
      <w:r>
        <w:rPr>
          <w:rFonts w:hint="eastAsia"/>
          <w:bCs/>
          <w:szCs w:val="21"/>
        </w:rPr>
        <w:t xml:space="preserve"> 现浇混凝土组合楼板应具有必要的刚度，并满足下列要求：</w:t>
      </w:r>
    </w:p>
    <w:p>
      <w:pPr>
        <w:spacing w:line="240" w:lineRule="auto"/>
        <w:ind w:firstLine="421" w:firstLineChars="200"/>
        <w:rPr>
          <w:bCs/>
          <w:szCs w:val="21"/>
        </w:rPr>
      </w:pPr>
      <w:r>
        <w:rPr>
          <w:rFonts w:hint="eastAsia"/>
          <w:b/>
          <w:bCs/>
          <w:szCs w:val="21"/>
        </w:rPr>
        <w:t xml:space="preserve">1  </w:t>
      </w:r>
      <w:r>
        <w:rPr>
          <w:rFonts w:hint="eastAsia"/>
          <w:bCs/>
          <w:szCs w:val="21"/>
        </w:rPr>
        <w:t>施工阶段钢筋桁架楼承板或压型钢板的挠度不应大于板跨度的1/180，且不应大于15mm；</w:t>
      </w:r>
    </w:p>
    <w:p>
      <w:pPr>
        <w:spacing w:line="240" w:lineRule="auto"/>
        <w:ind w:firstLine="421" w:firstLineChars="200"/>
        <w:rPr>
          <w:bCs/>
          <w:szCs w:val="21"/>
        </w:rPr>
      </w:pPr>
      <w:r>
        <w:rPr>
          <w:rFonts w:hint="eastAsia"/>
          <w:b/>
          <w:bCs/>
          <w:szCs w:val="21"/>
        </w:rPr>
        <w:t xml:space="preserve">2  </w:t>
      </w:r>
      <w:r>
        <w:rPr>
          <w:rFonts w:hint="eastAsia"/>
          <w:bCs/>
          <w:szCs w:val="21"/>
        </w:rPr>
        <w:t>使用阶段组合楼板的挠度不应大于板跨的 1/200。</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6 </w:t>
      </w:r>
      <w:r>
        <w:rPr>
          <w:rFonts w:hint="eastAsia"/>
          <w:bCs/>
          <w:szCs w:val="21"/>
        </w:rPr>
        <w:t xml:space="preserve"> 钢筋桁架组合楼板在与钢柱交接处被切断时，柱边板底应设支承件，板内应布置附加钢筋。钢筋桁架组合楼板开设孔洞时，孔洞边应设加强钢筋。当孔洞边有较大的集中荷载或洞边长（圆孔直径）大于1000mm 时，应在孔洞周边设置边梁。</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7 </w:t>
      </w:r>
      <w:r>
        <w:rPr>
          <w:rFonts w:hint="eastAsia"/>
          <w:bCs/>
          <w:szCs w:val="21"/>
        </w:rPr>
        <w:t xml:space="preserve"> 钢筋桁架组合楼板支承于剪力墙时，剪力墙宜采用预留钢筋或预埋槽钢或角钢的构造连接方式。预埋件不得采用膨胀螺栓固定方式。</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8 </w:t>
      </w:r>
      <w:r>
        <w:rPr>
          <w:rFonts w:hint="eastAsia"/>
          <w:bCs/>
          <w:szCs w:val="21"/>
        </w:rPr>
        <w:t xml:space="preserve"> 混凝土叠合板设计应符合现行国家标准《混凝土结构设计规范》GB 50010 和《装配式混凝土建筑技术标准》GB/T 51231的相关规定，并应符合下列规定： </w:t>
      </w:r>
    </w:p>
    <w:p>
      <w:pPr>
        <w:spacing w:line="240" w:lineRule="auto"/>
        <w:ind w:firstLine="421" w:firstLineChars="200"/>
        <w:rPr>
          <w:bCs/>
          <w:szCs w:val="21"/>
        </w:rPr>
      </w:pPr>
      <w:r>
        <w:rPr>
          <w:rFonts w:hint="eastAsia"/>
          <w:b/>
          <w:bCs/>
          <w:szCs w:val="21"/>
        </w:rPr>
        <w:t xml:space="preserve">1  </w:t>
      </w:r>
      <w:r>
        <w:rPr>
          <w:rFonts w:hint="eastAsia"/>
          <w:bCs/>
          <w:szCs w:val="21"/>
        </w:rPr>
        <w:t xml:space="preserve">叠合板的预制板厚度不宜小于60mm，后浇混凝土叠合层厚度不应小于 60mm； </w:t>
      </w:r>
    </w:p>
    <w:p>
      <w:pPr>
        <w:spacing w:line="240" w:lineRule="auto"/>
        <w:ind w:firstLine="421" w:firstLineChars="200"/>
        <w:rPr>
          <w:bCs/>
          <w:szCs w:val="21"/>
        </w:rPr>
      </w:pPr>
      <w:r>
        <w:rPr>
          <w:rFonts w:hint="eastAsia"/>
          <w:b/>
          <w:bCs/>
          <w:szCs w:val="21"/>
        </w:rPr>
        <w:t xml:space="preserve">2  </w:t>
      </w:r>
      <w:r>
        <w:rPr>
          <w:rFonts w:hint="eastAsia"/>
          <w:bCs/>
          <w:szCs w:val="21"/>
        </w:rPr>
        <w:t>宜采用钢筋桁架混凝土叠合板、预应力混凝土预制板、预制混凝土空心楼板和双向轻钢密肋楼板等；</w:t>
      </w:r>
    </w:p>
    <w:p>
      <w:pPr>
        <w:spacing w:line="240" w:lineRule="auto"/>
        <w:ind w:firstLine="421" w:firstLineChars="200"/>
        <w:rPr>
          <w:bCs/>
          <w:szCs w:val="21"/>
        </w:rPr>
      </w:pPr>
      <w:r>
        <w:rPr>
          <w:rFonts w:hint="eastAsia"/>
          <w:b/>
          <w:bCs/>
          <w:szCs w:val="21"/>
        </w:rPr>
        <w:t xml:space="preserve">3 </w:t>
      </w:r>
      <w:r>
        <w:rPr>
          <w:rFonts w:hint="eastAsia"/>
          <w:bCs/>
          <w:szCs w:val="21"/>
        </w:rPr>
        <w:t xml:space="preserve"> 叠合板支座处的纵向钢筋宜伸入支座，并应符合现浇楼板下部纵向钢筋的构造要求。</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9 </w:t>
      </w:r>
      <w:r>
        <w:rPr>
          <w:rFonts w:hint="eastAsia"/>
          <w:bCs/>
          <w:szCs w:val="21"/>
        </w:rPr>
        <w:t xml:space="preserve"> 桁架钢筋混凝土叠合板应满足下列要求： </w:t>
      </w:r>
    </w:p>
    <w:p>
      <w:pPr>
        <w:spacing w:line="240" w:lineRule="auto"/>
        <w:ind w:firstLine="421" w:firstLineChars="200"/>
        <w:rPr>
          <w:bCs/>
          <w:szCs w:val="21"/>
        </w:rPr>
      </w:pPr>
      <w:r>
        <w:rPr>
          <w:rFonts w:hint="eastAsia"/>
          <w:b/>
          <w:bCs/>
          <w:szCs w:val="21"/>
        </w:rPr>
        <w:t xml:space="preserve">1 </w:t>
      </w:r>
      <w:r>
        <w:rPr>
          <w:rFonts w:hint="eastAsia"/>
          <w:bCs/>
          <w:szCs w:val="21"/>
        </w:rPr>
        <w:t xml:space="preserve"> 桁架钢筋应沿主要受力方向布置；</w:t>
      </w:r>
    </w:p>
    <w:p>
      <w:pPr>
        <w:spacing w:line="240" w:lineRule="auto"/>
        <w:ind w:firstLine="421" w:firstLineChars="200"/>
        <w:rPr>
          <w:bCs/>
          <w:szCs w:val="21"/>
        </w:rPr>
      </w:pPr>
      <w:r>
        <w:rPr>
          <w:rFonts w:hint="eastAsia"/>
          <w:b/>
          <w:bCs/>
          <w:szCs w:val="21"/>
        </w:rPr>
        <w:t xml:space="preserve">2 </w:t>
      </w:r>
      <w:r>
        <w:rPr>
          <w:rFonts w:hint="eastAsia"/>
          <w:bCs/>
          <w:szCs w:val="21"/>
        </w:rPr>
        <w:t xml:space="preserve"> 桁架钢筋距板边不应大于300mm，间距不宜大于600mm；</w:t>
      </w:r>
    </w:p>
    <w:p>
      <w:pPr>
        <w:spacing w:line="240" w:lineRule="auto"/>
        <w:ind w:firstLine="421" w:firstLineChars="200"/>
        <w:rPr>
          <w:bCs/>
          <w:szCs w:val="21"/>
        </w:rPr>
      </w:pPr>
      <w:r>
        <w:rPr>
          <w:rFonts w:hint="eastAsia"/>
          <w:b/>
          <w:bCs/>
          <w:szCs w:val="21"/>
        </w:rPr>
        <w:t xml:space="preserve">3 </w:t>
      </w:r>
      <w:r>
        <w:rPr>
          <w:rFonts w:hint="eastAsia"/>
          <w:bCs/>
          <w:szCs w:val="21"/>
        </w:rPr>
        <w:t xml:space="preserve"> 桁架钢筋弦杆钢筋直径不宜小于8mm，腹杆钢筋直径不应小于4mm； </w:t>
      </w:r>
    </w:p>
    <w:p>
      <w:pPr>
        <w:spacing w:line="240" w:lineRule="auto"/>
        <w:ind w:firstLine="421" w:firstLineChars="200"/>
        <w:rPr>
          <w:bCs/>
          <w:szCs w:val="21"/>
        </w:rPr>
      </w:pPr>
      <w:r>
        <w:rPr>
          <w:rFonts w:hint="eastAsia"/>
          <w:b/>
          <w:bCs/>
          <w:szCs w:val="21"/>
        </w:rPr>
        <w:t xml:space="preserve">4 </w:t>
      </w:r>
      <w:r>
        <w:rPr>
          <w:rFonts w:hint="eastAsia"/>
          <w:bCs/>
          <w:szCs w:val="21"/>
        </w:rPr>
        <w:t xml:space="preserve"> 桁架钢筋弦杆混凝土保护层厚度不应小于15mm。 </w:t>
      </w:r>
    </w:p>
    <w:p>
      <w:pPr>
        <w:pStyle w:val="4"/>
        <w:spacing w:before="240" w:after="240" w:line="240" w:lineRule="auto"/>
        <w:jc w:val="center"/>
        <w:rPr>
          <w:rFonts w:ascii="Times New Roman" w:hAnsi="Times New Roman"/>
          <w:sz w:val="21"/>
          <w:szCs w:val="21"/>
        </w:rPr>
      </w:pPr>
      <w:bookmarkStart w:id="20" w:name="_Toc118357450"/>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9  </w:t>
      </w:r>
      <w:r>
        <w:rPr>
          <w:rFonts w:hint="eastAsia" w:ascii="黑体" w:hAnsi="黑体" w:eastAsia="黑体"/>
          <w:b w:val="0"/>
          <w:sz w:val="21"/>
          <w:szCs w:val="21"/>
        </w:rPr>
        <w:t>地下室及基础设计</w:t>
      </w:r>
      <w:bookmarkEnd w:id="20"/>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9</w:t>
      </w:r>
      <w:r>
        <w:rPr>
          <w:rFonts w:hint="eastAsia" w:ascii="宋体" w:hAnsi="宋体"/>
          <w:b/>
          <w:bCs/>
          <w:szCs w:val="21"/>
        </w:rPr>
        <w:t>.</w:t>
      </w:r>
      <w:r>
        <w:rPr>
          <w:rFonts w:hint="eastAsia"/>
          <w:b/>
          <w:bCs/>
          <w:szCs w:val="21"/>
        </w:rPr>
        <w:t xml:space="preserve">1  </w:t>
      </w:r>
      <w:r>
        <w:rPr>
          <w:rFonts w:hint="eastAsia"/>
          <w:bCs/>
          <w:szCs w:val="21"/>
        </w:rPr>
        <w:t>高层钢结构住宅的基础埋置深度，当采用天然地基时不宜小于H/15，当采用桩基时不宜小于H/18。H为室外地坪至屋顶檐口（不包括突出屋面的屋顶间）的高度。</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9</w:t>
      </w:r>
      <w:r>
        <w:rPr>
          <w:rFonts w:hint="eastAsia" w:ascii="宋体" w:hAnsi="宋体"/>
          <w:b/>
          <w:bCs/>
          <w:szCs w:val="21"/>
        </w:rPr>
        <w:t>.</w:t>
      </w:r>
      <w:r>
        <w:rPr>
          <w:rFonts w:hint="eastAsia"/>
          <w:b/>
          <w:bCs/>
          <w:szCs w:val="21"/>
        </w:rPr>
        <w:t xml:space="preserve">2  </w:t>
      </w:r>
      <w:r>
        <w:rPr>
          <w:rFonts w:hint="eastAsia"/>
          <w:bCs/>
          <w:szCs w:val="21"/>
        </w:rPr>
        <w:t>钢结构住宅设置地下室时，框架-支撑（抗震墙板）结构中竖向连续布置的支撑(抗震墙板）宜延伸至基础，从地下室二层开始的支撑(延性墙板），可用钢筋混凝土剪力墙形式置换延伸至基础。</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9</w:t>
      </w:r>
      <w:r>
        <w:rPr>
          <w:rFonts w:hint="eastAsia" w:ascii="宋体" w:hAnsi="宋体"/>
          <w:b/>
          <w:bCs/>
          <w:szCs w:val="21"/>
        </w:rPr>
        <w:t>.</w:t>
      </w:r>
      <w:r>
        <w:rPr>
          <w:rFonts w:hint="eastAsia"/>
          <w:b/>
          <w:bCs/>
          <w:szCs w:val="21"/>
        </w:rPr>
        <w:t xml:space="preserve">3  </w:t>
      </w:r>
      <w:r>
        <w:rPr>
          <w:rFonts w:hint="eastAsia"/>
          <w:bCs/>
          <w:szCs w:val="21"/>
        </w:rPr>
        <w:t>钢柱-双钢板组合剪力墙结构中的双钢板剪力墙宜延伸至基础且采用外露式墙脚。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9</w:t>
      </w:r>
      <w:r>
        <w:rPr>
          <w:rFonts w:hint="eastAsia" w:ascii="宋体" w:hAnsi="宋体"/>
          <w:b/>
          <w:bCs/>
          <w:szCs w:val="21"/>
        </w:rPr>
        <w:t>.</w:t>
      </w:r>
      <w:r>
        <w:rPr>
          <w:rFonts w:hint="eastAsia"/>
          <w:b/>
          <w:bCs/>
          <w:szCs w:val="21"/>
        </w:rPr>
        <w:t xml:space="preserve">4  </w:t>
      </w:r>
      <w:r>
        <w:rPr>
          <w:rFonts w:hint="eastAsia"/>
          <w:bCs/>
          <w:szCs w:val="21"/>
        </w:rPr>
        <w:t>多高层钢结构设置单层地下室时，钢框架柱宜延伸至地下一层，并且宜采用型钢混凝土柱；当为多层地下室时，钢框架柱应至少延伸至计算嵌固端以下一层，且宜采用型钢混凝上柱，不应采用钢结构柱与钢筋混凝土柱直接相连的作法。</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9</w:t>
      </w:r>
      <w:r>
        <w:rPr>
          <w:rFonts w:hint="eastAsia" w:ascii="宋体" w:hAnsi="宋体"/>
          <w:b/>
          <w:bCs/>
          <w:szCs w:val="21"/>
        </w:rPr>
        <w:t>.</w:t>
      </w:r>
      <w:r>
        <w:rPr>
          <w:rFonts w:hint="eastAsia"/>
          <w:b/>
          <w:bCs/>
          <w:szCs w:val="21"/>
        </w:rPr>
        <w:t xml:space="preserve">5 </w:t>
      </w:r>
      <w:r>
        <w:rPr>
          <w:rFonts w:hint="eastAsia"/>
          <w:bCs/>
          <w:szCs w:val="21"/>
        </w:rPr>
        <w:t xml:space="preserve"> 钢结构住宅地下室采用钢柱或钢管混凝土柱时，宜采用钢筋混凝土包覆保护，不低于C20细石混凝土，厚度不少于80mm。地下室外墙宜设置在柱外侧。</w:t>
      </w:r>
    </w:p>
    <w:p>
      <w:pPr>
        <w:pStyle w:val="4"/>
        <w:spacing w:before="240" w:after="240" w:line="240" w:lineRule="auto"/>
        <w:jc w:val="center"/>
        <w:rPr>
          <w:rFonts w:ascii="Times New Roman" w:hAnsi="Times New Roman"/>
          <w:sz w:val="21"/>
          <w:szCs w:val="21"/>
        </w:rPr>
      </w:pPr>
      <w:bookmarkStart w:id="21" w:name="_Toc118357451"/>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10   </w:t>
      </w:r>
      <w:r>
        <w:rPr>
          <w:rFonts w:hint="eastAsia" w:ascii="黑体" w:hAnsi="黑体" w:eastAsia="黑体"/>
          <w:b w:val="0"/>
          <w:sz w:val="21"/>
          <w:szCs w:val="21"/>
        </w:rPr>
        <w:t>结 构 防 护</w:t>
      </w:r>
      <w:bookmarkEnd w:id="21"/>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1 </w:t>
      </w:r>
      <w:r>
        <w:rPr>
          <w:rFonts w:hint="eastAsia"/>
          <w:bCs/>
          <w:szCs w:val="21"/>
        </w:rPr>
        <w:t xml:space="preserve"> 钢结构的防腐蚀设计应遵循安全可靠、经济合理的原则，综合考虑环境腐蚀条件、防腐蚀涂层使用年限、环保、施工和维修条件等因素确定。防腐涂料品种和涂层方案应根据住宅室内、外环境分别确定。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2 </w:t>
      </w:r>
      <w:r>
        <w:rPr>
          <w:rFonts w:hint="eastAsia"/>
          <w:bCs/>
          <w:szCs w:val="21"/>
        </w:rPr>
        <w:t xml:space="preserve"> 在厨房、卫生间等潮湿环境下的钢构件和节点，宜采用下列加强防腐措施：</w:t>
      </w:r>
    </w:p>
    <w:p>
      <w:pPr>
        <w:spacing w:line="240" w:lineRule="auto"/>
        <w:ind w:firstLine="421" w:firstLineChars="200"/>
        <w:rPr>
          <w:bCs/>
          <w:szCs w:val="21"/>
        </w:rPr>
      </w:pPr>
      <w:r>
        <w:rPr>
          <w:rFonts w:hint="eastAsia"/>
          <w:b/>
          <w:bCs/>
          <w:szCs w:val="21"/>
        </w:rPr>
        <w:t xml:space="preserve">1 </w:t>
      </w:r>
      <w:r>
        <w:rPr>
          <w:rFonts w:hint="eastAsia"/>
          <w:bCs/>
          <w:szCs w:val="21"/>
        </w:rPr>
        <w:t xml:space="preserve"> 采用整体厨房或装配式厨房、整体卫浴或装配式卫浴；</w:t>
      </w:r>
    </w:p>
    <w:p>
      <w:pPr>
        <w:spacing w:line="240" w:lineRule="auto"/>
        <w:ind w:firstLine="421" w:firstLineChars="200"/>
        <w:rPr>
          <w:bCs/>
          <w:szCs w:val="21"/>
        </w:rPr>
      </w:pPr>
      <w:r>
        <w:rPr>
          <w:rFonts w:hint="eastAsia"/>
          <w:b/>
          <w:bCs/>
          <w:szCs w:val="21"/>
        </w:rPr>
        <w:t xml:space="preserve">2 </w:t>
      </w:r>
      <w:r>
        <w:rPr>
          <w:rFonts w:hint="eastAsia"/>
          <w:bCs/>
          <w:szCs w:val="21"/>
        </w:rPr>
        <w:t xml:space="preserve"> 钢构件和节点进行带钢丝网的混凝土或砂浆保护；</w:t>
      </w:r>
    </w:p>
    <w:p>
      <w:pPr>
        <w:spacing w:line="240" w:lineRule="auto"/>
        <w:ind w:firstLine="421" w:firstLineChars="200"/>
        <w:rPr>
          <w:bCs/>
          <w:szCs w:val="21"/>
        </w:rPr>
      </w:pPr>
      <w:r>
        <w:rPr>
          <w:rFonts w:hint="eastAsia"/>
          <w:b/>
          <w:bCs/>
          <w:szCs w:val="21"/>
        </w:rPr>
        <w:t xml:space="preserve">3 </w:t>
      </w:r>
      <w:r>
        <w:rPr>
          <w:rFonts w:hint="eastAsia"/>
          <w:bCs/>
          <w:szCs w:val="21"/>
        </w:rPr>
        <w:t xml:space="preserve"> 采用耐候钢；</w:t>
      </w:r>
    </w:p>
    <w:p>
      <w:pPr>
        <w:spacing w:line="240" w:lineRule="auto"/>
        <w:ind w:firstLine="421" w:firstLineChars="200"/>
        <w:rPr>
          <w:bCs/>
          <w:szCs w:val="21"/>
        </w:rPr>
      </w:pPr>
      <w:r>
        <w:rPr>
          <w:rFonts w:hint="eastAsia"/>
          <w:b/>
          <w:bCs/>
          <w:szCs w:val="21"/>
        </w:rPr>
        <w:t xml:space="preserve">4 </w:t>
      </w:r>
      <w:r>
        <w:rPr>
          <w:rFonts w:hint="eastAsia"/>
          <w:bCs/>
          <w:szCs w:val="21"/>
        </w:rPr>
        <w:t xml:space="preserve"> 加强钢构件防腐设计；</w:t>
      </w:r>
    </w:p>
    <w:p>
      <w:pPr>
        <w:spacing w:line="240" w:lineRule="auto"/>
        <w:ind w:firstLine="421" w:firstLineChars="200"/>
        <w:rPr>
          <w:bCs/>
          <w:szCs w:val="21"/>
        </w:rPr>
      </w:pPr>
      <w:r>
        <w:rPr>
          <w:rFonts w:hint="eastAsia"/>
          <w:b/>
          <w:bCs/>
          <w:szCs w:val="21"/>
        </w:rPr>
        <w:t xml:space="preserve">5 </w:t>
      </w:r>
      <w:r>
        <w:rPr>
          <w:rFonts w:hint="eastAsia"/>
          <w:bCs/>
          <w:szCs w:val="21"/>
        </w:rPr>
        <w:t xml:space="preserve"> 阴极保护措施；</w:t>
      </w:r>
    </w:p>
    <w:p>
      <w:pPr>
        <w:spacing w:line="240" w:lineRule="auto"/>
        <w:ind w:firstLine="421" w:firstLineChars="200"/>
        <w:rPr>
          <w:bCs/>
          <w:szCs w:val="21"/>
        </w:rPr>
      </w:pPr>
      <w:r>
        <w:rPr>
          <w:rFonts w:hint="eastAsia"/>
          <w:b/>
          <w:bCs/>
          <w:szCs w:val="21"/>
        </w:rPr>
        <w:t xml:space="preserve">6 </w:t>
      </w:r>
      <w:r>
        <w:rPr>
          <w:rFonts w:hint="eastAsia"/>
          <w:bCs/>
          <w:szCs w:val="21"/>
        </w:rPr>
        <w:t xml:space="preserve"> 加强使用阶段钢构件检查和维护措施。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3 </w:t>
      </w:r>
      <w:r>
        <w:rPr>
          <w:rFonts w:hint="eastAsia"/>
          <w:bCs/>
          <w:szCs w:val="21"/>
        </w:rPr>
        <w:t xml:space="preserve"> 钢结构的防腐蚀设计应符合下列规定：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螺栓、垫圈、节点板等连接构件的耐腐蚀性能不应低于主材材料；</w:t>
      </w:r>
    </w:p>
    <w:p>
      <w:pPr>
        <w:spacing w:line="240" w:lineRule="auto"/>
        <w:ind w:firstLine="421" w:firstLineChars="200"/>
        <w:rPr>
          <w:bCs/>
          <w:szCs w:val="21"/>
        </w:rPr>
      </w:pPr>
      <w:r>
        <w:rPr>
          <w:rFonts w:hint="eastAsia"/>
          <w:b/>
          <w:bCs/>
          <w:szCs w:val="21"/>
        </w:rPr>
        <w:t xml:space="preserve">2  </w:t>
      </w:r>
      <w:r>
        <w:rPr>
          <w:rFonts w:hint="eastAsia"/>
          <w:bCs/>
          <w:szCs w:val="21"/>
        </w:rPr>
        <w:t>对不易维修的承重结构构件应加强防护；</w:t>
      </w:r>
    </w:p>
    <w:p>
      <w:pPr>
        <w:spacing w:line="240" w:lineRule="auto"/>
        <w:ind w:firstLine="421" w:firstLineChars="200"/>
        <w:rPr>
          <w:bCs/>
          <w:szCs w:val="21"/>
        </w:rPr>
      </w:pPr>
      <w:r>
        <w:rPr>
          <w:rFonts w:hint="eastAsia"/>
          <w:b/>
          <w:bCs/>
          <w:szCs w:val="21"/>
        </w:rPr>
        <w:t xml:space="preserve">3  </w:t>
      </w:r>
      <w:r>
        <w:rPr>
          <w:rFonts w:hint="eastAsia"/>
          <w:bCs/>
          <w:szCs w:val="21"/>
        </w:rPr>
        <w:t>闭口截面构件应沿全长和端部焊接封闭；</w:t>
      </w:r>
    </w:p>
    <w:p>
      <w:pPr>
        <w:spacing w:line="240" w:lineRule="auto"/>
        <w:ind w:firstLine="421" w:firstLineChars="200"/>
        <w:rPr>
          <w:bCs/>
          <w:szCs w:val="21"/>
        </w:rPr>
      </w:pPr>
      <w:r>
        <w:rPr>
          <w:rFonts w:hint="eastAsia"/>
          <w:b/>
          <w:bCs/>
          <w:szCs w:val="21"/>
        </w:rPr>
        <w:t xml:space="preserve">4  </w:t>
      </w:r>
      <w:r>
        <w:rPr>
          <w:rFonts w:hint="eastAsia"/>
          <w:bCs/>
          <w:szCs w:val="21"/>
        </w:rPr>
        <w:t>与水和土接触的钢柱脚应采用抗渗混凝土包裹，保护层厚度不应小于50mm；</w:t>
      </w:r>
    </w:p>
    <w:p>
      <w:pPr>
        <w:spacing w:line="240" w:lineRule="auto"/>
        <w:ind w:firstLine="421" w:firstLineChars="200"/>
        <w:rPr>
          <w:bCs/>
          <w:szCs w:val="21"/>
        </w:rPr>
      </w:pPr>
      <w:r>
        <w:rPr>
          <w:rFonts w:hint="eastAsia"/>
          <w:b/>
          <w:bCs/>
          <w:szCs w:val="21"/>
        </w:rPr>
        <w:t xml:space="preserve">5  </w:t>
      </w:r>
      <w:r>
        <w:rPr>
          <w:rFonts w:hint="eastAsia"/>
          <w:bCs/>
          <w:szCs w:val="21"/>
        </w:rPr>
        <w:t>室外钢结构可采用热镀锌工艺、电弧喷锌（铝）等高效防腐方法；</w:t>
      </w:r>
    </w:p>
    <w:p>
      <w:pPr>
        <w:spacing w:line="240" w:lineRule="auto"/>
        <w:ind w:firstLine="421" w:firstLineChars="200"/>
        <w:rPr>
          <w:bCs/>
          <w:szCs w:val="21"/>
        </w:rPr>
      </w:pPr>
      <w:r>
        <w:rPr>
          <w:rFonts w:hint="eastAsia"/>
          <w:b/>
          <w:bCs/>
          <w:szCs w:val="21"/>
        </w:rPr>
        <w:t xml:space="preserve">6  </w:t>
      </w:r>
      <w:r>
        <w:rPr>
          <w:rFonts w:hint="eastAsia"/>
          <w:bCs/>
          <w:szCs w:val="21"/>
        </w:rPr>
        <w:t>不同金属材料接触部位采用隔离措施；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4 </w:t>
      </w:r>
      <w:r>
        <w:rPr>
          <w:rFonts w:hint="eastAsia"/>
          <w:bCs/>
          <w:szCs w:val="21"/>
        </w:rPr>
        <w:t xml:space="preserve"> 钢结构采用防腐蚀涂料涂层保护时，应采用复合涂层并应配套使用。底涂层、中涂层厚度均不应小于60μm。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5 </w:t>
      </w:r>
      <w:r>
        <w:rPr>
          <w:rFonts w:hint="eastAsia"/>
          <w:bCs/>
          <w:szCs w:val="21"/>
        </w:rPr>
        <w:t xml:space="preserve"> 在防腐蚀涂层上涂刷防火涂料时，防火涂料应与防腐蚀涂层相容。</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6 </w:t>
      </w:r>
      <w:r>
        <w:rPr>
          <w:rFonts w:hint="eastAsia"/>
          <w:bCs/>
          <w:szCs w:val="21"/>
        </w:rPr>
        <w:t xml:space="preserve"> 设计文件内应注明在使用过程中对钢结构防火保护和防腐蚀涂层进行定期检查和维修的要求。</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7 </w:t>
      </w:r>
      <w:r>
        <w:rPr>
          <w:rFonts w:hint="eastAsia"/>
          <w:bCs/>
          <w:szCs w:val="21"/>
        </w:rPr>
        <w:t xml:space="preserve"> 钢结构住宅的钢构件、钢与混凝土组合构件及其连接节点应采取防火保护措施。采取防火保护措施后，钢构件、钢与混凝土组合构件的耐火极限可通过耐火试验或抗火计算确定。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8</w:t>
      </w:r>
      <w:r>
        <w:rPr>
          <w:rFonts w:hint="eastAsia"/>
          <w:bCs/>
          <w:szCs w:val="21"/>
        </w:rPr>
        <w:t xml:space="preserve">  钢结构的防火保护措施应综合考虑使用环境、构件类型、建筑构造、施工和维修条件等因素确定，并应符合现行有关规范的要求。对厨房等易发生火灾区域，宜采用防火板或外包混凝土、金属网抹砂浆等加强措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9  </w:t>
      </w:r>
      <w:r>
        <w:rPr>
          <w:rFonts w:hint="eastAsia"/>
          <w:bCs/>
          <w:szCs w:val="21"/>
        </w:rPr>
        <w:t>当采用涂刷防火涂料进行防火保护时，钢柱应选用厚涂型防火涂料。当综合考虑构件表面装饰效果时，钢结构的防火材料可选用防火板，板厚应根据耐火极限和防火板产品标准确定。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10 </w:t>
      </w:r>
      <w:r>
        <w:rPr>
          <w:rFonts w:hint="eastAsia"/>
          <w:bCs/>
          <w:szCs w:val="21"/>
        </w:rPr>
        <w:t xml:space="preserve"> 钢结构采用外包混凝土、金属网抹砂浆或砌筑砌体保护时，应符合下列规定：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当采用外包混凝土时，混凝土的强度等级不宜低于C20；</w:t>
      </w:r>
    </w:p>
    <w:p>
      <w:pPr>
        <w:spacing w:line="240" w:lineRule="auto"/>
        <w:ind w:firstLine="421" w:firstLineChars="200"/>
        <w:rPr>
          <w:bCs/>
          <w:szCs w:val="21"/>
        </w:rPr>
      </w:pPr>
      <w:r>
        <w:rPr>
          <w:rFonts w:hint="eastAsia"/>
          <w:b/>
          <w:bCs/>
          <w:szCs w:val="21"/>
        </w:rPr>
        <w:t xml:space="preserve">2  </w:t>
      </w:r>
      <w:r>
        <w:rPr>
          <w:rFonts w:hint="eastAsia"/>
          <w:bCs/>
          <w:szCs w:val="21"/>
        </w:rPr>
        <w:t>当采用外包金属网抹砂浆时，砂浆的强度等级不宜低于M5；金属丝网的网格不宜大于20mm，丝径不宜小于0</w:t>
      </w:r>
      <w:r>
        <w:rPr>
          <w:rFonts w:hint="eastAsia" w:ascii="宋体" w:hAnsi="宋体"/>
          <w:b/>
          <w:bCs/>
          <w:szCs w:val="21"/>
        </w:rPr>
        <w:t>.</w:t>
      </w:r>
      <w:r>
        <w:rPr>
          <w:rFonts w:hint="eastAsia"/>
          <w:bCs/>
          <w:szCs w:val="21"/>
        </w:rPr>
        <w:t>6mm；砂浆最小厚度不宜小于25mm；</w:t>
      </w:r>
    </w:p>
    <w:p>
      <w:pPr>
        <w:spacing w:line="240" w:lineRule="auto"/>
        <w:ind w:firstLine="421" w:firstLineChars="200"/>
        <w:rPr>
          <w:bCs/>
          <w:szCs w:val="21"/>
        </w:rPr>
      </w:pPr>
      <w:r>
        <w:rPr>
          <w:rFonts w:hint="eastAsia"/>
          <w:b/>
          <w:bCs/>
          <w:szCs w:val="21"/>
        </w:rPr>
        <w:t xml:space="preserve">3 </w:t>
      </w:r>
      <w:r>
        <w:rPr>
          <w:rFonts w:hint="eastAsia"/>
          <w:bCs/>
          <w:szCs w:val="21"/>
        </w:rPr>
        <w:t xml:space="preserve"> 当采用砌筑砌体时，砌块的强度等级不宜低于MU10。</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11  </w:t>
      </w:r>
      <w:r>
        <w:rPr>
          <w:rFonts w:hint="eastAsia"/>
          <w:bCs/>
          <w:szCs w:val="21"/>
        </w:rPr>
        <w:t>仅作模板使用的组合楼板中钢筋保护层的厚度（不含底板厚度）应满足耐火极限要求，楼板的底板可不进行防火保护，。</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12 </w:t>
      </w:r>
      <w:r>
        <w:rPr>
          <w:rFonts w:hint="eastAsia"/>
          <w:bCs/>
          <w:szCs w:val="21"/>
        </w:rPr>
        <w:t xml:space="preserve"> 连接节点的防火保护层厚度不得小于被连接构件保护层厚度的较大值。</w:t>
      </w:r>
    </w:p>
    <w:p>
      <w:pPr>
        <w:widowControl/>
        <w:spacing w:line="240" w:lineRule="auto"/>
        <w:jc w:val="left"/>
        <w:rPr>
          <w:rFonts w:ascii="宋体" w:hAnsi="宋体"/>
          <w:szCs w:val="21"/>
        </w:rPr>
      </w:pPr>
      <w:r>
        <w:rPr>
          <w:rFonts w:ascii="宋体" w:hAnsi="宋体"/>
          <w:szCs w:val="21"/>
        </w:rPr>
        <w:br w:type="page"/>
      </w:r>
    </w:p>
    <w:p>
      <w:pPr>
        <w:keepNext/>
        <w:keepLines/>
        <w:spacing w:after="360" w:line="240" w:lineRule="auto"/>
        <w:jc w:val="center"/>
        <w:outlineLvl w:val="0"/>
        <w:rPr>
          <w:sz w:val="28"/>
          <w:szCs w:val="21"/>
        </w:rPr>
      </w:pPr>
      <w:bookmarkStart w:id="22" w:name="_Toc118357452"/>
      <w:r>
        <w:rPr>
          <w:rFonts w:hint="eastAsia"/>
          <w:sz w:val="28"/>
          <w:szCs w:val="21"/>
        </w:rPr>
        <w:t xml:space="preserve">6  </w:t>
      </w:r>
      <w:r>
        <w:rPr>
          <w:rFonts w:hint="eastAsia" w:ascii="宋体" w:hAnsi="宋体"/>
          <w:b/>
          <w:bCs/>
          <w:sz w:val="28"/>
          <w:szCs w:val="21"/>
        </w:rPr>
        <w:t>外围护系统设计</w:t>
      </w:r>
      <w:bookmarkEnd w:id="22"/>
    </w:p>
    <w:p>
      <w:pPr>
        <w:pStyle w:val="4"/>
        <w:spacing w:before="240" w:after="240" w:line="240" w:lineRule="auto"/>
        <w:jc w:val="center"/>
        <w:rPr>
          <w:rFonts w:ascii="Times New Roman" w:hAnsi="Times New Roman"/>
          <w:sz w:val="21"/>
          <w:szCs w:val="21"/>
        </w:rPr>
      </w:pPr>
      <w:bookmarkStart w:id="23" w:name="_Toc118357453"/>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23"/>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钢结构装配式住宅建筑外围护系统，应根据深圳市的气候条件、结合建筑设计、结构形式、制造工艺、施工条件、使用要求和综合成本等因素确定。满足抗震、耐撞击、防火、抗风压、水密性、气密性、隔声性、热工和耐久性等要求。</w:t>
      </w:r>
    </w:p>
    <w:p>
      <w:pPr>
        <w:spacing w:line="240" w:lineRule="auto"/>
        <w:rPr>
          <w:bCs/>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 xml:space="preserve">2 </w:t>
      </w:r>
      <w:r>
        <w:rPr>
          <w:bCs/>
          <w:szCs w:val="21"/>
        </w:rPr>
        <w:t xml:space="preserve"> </w:t>
      </w:r>
      <w:r>
        <w:rPr>
          <w:rFonts w:hint="eastAsia"/>
          <w:bCs/>
          <w:szCs w:val="21"/>
        </w:rPr>
        <w:t>钢结构装配式建筑外围护系统的设计使用年限应与主体结构相协调。应明确配套防水材料、保温材料，装饰材料的设计使用年限及使用维护、检查及更新要求。</w:t>
      </w:r>
      <w:r>
        <w:rPr>
          <w:bCs/>
          <w:szCs w:val="21"/>
        </w:rPr>
        <w:t> </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rFonts w:hint="eastAsia"/>
          <w:bCs/>
          <w:szCs w:val="21"/>
        </w:rPr>
        <w:t xml:space="preserve"> 外围护系统选型应在满足系统相关性能指标的前提下，充分考虑施工及维护等环节的难易程度和对主体结构承载能力的影响，宜选用绿色、轻质、节能、耐久、低碳、经济的可循环材料。</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 xml:space="preserve"> 外围护系统设计内容应包括系统材料性能参数、系统构造、计算分析、生产及安装要求、质量控制及施工验收要求。外围护系统设计文件应包括下列内容：</w:t>
      </w:r>
    </w:p>
    <w:p>
      <w:pPr>
        <w:spacing w:line="240" w:lineRule="auto"/>
        <w:ind w:firstLine="421" w:firstLineChars="200"/>
        <w:rPr>
          <w:bCs/>
          <w:szCs w:val="21"/>
        </w:rPr>
      </w:pPr>
      <w:r>
        <w:rPr>
          <w:rFonts w:hint="eastAsia"/>
          <w:b/>
          <w:bCs/>
          <w:szCs w:val="21"/>
        </w:rPr>
        <w:t xml:space="preserve">1 </w:t>
      </w:r>
      <w:r>
        <w:rPr>
          <w:rFonts w:hint="eastAsia"/>
          <w:bCs/>
          <w:szCs w:val="21"/>
        </w:rPr>
        <w:t xml:space="preserve"> 外围护系统的防火、防水、隔声、热功、抗震、抗风等性能要求以及采取的相关措施；</w:t>
      </w:r>
    </w:p>
    <w:p>
      <w:pPr>
        <w:spacing w:line="240" w:lineRule="auto"/>
        <w:ind w:firstLine="421" w:firstLineChars="200"/>
        <w:rPr>
          <w:bCs/>
          <w:szCs w:val="21"/>
        </w:rPr>
      </w:pPr>
      <w:r>
        <w:rPr>
          <w:rFonts w:hint="eastAsia"/>
          <w:b/>
          <w:bCs/>
          <w:szCs w:val="21"/>
        </w:rPr>
        <w:t xml:space="preserve">2 </w:t>
      </w:r>
      <w:r>
        <w:rPr>
          <w:rFonts w:hint="eastAsia"/>
          <w:bCs/>
          <w:szCs w:val="21"/>
        </w:rPr>
        <w:t xml:space="preserve"> 外墙板、屋面板和外门窗的轴线分布、门窗位置和洞口尺寸，以及规格型号和模数协调等要求；</w:t>
      </w:r>
    </w:p>
    <w:p>
      <w:pPr>
        <w:spacing w:line="240" w:lineRule="auto"/>
        <w:ind w:firstLine="421" w:firstLineChars="200"/>
        <w:rPr>
          <w:bCs/>
          <w:szCs w:val="21"/>
        </w:rPr>
      </w:pPr>
      <w:r>
        <w:rPr>
          <w:rFonts w:hint="eastAsia"/>
          <w:b/>
          <w:bCs/>
          <w:szCs w:val="21"/>
        </w:rPr>
        <w:t xml:space="preserve">3 </w:t>
      </w:r>
      <w:r>
        <w:rPr>
          <w:rFonts w:hint="eastAsia"/>
          <w:bCs/>
          <w:szCs w:val="21"/>
        </w:rPr>
        <w:t xml:space="preserve"> 屋面结构选用材料、支承构造节点、排水设计、防雷设计等内容；</w:t>
      </w:r>
    </w:p>
    <w:p>
      <w:pPr>
        <w:spacing w:line="240" w:lineRule="auto"/>
        <w:ind w:firstLine="421" w:firstLineChars="200"/>
        <w:rPr>
          <w:bCs/>
          <w:szCs w:val="21"/>
        </w:rPr>
      </w:pPr>
      <w:r>
        <w:rPr>
          <w:rFonts w:hint="eastAsia"/>
          <w:b/>
          <w:bCs/>
          <w:szCs w:val="21"/>
        </w:rPr>
        <w:t xml:space="preserve">4 </w:t>
      </w:r>
      <w:r>
        <w:rPr>
          <w:rFonts w:hint="eastAsia"/>
          <w:bCs/>
          <w:szCs w:val="21"/>
        </w:rPr>
        <w:t xml:space="preserve"> 外墙板连接、接缝、防水及外门窗洞口等构造节点；</w:t>
      </w:r>
    </w:p>
    <w:p>
      <w:pPr>
        <w:spacing w:line="240" w:lineRule="auto"/>
        <w:ind w:firstLine="421" w:firstLineChars="200"/>
        <w:rPr>
          <w:bCs/>
          <w:szCs w:val="21"/>
        </w:rPr>
      </w:pPr>
      <w:r>
        <w:rPr>
          <w:rFonts w:hint="eastAsia"/>
          <w:b/>
          <w:bCs/>
          <w:szCs w:val="21"/>
        </w:rPr>
        <w:t xml:space="preserve">5 </w:t>
      </w:r>
      <w:r>
        <w:rPr>
          <w:rFonts w:hint="eastAsia"/>
          <w:bCs/>
          <w:szCs w:val="21"/>
        </w:rPr>
        <w:t xml:space="preserve"> 阳台、空调板、装饰件等连接构造节点。</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5 </w:t>
      </w:r>
      <w:r>
        <w:rPr>
          <w:rFonts w:hint="eastAsia"/>
          <w:bCs/>
          <w:szCs w:val="21"/>
        </w:rPr>
        <w:t xml:space="preserve"> 外围护系统中部品的耐火极限应根据建筑的耐火等级确定，应符合现行国家标准《建筑设计防火规范》GB</w:t>
      </w:r>
      <w:r>
        <w:rPr>
          <w:bCs/>
          <w:szCs w:val="21"/>
        </w:rPr>
        <w:t xml:space="preserve"> </w:t>
      </w:r>
      <w:r>
        <w:rPr>
          <w:rFonts w:hint="eastAsia"/>
          <w:bCs/>
          <w:szCs w:val="21"/>
        </w:rPr>
        <w:t>50016规定的耐火极限和燃烧性能等级要求。墙体之间、墙体与结构之间、门窗洞口以及穿墙设备管线的缝隙应采取防火封堵措施处理。</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6 </w:t>
      </w:r>
      <w:r>
        <w:rPr>
          <w:rFonts w:hint="eastAsia"/>
          <w:bCs/>
          <w:szCs w:val="21"/>
        </w:rPr>
        <w:t xml:space="preserve"> 外围护系统的热工性能应符合现行国家标准《民用建筑热工设计规范》GB</w:t>
      </w:r>
      <w:r>
        <w:rPr>
          <w:bCs/>
          <w:szCs w:val="21"/>
        </w:rPr>
        <w:t xml:space="preserve"> </w:t>
      </w:r>
      <w:r>
        <w:rPr>
          <w:rFonts w:hint="eastAsia"/>
          <w:bCs/>
          <w:szCs w:val="21"/>
        </w:rPr>
        <w:t>50176 的有关规定，窗墙面积比、外门窗传热系数、太阳得热系数、可开启面积等热工性能参数应满足深圳市节能设计要求。当相关参数不满足要求时，应进行外围护系统热工性能的综合计算，热工指标应提供检测报告或热工计算书。</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7  </w:t>
      </w:r>
      <w:r>
        <w:rPr>
          <w:rFonts w:hint="eastAsia"/>
          <w:bCs/>
          <w:szCs w:val="21"/>
        </w:rPr>
        <w:t>外围护系统应根据深圳市气候条件采用墙面和屋面整体防水设计，宜通过构造、材料等多种措施满足防水要求，并应满足透气、防潮、隔汽、防开裂等构造要求。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8 </w:t>
      </w:r>
      <w:r>
        <w:rPr>
          <w:rFonts w:hint="eastAsia"/>
          <w:bCs/>
          <w:szCs w:val="21"/>
        </w:rPr>
        <w:t xml:space="preserve"> 外挂外墙板及连接设计的结构安全性应与主体结构相适应，墙体构造应满足防开裂要求，如无法满足无开裂要求时，应采取有效的防水构造措施。外挂墙板的结构安全性和墙体裂缝防治措施应有试验或工程实践经验验证其可靠性。</w:t>
      </w:r>
    </w:p>
    <w:p>
      <w:pPr>
        <w:pStyle w:val="4"/>
        <w:spacing w:before="240" w:after="240" w:line="240" w:lineRule="auto"/>
        <w:jc w:val="center"/>
        <w:rPr>
          <w:rFonts w:ascii="Times New Roman" w:hAnsi="Times New Roman"/>
          <w:sz w:val="21"/>
          <w:szCs w:val="21"/>
        </w:rPr>
      </w:pPr>
      <w:bookmarkStart w:id="24" w:name="_Toc118357454"/>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材料与部品</w:t>
      </w:r>
      <w:bookmarkEnd w:id="24"/>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钢结构装配式住宅建筑外墙围护系统的外墙板应综合建筑防火、防水、保温、隔声、抗震、抗风、耐候、美观的要求，宜选用部品体系配套成熟的轻质墙板或集成墙板等部品。</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外围护系统的材料与部品的放射性核素限量应符合现行国家标准《建筑材料放射性核素限量》GB</w:t>
      </w:r>
      <w:r>
        <w:rPr>
          <w:bCs/>
          <w:szCs w:val="21"/>
        </w:rPr>
        <w:t xml:space="preserve"> </w:t>
      </w:r>
      <w:r>
        <w:rPr>
          <w:rFonts w:hint="eastAsia"/>
          <w:bCs/>
          <w:szCs w:val="21"/>
        </w:rPr>
        <w:t>6566的有关规定；室内侧材料与部品的性能应符合现行国家标准《民用建筑工程室内环境污染控制规范》GB</w:t>
      </w:r>
      <w:r>
        <w:rPr>
          <w:bCs/>
          <w:szCs w:val="21"/>
        </w:rPr>
        <w:t xml:space="preserve"> </w:t>
      </w:r>
      <w:r>
        <w:rPr>
          <w:rFonts w:hint="eastAsia"/>
          <w:bCs/>
          <w:szCs w:val="21"/>
        </w:rPr>
        <w:t>50325的有关规定。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外围护系统的防水、涂装、防裂等材料应符合下列规定：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外墙防水材料性能应符合现行行业标准《建筑外墙防水工程技术规程》JGJ/T</w:t>
      </w:r>
      <w:r>
        <w:rPr>
          <w:bCs/>
          <w:szCs w:val="21"/>
        </w:rPr>
        <w:t xml:space="preserve"> </w:t>
      </w:r>
      <w:r>
        <w:rPr>
          <w:rFonts w:hint="eastAsia"/>
          <w:bCs/>
          <w:szCs w:val="21"/>
        </w:rPr>
        <w:t>235的有关规定，并应注明防水透汽、耐老化、防开裂等技术参数要求；</w:t>
      </w:r>
    </w:p>
    <w:p>
      <w:pPr>
        <w:spacing w:line="240" w:lineRule="auto"/>
        <w:ind w:firstLine="421" w:firstLineChars="200"/>
        <w:rPr>
          <w:bCs/>
          <w:szCs w:val="21"/>
        </w:rPr>
      </w:pPr>
      <w:r>
        <w:rPr>
          <w:rFonts w:hint="eastAsia"/>
          <w:b/>
          <w:bCs/>
          <w:szCs w:val="21"/>
        </w:rPr>
        <w:t xml:space="preserve">2  </w:t>
      </w:r>
      <w:r>
        <w:rPr>
          <w:rFonts w:hint="eastAsia"/>
          <w:bCs/>
          <w:szCs w:val="21"/>
        </w:rPr>
        <w:t>屋面系统的材料应根据建筑物重要程度、屋面防水等级选用，防水材料性能应符合现行国家标准《屋面工程技术规范》GB</w:t>
      </w:r>
      <w:r>
        <w:rPr>
          <w:bCs/>
          <w:szCs w:val="21"/>
        </w:rPr>
        <w:t xml:space="preserve"> </w:t>
      </w:r>
      <w:r>
        <w:rPr>
          <w:rFonts w:hint="eastAsia"/>
          <w:bCs/>
          <w:szCs w:val="21"/>
        </w:rPr>
        <w:t>50345、《坡屋面工程技术规范》GB</w:t>
      </w:r>
      <w:r>
        <w:rPr>
          <w:bCs/>
          <w:szCs w:val="21"/>
        </w:rPr>
        <w:t xml:space="preserve"> </w:t>
      </w:r>
      <w:r>
        <w:rPr>
          <w:rFonts w:hint="eastAsia"/>
          <w:bCs/>
          <w:szCs w:val="21"/>
        </w:rPr>
        <w:t>50693的有关规定；</w:t>
      </w:r>
    </w:p>
    <w:p>
      <w:pPr>
        <w:spacing w:line="240" w:lineRule="auto"/>
        <w:ind w:firstLine="421" w:firstLineChars="200"/>
        <w:rPr>
          <w:bCs/>
          <w:szCs w:val="21"/>
        </w:rPr>
      </w:pPr>
      <w:r>
        <w:rPr>
          <w:rFonts w:hint="eastAsia"/>
          <w:b/>
          <w:bCs/>
          <w:szCs w:val="21"/>
        </w:rPr>
        <w:t xml:space="preserve">3  </w:t>
      </w:r>
      <w:r>
        <w:rPr>
          <w:rFonts w:hint="eastAsia"/>
          <w:bCs/>
          <w:szCs w:val="21"/>
        </w:rPr>
        <w:t>种植屋面材料性能应符合现行行业标准《种植屋面工程技术规程》JGJ</w:t>
      </w:r>
      <w:r>
        <w:rPr>
          <w:bCs/>
          <w:szCs w:val="21"/>
        </w:rPr>
        <w:t xml:space="preserve"> </w:t>
      </w:r>
      <w:r>
        <w:rPr>
          <w:rFonts w:hint="eastAsia"/>
          <w:bCs/>
          <w:szCs w:val="21"/>
        </w:rPr>
        <w:t>155的有关规定。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rFonts w:hint="eastAsia"/>
          <w:bCs/>
          <w:szCs w:val="21"/>
        </w:rPr>
        <w:t xml:space="preserve"> 外围护系统的密封材料应根据基材界面材料和使用要求选用，其伸长率、压缩率、拉伸模量、相容性、耐污染性、耐久性应满足外围护系统的使用要求，密封材料、保温材料、防火隔离带材料、防火封堵材料等性能并应符合先行国家与行业标准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5 </w:t>
      </w:r>
      <w:r>
        <w:rPr>
          <w:rFonts w:hint="eastAsia"/>
          <w:bCs/>
          <w:szCs w:val="21"/>
        </w:rPr>
        <w:t xml:space="preserve"> 外墙围护系统的材料性能应符合现行国家标准《墙体材料应用统一技术规范》GB</w:t>
      </w:r>
      <w:r>
        <w:rPr>
          <w:bCs/>
          <w:szCs w:val="21"/>
        </w:rPr>
        <w:t xml:space="preserve"> </w:t>
      </w:r>
      <w:r>
        <w:rPr>
          <w:rFonts w:hint="eastAsia"/>
          <w:bCs/>
          <w:szCs w:val="21"/>
        </w:rPr>
        <w:t>50574 的有关规定。</w:t>
      </w:r>
    </w:p>
    <w:p>
      <w:pPr>
        <w:pStyle w:val="4"/>
        <w:spacing w:before="240" w:after="240" w:line="240" w:lineRule="auto"/>
        <w:jc w:val="center"/>
        <w:rPr>
          <w:rFonts w:ascii="Times New Roman" w:hAnsi="Times New Roman"/>
          <w:sz w:val="21"/>
          <w:szCs w:val="21"/>
        </w:rPr>
      </w:pPr>
      <w:bookmarkStart w:id="25" w:name="_Toc118357455"/>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外墙围护系统</w:t>
      </w:r>
      <w:bookmarkEnd w:id="25"/>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rFonts w:hint="eastAsia"/>
          <w:bCs/>
          <w:szCs w:val="21"/>
        </w:rPr>
        <w:t xml:space="preserve"> 钢结构装配式建筑外围护系统设计应符合下列规定：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外围护系统设计应遵循标准化、模块化、通用化的原则，宜采用结构、功能、装饰等一体化设计，并与结构系统、内装系统、设备及管线系统相协同；</w:t>
      </w:r>
    </w:p>
    <w:p>
      <w:pPr>
        <w:spacing w:line="240" w:lineRule="auto"/>
        <w:ind w:firstLine="421" w:firstLineChars="200"/>
        <w:rPr>
          <w:bCs/>
          <w:szCs w:val="21"/>
        </w:rPr>
      </w:pPr>
      <w:r>
        <w:rPr>
          <w:rFonts w:hint="eastAsia"/>
          <w:b/>
          <w:bCs/>
          <w:szCs w:val="21"/>
        </w:rPr>
        <w:t xml:space="preserve">2  </w:t>
      </w:r>
      <w:r>
        <w:rPr>
          <w:rFonts w:hint="eastAsia"/>
          <w:bCs/>
          <w:szCs w:val="21"/>
        </w:rPr>
        <w:t>外围护系统与主体结构的连接应满足抗风、抗震等安全要求，连接件承载力设计的安全等级应提高一级，并应连接件明确设计使用年限；</w:t>
      </w:r>
    </w:p>
    <w:p>
      <w:pPr>
        <w:spacing w:line="240" w:lineRule="auto"/>
        <w:ind w:firstLine="421" w:firstLineChars="200"/>
        <w:rPr>
          <w:bCs/>
          <w:szCs w:val="21"/>
        </w:rPr>
      </w:pPr>
      <w:r>
        <w:rPr>
          <w:rFonts w:hint="eastAsia"/>
          <w:b/>
          <w:bCs/>
          <w:szCs w:val="21"/>
        </w:rPr>
        <w:t xml:space="preserve">3  </w:t>
      </w:r>
      <w:r>
        <w:rPr>
          <w:rFonts w:hint="eastAsia"/>
          <w:bCs/>
          <w:szCs w:val="21"/>
        </w:rPr>
        <w:t>外墙板在设防烈度地震作用下不得因主体结构的弹性层间位移而发生塑性变形、板面开裂、零件脱落等损坏；在预估的罕遇地震作用下，外墙板不得脱落；</w:t>
      </w:r>
    </w:p>
    <w:p>
      <w:pPr>
        <w:spacing w:line="240" w:lineRule="auto"/>
        <w:ind w:firstLine="420" w:firstLineChars="200"/>
        <w:rPr>
          <w:bCs/>
          <w:szCs w:val="21"/>
        </w:rPr>
      </w:pPr>
      <w:r>
        <w:rPr>
          <w:rFonts w:hint="eastAsia"/>
          <w:bCs/>
          <w:szCs w:val="21"/>
        </w:rPr>
        <w:t>4  外围护系统应宜采用以干式连接为主，设备管线与主体结构分离的方式，宜并采用隐蔽钢结构梁柱等构件的设计方法。</w:t>
      </w:r>
    </w:p>
    <w:p>
      <w:pPr>
        <w:spacing w:line="240" w:lineRule="auto"/>
        <w:ind w:firstLine="421" w:firstLineChars="200"/>
        <w:rPr>
          <w:bCs/>
          <w:szCs w:val="21"/>
        </w:rPr>
      </w:pPr>
      <w:r>
        <w:rPr>
          <w:rFonts w:hint="eastAsia"/>
          <w:b/>
          <w:bCs/>
          <w:szCs w:val="21"/>
        </w:rPr>
        <w:t xml:space="preserve">5  </w:t>
      </w:r>
      <w:r>
        <w:rPr>
          <w:rFonts w:hint="eastAsia"/>
          <w:bCs/>
          <w:szCs w:val="21"/>
        </w:rPr>
        <w:t>外墙板宜在工厂对保温、装饰层等进行一体化集成，满足功能性、安全性和耐久性等要求。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钢结构装配式住宅建筑外墙围护系统自承重和非承重外墙应按非结构构件部品设计。外墙围护系统立面设计应与部品构成和生产工艺相协调，减少外墙部品表面的非功能性装饰部品，并便于运输安装及维护。</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rFonts w:hint="eastAsia"/>
          <w:bCs/>
          <w:szCs w:val="21"/>
        </w:rPr>
        <w:t>外围护系统热桥部位的内表面温度不应低于室内空气露点温度。当不满足要求时，应采取保温断桥构造措施。</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4 </w:t>
      </w:r>
      <w:r>
        <w:rPr>
          <w:rFonts w:hint="eastAsia"/>
          <w:bCs/>
          <w:szCs w:val="21"/>
        </w:rPr>
        <w:t xml:space="preserve"> 外围护系统的隔声减噪设计标准等级应按使用要求确定，其隔声性能应符合现行国家标准《民用建筑隔声设计规范》GB</w:t>
      </w:r>
      <w:r>
        <w:rPr>
          <w:bCs/>
          <w:szCs w:val="21"/>
        </w:rPr>
        <w:t xml:space="preserve"> </w:t>
      </w:r>
      <w:r>
        <w:rPr>
          <w:rFonts w:hint="eastAsia"/>
          <w:bCs/>
          <w:szCs w:val="21"/>
        </w:rPr>
        <w:t>50118的有关规定，隔声量指标应提供系统检测报告。</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5 </w:t>
      </w:r>
      <w:r>
        <w:rPr>
          <w:rFonts w:hint="eastAsia"/>
          <w:bCs/>
          <w:szCs w:val="21"/>
        </w:rPr>
        <w:t xml:space="preserve"> 计算外围护构件及其连接的风荷载作用及组合，应符合现行国家标准《建筑结构荷载规范》GB</w:t>
      </w:r>
      <w:r>
        <w:rPr>
          <w:bCs/>
          <w:szCs w:val="21"/>
        </w:rPr>
        <w:t xml:space="preserve"> </w:t>
      </w:r>
      <w:r>
        <w:rPr>
          <w:rFonts w:hint="eastAsia"/>
          <w:bCs/>
          <w:szCs w:val="21"/>
        </w:rPr>
        <w:t>50009和广东省标准《广东省建筑结构荷载规范》DBJ</w:t>
      </w:r>
      <w:r>
        <w:rPr>
          <w:bCs/>
          <w:szCs w:val="21"/>
        </w:rPr>
        <w:t xml:space="preserve"> </w:t>
      </w:r>
      <w:r>
        <w:rPr>
          <w:rFonts w:hint="eastAsia"/>
          <w:bCs/>
          <w:szCs w:val="21"/>
        </w:rPr>
        <w:t>15-101的有关规定；计算外围护系统构件及其连接的地震作用及组合，应符合现行行业标准《非结构构件抗震设计规范》JGJ</w:t>
      </w:r>
      <w:r>
        <w:rPr>
          <w:bCs/>
          <w:szCs w:val="21"/>
        </w:rPr>
        <w:t xml:space="preserve"> </w:t>
      </w:r>
      <w:r>
        <w:rPr>
          <w:rFonts w:hint="eastAsia"/>
          <w:bCs/>
          <w:szCs w:val="21"/>
        </w:rPr>
        <w:t>339的有关规定。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6 </w:t>
      </w:r>
      <w:r>
        <w:rPr>
          <w:rFonts w:hint="eastAsia"/>
          <w:bCs/>
          <w:szCs w:val="21"/>
        </w:rPr>
        <w:t xml:space="preserve"> 外墙围护系统根据墙体构成及安装方式可选用下列系统：</w:t>
      </w:r>
    </w:p>
    <w:p>
      <w:pPr>
        <w:spacing w:line="240" w:lineRule="auto"/>
        <w:ind w:firstLine="421" w:firstLineChars="200"/>
        <w:rPr>
          <w:bCs/>
          <w:szCs w:val="21"/>
        </w:rPr>
      </w:pPr>
      <w:r>
        <w:rPr>
          <w:rFonts w:hint="eastAsia"/>
          <w:b/>
          <w:bCs/>
          <w:szCs w:val="21"/>
        </w:rPr>
        <w:t xml:space="preserve">1 </w:t>
      </w:r>
      <w:r>
        <w:rPr>
          <w:rFonts w:hint="eastAsia"/>
          <w:bCs/>
          <w:szCs w:val="21"/>
        </w:rPr>
        <w:t xml:space="preserve"> 墙板可采用外挂式、内嵌式、嵌挂结合式、自立式等与主体结构连接的形式；</w:t>
      </w:r>
    </w:p>
    <w:p>
      <w:pPr>
        <w:spacing w:line="240" w:lineRule="auto"/>
        <w:ind w:firstLine="421" w:firstLineChars="200"/>
        <w:rPr>
          <w:bCs/>
          <w:szCs w:val="21"/>
        </w:rPr>
      </w:pPr>
      <w:r>
        <w:rPr>
          <w:rFonts w:hint="eastAsia"/>
          <w:b/>
          <w:bCs/>
          <w:szCs w:val="21"/>
        </w:rPr>
        <w:t xml:space="preserve">2 </w:t>
      </w:r>
      <w:r>
        <w:rPr>
          <w:rFonts w:hint="eastAsia"/>
          <w:bCs/>
          <w:szCs w:val="21"/>
        </w:rPr>
        <w:t xml:space="preserve"> 装配式轻型条板外墙系统，当采用内嵌式或嵌挂结合在结构梁柱平面内时，与框架梁柱的连接部位宜采用弹性连接设计；</w:t>
      </w:r>
    </w:p>
    <w:p>
      <w:pPr>
        <w:spacing w:line="240" w:lineRule="auto"/>
        <w:ind w:firstLine="421" w:firstLineChars="200"/>
        <w:rPr>
          <w:bCs/>
          <w:szCs w:val="21"/>
        </w:rPr>
      </w:pPr>
      <w:r>
        <w:rPr>
          <w:rFonts w:hint="eastAsia"/>
          <w:b/>
          <w:bCs/>
          <w:szCs w:val="21"/>
        </w:rPr>
        <w:t xml:space="preserve">3  </w:t>
      </w:r>
      <w:r>
        <w:rPr>
          <w:rFonts w:hint="eastAsia"/>
          <w:bCs/>
          <w:szCs w:val="21"/>
        </w:rPr>
        <w:t>装配式骨架复合板外墙系统；</w:t>
      </w:r>
    </w:p>
    <w:p>
      <w:pPr>
        <w:spacing w:line="240" w:lineRule="auto"/>
        <w:ind w:firstLine="421" w:firstLineChars="200"/>
        <w:rPr>
          <w:bCs/>
          <w:szCs w:val="21"/>
        </w:rPr>
      </w:pPr>
      <w:r>
        <w:rPr>
          <w:rFonts w:hint="eastAsia"/>
          <w:b/>
          <w:bCs/>
          <w:szCs w:val="21"/>
        </w:rPr>
        <w:t xml:space="preserve">4  </w:t>
      </w:r>
      <w:r>
        <w:rPr>
          <w:rFonts w:hint="eastAsia"/>
          <w:bCs/>
          <w:szCs w:val="21"/>
        </w:rPr>
        <w:t>装配式预制钢筋混凝土外墙板系统，墙板附着在框架结构的平面外；</w:t>
      </w:r>
    </w:p>
    <w:p>
      <w:pPr>
        <w:spacing w:line="240" w:lineRule="auto"/>
        <w:ind w:firstLine="421" w:firstLineChars="200"/>
        <w:rPr>
          <w:bCs/>
          <w:szCs w:val="21"/>
        </w:rPr>
      </w:pPr>
      <w:r>
        <w:rPr>
          <w:rFonts w:hint="eastAsia"/>
          <w:b/>
          <w:bCs/>
          <w:szCs w:val="21"/>
        </w:rPr>
        <w:t xml:space="preserve">5 </w:t>
      </w:r>
      <w:r>
        <w:rPr>
          <w:rFonts w:hint="eastAsia"/>
          <w:bCs/>
          <w:szCs w:val="21"/>
        </w:rPr>
        <w:t xml:space="preserve"> 装配式复合外墙系统或其它装配式幕墙系统。</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7 </w:t>
      </w:r>
      <w:r>
        <w:rPr>
          <w:rFonts w:hint="eastAsia"/>
          <w:bCs/>
          <w:szCs w:val="21"/>
        </w:rPr>
        <w:t xml:space="preserve"> 外墙外保温可选用保温装饰一体化板材，其材料及系统，性能应符合现行行业标准《外墙保温复合板通用技术要求》JG/T</w:t>
      </w:r>
      <w:r>
        <w:rPr>
          <w:bCs/>
          <w:szCs w:val="21"/>
        </w:rPr>
        <w:t xml:space="preserve"> </w:t>
      </w:r>
      <w:r>
        <w:rPr>
          <w:rFonts w:hint="eastAsia"/>
          <w:bCs/>
          <w:szCs w:val="21"/>
        </w:rPr>
        <w:t>480、《保温装饰板外墙外保温系统材料》JG/T</w:t>
      </w:r>
      <w:r>
        <w:rPr>
          <w:bCs/>
          <w:szCs w:val="21"/>
        </w:rPr>
        <w:t xml:space="preserve"> </w:t>
      </w:r>
      <w:r>
        <w:rPr>
          <w:rFonts w:hint="eastAsia"/>
          <w:bCs/>
          <w:szCs w:val="21"/>
        </w:rPr>
        <w:t>287的有关规定。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8 </w:t>
      </w:r>
      <w:r>
        <w:rPr>
          <w:rFonts w:hint="eastAsia"/>
          <w:bCs/>
          <w:szCs w:val="21"/>
        </w:rPr>
        <w:t xml:space="preserve"> 外墙板与主体结构的连接节点应符合下列规定：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连接节点应牢固可靠、受力明确、传力简捷、构造合理；</w:t>
      </w:r>
    </w:p>
    <w:p>
      <w:pPr>
        <w:spacing w:line="240" w:lineRule="auto"/>
        <w:ind w:firstLine="421" w:firstLineChars="200"/>
        <w:rPr>
          <w:bCs/>
          <w:szCs w:val="21"/>
        </w:rPr>
      </w:pPr>
      <w:r>
        <w:rPr>
          <w:rFonts w:hint="eastAsia"/>
          <w:b/>
          <w:bCs/>
          <w:szCs w:val="21"/>
        </w:rPr>
        <w:t xml:space="preserve">2 </w:t>
      </w:r>
      <w:r>
        <w:rPr>
          <w:rFonts w:hint="eastAsia"/>
          <w:bCs/>
          <w:szCs w:val="21"/>
        </w:rPr>
        <w:t xml:space="preserve"> 连接节点应具备适应主体结构变形的能力，宜采用柔性连接方式；</w:t>
      </w:r>
    </w:p>
    <w:p>
      <w:pPr>
        <w:spacing w:line="240" w:lineRule="auto"/>
        <w:ind w:firstLine="421" w:firstLineChars="200"/>
        <w:rPr>
          <w:bCs/>
          <w:szCs w:val="21"/>
        </w:rPr>
      </w:pPr>
      <w:r>
        <w:rPr>
          <w:rFonts w:hint="eastAsia"/>
          <w:b/>
          <w:bCs/>
          <w:szCs w:val="21"/>
        </w:rPr>
        <w:t xml:space="preserve">3 </w:t>
      </w:r>
      <w:r>
        <w:rPr>
          <w:rFonts w:hint="eastAsia"/>
          <w:bCs/>
          <w:szCs w:val="21"/>
        </w:rPr>
        <w:t xml:space="preserve"> 连接节点设计宜采用标准化和通用化连接件，采用预置预埋或后置方式，通过机械连接固定，并合理设置可调整构造，满足尺寸偏差、现场装配和定位要求；</w:t>
      </w:r>
    </w:p>
    <w:p>
      <w:pPr>
        <w:spacing w:line="240" w:lineRule="auto"/>
        <w:ind w:firstLine="421" w:firstLineChars="200"/>
        <w:rPr>
          <w:bCs/>
          <w:szCs w:val="21"/>
        </w:rPr>
      </w:pPr>
      <w:r>
        <w:rPr>
          <w:rFonts w:hint="eastAsia"/>
          <w:b/>
          <w:bCs/>
          <w:szCs w:val="21"/>
        </w:rPr>
        <w:t xml:space="preserve">4 </w:t>
      </w:r>
      <w:r>
        <w:rPr>
          <w:rFonts w:hint="eastAsia"/>
          <w:bCs/>
          <w:szCs w:val="21"/>
        </w:rPr>
        <w:t xml:space="preserve"> 金属连接件宜选用不锈钢、高强合金或镀锌钢等，非金属连接件不宜采取再生材料制品；</w:t>
      </w:r>
    </w:p>
    <w:p>
      <w:pPr>
        <w:spacing w:line="240" w:lineRule="auto"/>
        <w:ind w:firstLine="421" w:firstLineChars="200"/>
        <w:rPr>
          <w:bCs/>
          <w:szCs w:val="21"/>
        </w:rPr>
      </w:pPr>
      <w:r>
        <w:rPr>
          <w:rFonts w:hint="eastAsia"/>
          <w:b/>
          <w:bCs/>
          <w:szCs w:val="21"/>
        </w:rPr>
        <w:t xml:space="preserve">5 </w:t>
      </w:r>
      <w:r>
        <w:rPr>
          <w:rFonts w:hint="eastAsia"/>
          <w:bCs/>
          <w:szCs w:val="21"/>
        </w:rPr>
        <w:t xml:space="preserve"> 连接节点宜采用避免连接件外露的隐蔽式设计，并采用断热、隔声和减振处理措施，避免产生冷热桥和声桥效应。</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9  </w:t>
      </w:r>
      <w:r>
        <w:rPr>
          <w:rFonts w:hint="eastAsia"/>
          <w:bCs/>
          <w:szCs w:val="21"/>
        </w:rPr>
        <w:t>外墙板连接缝应符合下列规定：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外墙板连接缝应根据外墙板材料、立面分格、结构层间位移、温度变形等综合因素进行设计并采取防裂措施，满足构造、热工、防水、防火、隔声、建筑装修和使用年限等要求；</w:t>
      </w:r>
    </w:p>
    <w:p>
      <w:pPr>
        <w:spacing w:line="240" w:lineRule="auto"/>
        <w:ind w:firstLine="421" w:firstLineChars="200"/>
        <w:rPr>
          <w:bCs/>
          <w:szCs w:val="21"/>
        </w:rPr>
      </w:pPr>
      <w:r>
        <w:rPr>
          <w:rFonts w:hint="eastAsia"/>
          <w:b/>
          <w:bCs/>
          <w:szCs w:val="21"/>
        </w:rPr>
        <w:t xml:space="preserve">2  </w:t>
      </w:r>
      <w:r>
        <w:rPr>
          <w:rFonts w:hint="eastAsia"/>
          <w:bCs/>
          <w:szCs w:val="21"/>
        </w:rPr>
        <w:t>外墙板在正常使用状况下，接缝处的弹性密封材料不应破坏。</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10  </w:t>
      </w:r>
      <w:r>
        <w:rPr>
          <w:rFonts w:hint="eastAsia"/>
          <w:bCs/>
          <w:szCs w:val="21"/>
        </w:rPr>
        <w:t>外围护系统中的外门窗应符合下列规定：</w:t>
      </w:r>
    </w:p>
    <w:p>
      <w:pPr>
        <w:spacing w:line="240" w:lineRule="auto"/>
        <w:ind w:firstLine="421" w:firstLineChars="200"/>
        <w:rPr>
          <w:bCs/>
          <w:szCs w:val="21"/>
        </w:rPr>
      </w:pPr>
      <w:r>
        <w:rPr>
          <w:rFonts w:hint="eastAsia"/>
          <w:b/>
          <w:bCs/>
          <w:szCs w:val="21"/>
        </w:rPr>
        <w:t>1</w:t>
      </w:r>
      <w:r>
        <w:rPr>
          <w:rFonts w:hint="eastAsia"/>
          <w:bCs/>
          <w:szCs w:val="21"/>
        </w:rPr>
        <w:t xml:space="preserve">  外门窗应采用与外墙板一体化设计，在工厂生产的标准化系列部品，宜选用成套化、模块化的门窗部品；</w:t>
      </w:r>
    </w:p>
    <w:p>
      <w:pPr>
        <w:spacing w:line="240" w:lineRule="auto"/>
        <w:ind w:firstLine="421" w:firstLineChars="200"/>
        <w:rPr>
          <w:bCs/>
          <w:szCs w:val="21"/>
        </w:rPr>
      </w:pPr>
      <w:r>
        <w:rPr>
          <w:rFonts w:hint="eastAsia"/>
          <w:b/>
          <w:bCs/>
          <w:szCs w:val="21"/>
        </w:rPr>
        <w:t xml:space="preserve">2 </w:t>
      </w:r>
      <w:r>
        <w:rPr>
          <w:rFonts w:hint="eastAsia"/>
          <w:bCs/>
          <w:szCs w:val="21"/>
        </w:rPr>
        <w:t xml:space="preserve"> 应明确所采用门窗的防火、隔声、热工、防水、抗风压等性能要求，以及材质、规格、颜色、开启方向、安装位置、固定方式等要求；</w:t>
      </w:r>
    </w:p>
    <w:p>
      <w:pPr>
        <w:spacing w:line="240" w:lineRule="auto"/>
        <w:ind w:firstLine="421" w:firstLineChars="200"/>
        <w:rPr>
          <w:bCs/>
          <w:szCs w:val="21"/>
        </w:rPr>
      </w:pPr>
      <w:r>
        <w:rPr>
          <w:rFonts w:hint="eastAsia"/>
          <w:b/>
          <w:bCs/>
          <w:szCs w:val="21"/>
        </w:rPr>
        <w:t xml:space="preserve">3 </w:t>
      </w:r>
      <w:r>
        <w:rPr>
          <w:rFonts w:hint="eastAsia"/>
          <w:bCs/>
          <w:szCs w:val="21"/>
        </w:rPr>
        <w:t xml:space="preserve"> 预制外墙中的外门窗宜采用企口或预埋件等方法固定，外门窗可采用预装法或后装法施工。采用后装法时，预制外墙的门窗洞口应设置预埋件或预埋副框。</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11 </w:t>
      </w:r>
      <w:r>
        <w:rPr>
          <w:rFonts w:hint="eastAsia"/>
          <w:bCs/>
          <w:szCs w:val="21"/>
        </w:rPr>
        <w:t xml:space="preserve"> 外墙围护系统设计文件应注明检验与测试要求，设置的连接件和主体结构的连接承载力设计值宜通过现场抽样测试验证。</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12 </w:t>
      </w:r>
      <w:r>
        <w:rPr>
          <w:rFonts w:hint="eastAsia"/>
          <w:bCs/>
          <w:szCs w:val="21"/>
        </w:rPr>
        <w:t xml:space="preserve"> 设置在外墙围护系统中的户内管线，可利用墙体空腔布置或结合户内装修装饰层设置，不得宜在施工现场开槽埋设、并应便于检修和更换。</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13</w:t>
      </w:r>
      <w:r>
        <w:rPr>
          <w:rFonts w:hint="eastAsia"/>
          <w:bCs/>
          <w:szCs w:val="21"/>
        </w:rPr>
        <w:t xml:space="preserve">  设置在外墙围护系统上的附属部（构）件应进行构造设计与承载能力验算。建筑遮阳、雨篷、空调板、栏杆、装饰件、雨水管等非结构构件应与主体结构或外围护系统可靠连接，并应加强连接部位的保温防水构造。</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14 </w:t>
      </w:r>
      <w:r>
        <w:rPr>
          <w:rFonts w:hint="eastAsia"/>
          <w:bCs/>
          <w:szCs w:val="21"/>
        </w:rPr>
        <w:t xml:space="preserve"> 穿越外墙围护系统的管线、洞口，应采取防水构造措施；穿越外围护系统的管线、洞口及有可能产生声桥和振动的部位，应采取隔声降噪等构造措施。</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15</w:t>
      </w:r>
      <w:r>
        <w:rPr>
          <w:rFonts w:hint="eastAsia"/>
          <w:bCs/>
          <w:szCs w:val="21"/>
        </w:rPr>
        <w:t xml:space="preserve">  外围护系统墙体装饰装修的更新不应影响墙体结构性能。</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16</w:t>
      </w:r>
      <w:r>
        <w:rPr>
          <w:rFonts w:hint="eastAsia"/>
          <w:bCs/>
          <w:szCs w:val="21"/>
        </w:rPr>
        <w:t xml:space="preserve">  外挂墙板与主体结构的连接承载力与变形能力应符合设计要求：</w:t>
      </w:r>
    </w:p>
    <w:p>
      <w:pPr>
        <w:spacing w:line="240" w:lineRule="auto"/>
        <w:ind w:firstLine="421" w:firstLineChars="200"/>
        <w:rPr>
          <w:bCs/>
          <w:szCs w:val="21"/>
        </w:rPr>
      </w:pPr>
      <w:r>
        <w:rPr>
          <w:rFonts w:hint="eastAsia"/>
          <w:b/>
          <w:bCs/>
          <w:szCs w:val="21"/>
        </w:rPr>
        <w:t xml:space="preserve">1 </w:t>
      </w:r>
      <w:r>
        <w:rPr>
          <w:rFonts w:hint="eastAsia"/>
          <w:bCs/>
          <w:szCs w:val="21"/>
        </w:rPr>
        <w:t xml:space="preserve"> 当遭受多遇地震影响时，外挂墙板及其接缝不应损坏或不需修理即可继续使用；</w:t>
      </w:r>
    </w:p>
    <w:p>
      <w:pPr>
        <w:spacing w:line="240" w:lineRule="auto"/>
        <w:ind w:firstLine="421" w:firstLineChars="200"/>
        <w:rPr>
          <w:bCs/>
          <w:szCs w:val="21"/>
        </w:rPr>
      </w:pPr>
      <w:r>
        <w:rPr>
          <w:rFonts w:hint="eastAsia"/>
          <w:b/>
          <w:bCs/>
          <w:szCs w:val="21"/>
        </w:rPr>
        <w:t xml:space="preserve">2 </w:t>
      </w:r>
      <w:r>
        <w:rPr>
          <w:rFonts w:hint="eastAsia"/>
          <w:bCs/>
          <w:szCs w:val="21"/>
        </w:rPr>
        <w:t xml:space="preserve"> 当遭受设防烈度地震影响时，节点连接件不应损环，外挂墙板及其接缝可能发生损坏，但经一般性修理后仍可继续使用；</w:t>
      </w:r>
    </w:p>
    <w:p>
      <w:pPr>
        <w:spacing w:line="240" w:lineRule="auto"/>
        <w:ind w:firstLine="421" w:firstLineChars="200"/>
        <w:rPr>
          <w:bCs/>
          <w:szCs w:val="21"/>
        </w:rPr>
      </w:pPr>
      <w:r>
        <w:rPr>
          <w:rFonts w:hint="eastAsia"/>
          <w:b/>
          <w:bCs/>
          <w:szCs w:val="21"/>
        </w:rPr>
        <w:t xml:space="preserve">3 </w:t>
      </w:r>
      <w:r>
        <w:rPr>
          <w:rFonts w:hint="eastAsia"/>
          <w:bCs/>
          <w:szCs w:val="21"/>
        </w:rPr>
        <w:t xml:space="preserve"> 当遭受预估的罕遇地震作用时，外挂墙板不应脱落，节点连接件不应失效。</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17 </w:t>
      </w:r>
      <w:r>
        <w:rPr>
          <w:rFonts w:hint="eastAsia"/>
          <w:bCs/>
          <w:szCs w:val="21"/>
        </w:rPr>
        <w:t xml:space="preserve"> 预制外墙板应符合下列规定：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预制外墙板宜采用结构、保温隔热、装饰一体化设计，保温层、装饰层、外门窗（框）、预埋管线盒和预置吊点支撑点等宜在工厂集成，与主体结构宜采取以干式法为主的连接方式；</w:t>
      </w:r>
    </w:p>
    <w:p>
      <w:pPr>
        <w:spacing w:line="240" w:lineRule="auto"/>
        <w:ind w:firstLine="421" w:firstLineChars="200"/>
        <w:rPr>
          <w:bCs/>
          <w:szCs w:val="21"/>
        </w:rPr>
      </w:pPr>
      <w:r>
        <w:rPr>
          <w:rFonts w:hint="eastAsia"/>
          <w:b/>
          <w:bCs/>
          <w:szCs w:val="21"/>
        </w:rPr>
        <w:t xml:space="preserve">2 </w:t>
      </w:r>
      <w:r>
        <w:rPr>
          <w:rFonts w:hint="eastAsia"/>
          <w:bCs/>
          <w:szCs w:val="21"/>
        </w:rPr>
        <w:t xml:space="preserve"> 预制外墙板应按非承重构件设计，具备适应钢结构主体变形能力，并满足结构强度、防火防水、隔声隔热、抗震抗风压和建筑造型等要求；</w:t>
      </w:r>
    </w:p>
    <w:p>
      <w:pPr>
        <w:spacing w:line="240" w:lineRule="auto"/>
        <w:ind w:firstLine="421" w:firstLineChars="200"/>
        <w:rPr>
          <w:bCs/>
          <w:szCs w:val="21"/>
        </w:rPr>
      </w:pPr>
      <w:r>
        <w:rPr>
          <w:rFonts w:hint="eastAsia"/>
          <w:b/>
          <w:bCs/>
          <w:szCs w:val="21"/>
        </w:rPr>
        <w:t xml:space="preserve">3 </w:t>
      </w:r>
      <w:r>
        <w:rPr>
          <w:rFonts w:hint="eastAsia"/>
          <w:bCs/>
          <w:szCs w:val="21"/>
        </w:rPr>
        <w:t xml:space="preserve"> 预制外墙板宜采用涂料或块材等饰面处理，工厂化生产和集成。</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18 </w:t>
      </w:r>
      <w:r>
        <w:rPr>
          <w:rFonts w:hint="eastAsia"/>
          <w:bCs/>
          <w:szCs w:val="21"/>
        </w:rPr>
        <w:t xml:space="preserve"> 轻钢龙骨式复合墙板应符合下列规定：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应根据墙体强度、隔声性能、设备设施安装、外观性能等要求，确定墙体的厚度及面板、填充物和骨架的材料与规格型号等，宜采取装饰、结构、保温、设备管线、门窗洞口等一体化设计和工厂化集成；</w:t>
      </w:r>
    </w:p>
    <w:p>
      <w:pPr>
        <w:spacing w:line="240" w:lineRule="auto"/>
        <w:ind w:firstLine="421" w:firstLineChars="200"/>
        <w:rPr>
          <w:bCs/>
          <w:szCs w:val="21"/>
        </w:rPr>
      </w:pPr>
      <w:r>
        <w:rPr>
          <w:rFonts w:hint="eastAsia"/>
          <w:b/>
          <w:bCs/>
          <w:szCs w:val="21"/>
        </w:rPr>
        <w:t xml:space="preserve">2  </w:t>
      </w:r>
      <w:r>
        <w:rPr>
          <w:rFonts w:hint="eastAsia"/>
          <w:bCs/>
          <w:szCs w:val="21"/>
        </w:rPr>
        <w:t>轻钢龙骨式复合墙板与主体结构连接宜采用高强螺栓、抽芯铆钉、锚栓、自攻螺钉或卡件等方式紧固，连接强度应满足抗风抗震的极限承载力要求，尚应满足抗撞击性能要求；</w:t>
      </w:r>
    </w:p>
    <w:p>
      <w:pPr>
        <w:spacing w:line="240" w:lineRule="auto"/>
        <w:ind w:firstLine="421" w:firstLineChars="200"/>
        <w:rPr>
          <w:bCs/>
          <w:szCs w:val="21"/>
        </w:rPr>
      </w:pPr>
      <w:r>
        <w:rPr>
          <w:rFonts w:hint="eastAsia"/>
          <w:b/>
          <w:bCs/>
          <w:szCs w:val="21"/>
        </w:rPr>
        <w:t xml:space="preserve">3  </w:t>
      </w:r>
      <w:r>
        <w:rPr>
          <w:rFonts w:hint="eastAsia"/>
          <w:bCs/>
          <w:szCs w:val="21"/>
        </w:rPr>
        <w:t>连接节点应满足国家现行相关标准规定的耐久性、防火性、气密性、水密性等性能要求，防火处理可采用包覆法、屏蔽法等措施，防水处理可采用多重防水等措施；</w:t>
      </w:r>
    </w:p>
    <w:p>
      <w:pPr>
        <w:spacing w:line="240" w:lineRule="auto"/>
        <w:ind w:firstLine="421" w:firstLineChars="200"/>
        <w:rPr>
          <w:bCs/>
          <w:szCs w:val="21"/>
        </w:rPr>
      </w:pPr>
      <w:r>
        <w:rPr>
          <w:rFonts w:hint="eastAsia"/>
          <w:b/>
          <w:bCs/>
          <w:szCs w:val="21"/>
        </w:rPr>
        <w:t xml:space="preserve">4 </w:t>
      </w:r>
      <w:r>
        <w:rPr>
          <w:rFonts w:hint="eastAsia"/>
          <w:bCs/>
          <w:szCs w:val="21"/>
        </w:rPr>
        <w:t xml:space="preserve"> 轻钢龙骨式复合墙板宜采取墙面整体防水，设置防水透气膜层。金属骨架应设置有效的防腐蚀措施；</w:t>
      </w:r>
    </w:p>
    <w:p>
      <w:pPr>
        <w:spacing w:line="240" w:lineRule="auto"/>
        <w:ind w:firstLine="421" w:firstLineChars="200"/>
        <w:rPr>
          <w:bCs/>
          <w:szCs w:val="21"/>
        </w:rPr>
      </w:pPr>
      <w:r>
        <w:rPr>
          <w:rFonts w:hint="eastAsia"/>
          <w:b/>
          <w:bCs/>
          <w:szCs w:val="21"/>
        </w:rPr>
        <w:t xml:space="preserve">5  </w:t>
      </w:r>
      <w:r>
        <w:rPr>
          <w:rFonts w:hint="eastAsia"/>
          <w:bCs/>
          <w:szCs w:val="21"/>
        </w:rPr>
        <w:t>墙体内敷设电气线路时，应对其进行穿管保护。</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19 </w:t>
      </w:r>
      <w:r>
        <w:rPr>
          <w:rFonts w:hint="eastAsia"/>
          <w:bCs/>
          <w:szCs w:val="21"/>
        </w:rPr>
        <w:t xml:space="preserve"> 轻质条板外墙应符合下列规定：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轻质条板外墙应与建筑节能、外装饰层、外门窗洞口等进行一体化设计，宜选用实心条板，在工厂集成或现场拼装，可采用标准规格或定制生产；</w:t>
      </w:r>
    </w:p>
    <w:p>
      <w:pPr>
        <w:spacing w:line="240" w:lineRule="auto"/>
        <w:ind w:firstLine="421" w:firstLineChars="200"/>
        <w:rPr>
          <w:bCs/>
          <w:szCs w:val="21"/>
        </w:rPr>
      </w:pPr>
      <w:r>
        <w:rPr>
          <w:rFonts w:hint="eastAsia"/>
          <w:b/>
          <w:bCs/>
          <w:szCs w:val="21"/>
        </w:rPr>
        <w:t xml:space="preserve">2 </w:t>
      </w:r>
      <w:r>
        <w:rPr>
          <w:rFonts w:hint="eastAsia"/>
          <w:bCs/>
          <w:szCs w:val="21"/>
        </w:rPr>
        <w:t xml:space="preserve"> 轻质条板外墙宜采用内嵌或外挂方式，通过分层悬挂或承托，可采用卡件、管卡、锚栓、钩头螺栓、预埋件等连接件进行固定，连接件应有可靠的防松驰、防滑脱措施。用作固定和加固的预埋件和锚固件，均应作防腐和防锈处理；</w:t>
      </w:r>
    </w:p>
    <w:p>
      <w:pPr>
        <w:spacing w:line="240" w:lineRule="auto"/>
        <w:ind w:firstLine="421" w:firstLineChars="200"/>
        <w:rPr>
          <w:bCs/>
          <w:szCs w:val="21"/>
        </w:rPr>
      </w:pPr>
      <w:r>
        <w:rPr>
          <w:rFonts w:hint="eastAsia"/>
          <w:b/>
          <w:bCs/>
          <w:szCs w:val="21"/>
        </w:rPr>
        <w:t xml:space="preserve">3  </w:t>
      </w:r>
      <w:r>
        <w:rPr>
          <w:rFonts w:hint="eastAsia"/>
          <w:bCs/>
          <w:szCs w:val="21"/>
        </w:rPr>
        <w:t>当采用辅加结构梁、柱的接板安装高度，施工单位可与设计单位协商，另行设计，并应提交受力计算书或抗冲击性能检测报告；</w:t>
      </w:r>
    </w:p>
    <w:p>
      <w:pPr>
        <w:spacing w:line="240" w:lineRule="auto"/>
        <w:ind w:firstLine="421" w:firstLineChars="200"/>
        <w:rPr>
          <w:bCs/>
          <w:szCs w:val="21"/>
        </w:rPr>
      </w:pPr>
      <w:r>
        <w:rPr>
          <w:rFonts w:hint="eastAsia"/>
          <w:b/>
          <w:bCs/>
          <w:szCs w:val="21"/>
        </w:rPr>
        <w:t xml:space="preserve">4 </w:t>
      </w:r>
      <w:r>
        <w:rPr>
          <w:rFonts w:hint="eastAsia"/>
          <w:bCs/>
          <w:szCs w:val="21"/>
        </w:rPr>
        <w:t xml:space="preserve"> 墙板上需要吊挂重物或设备时，应在设计时考虑加固措施；</w:t>
      </w:r>
    </w:p>
    <w:p>
      <w:pPr>
        <w:spacing w:line="240" w:lineRule="auto"/>
        <w:ind w:firstLine="421" w:firstLineChars="200"/>
        <w:rPr>
          <w:bCs/>
          <w:szCs w:val="21"/>
        </w:rPr>
      </w:pPr>
      <w:r>
        <w:rPr>
          <w:rFonts w:hint="eastAsia"/>
          <w:b/>
          <w:bCs/>
          <w:szCs w:val="21"/>
        </w:rPr>
        <w:t xml:space="preserve">5 </w:t>
      </w:r>
      <w:r>
        <w:rPr>
          <w:rFonts w:hint="eastAsia"/>
          <w:bCs/>
          <w:szCs w:val="21"/>
        </w:rPr>
        <w:t xml:space="preserve"> 需敷设管线部位可在满足墙板强度的前提下预设预埋管线。</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20</w:t>
      </w:r>
      <w:r>
        <w:rPr>
          <w:rFonts w:hint="eastAsia"/>
          <w:bCs/>
          <w:szCs w:val="21"/>
        </w:rPr>
        <w:t xml:space="preserve">  一体化组合外墙应符合下列规定：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应将墙体构造、装饰层、防水层、隔热保温层和门窗洞口等进行一体化设计，定制化生产，工厂或现场集成；</w:t>
      </w:r>
    </w:p>
    <w:p>
      <w:pPr>
        <w:spacing w:line="240" w:lineRule="auto"/>
        <w:ind w:firstLine="421" w:firstLineChars="200"/>
        <w:rPr>
          <w:bCs/>
          <w:szCs w:val="21"/>
        </w:rPr>
      </w:pPr>
      <w:r>
        <w:rPr>
          <w:rFonts w:hint="eastAsia"/>
          <w:b/>
          <w:bCs/>
          <w:szCs w:val="21"/>
        </w:rPr>
        <w:t xml:space="preserve">2  </w:t>
      </w:r>
      <w:r>
        <w:rPr>
          <w:rFonts w:hint="eastAsia"/>
          <w:bCs/>
          <w:szCs w:val="21"/>
        </w:rPr>
        <w:t>应综合考虑广东省的气候条件、建筑使用功能、抗震设防要求等因素，合理制定安全性、功能性和耐久性指标要求，并结合原材料规格和施工条件，合理确定墙体单元的规格和尺寸、组合构造方式、连接方式和安装方式；</w:t>
      </w:r>
    </w:p>
    <w:p>
      <w:pPr>
        <w:spacing w:line="240" w:lineRule="auto"/>
        <w:ind w:firstLine="421" w:firstLineChars="200"/>
        <w:rPr>
          <w:bCs/>
          <w:szCs w:val="21"/>
        </w:rPr>
      </w:pPr>
      <w:r>
        <w:rPr>
          <w:rFonts w:hint="eastAsia"/>
          <w:b/>
          <w:bCs/>
          <w:szCs w:val="21"/>
        </w:rPr>
        <w:t xml:space="preserve">3  </w:t>
      </w:r>
      <w:r>
        <w:rPr>
          <w:rFonts w:hint="eastAsia"/>
          <w:bCs/>
          <w:szCs w:val="21"/>
        </w:rPr>
        <w:t>与主体结构宜采用外挂式或嵌挂方式连接，亦可采用托件式连接、吊挂式连接、插件式连接等方式；</w:t>
      </w:r>
    </w:p>
    <w:p>
      <w:pPr>
        <w:spacing w:line="240" w:lineRule="auto"/>
        <w:ind w:firstLine="421" w:firstLineChars="200"/>
        <w:rPr>
          <w:bCs/>
          <w:szCs w:val="21"/>
        </w:rPr>
      </w:pPr>
      <w:r>
        <w:rPr>
          <w:rFonts w:hint="eastAsia"/>
          <w:b/>
          <w:bCs/>
          <w:szCs w:val="21"/>
        </w:rPr>
        <w:t xml:space="preserve">4 </w:t>
      </w:r>
      <w:r>
        <w:rPr>
          <w:rFonts w:hint="eastAsia"/>
          <w:bCs/>
          <w:szCs w:val="21"/>
        </w:rPr>
        <w:t xml:space="preserve"> 饰面材料宜采用轻质高强、性能可靠、易于加工和安装的块材。应确保面板的连接牢固可靠，并应提交连接措施受力计算书或系统性能检测报告。</w:t>
      </w:r>
    </w:p>
    <w:p>
      <w:pPr>
        <w:pStyle w:val="4"/>
        <w:spacing w:before="240" w:after="240" w:line="240" w:lineRule="auto"/>
        <w:jc w:val="center"/>
        <w:rPr>
          <w:rFonts w:ascii="Times New Roman" w:hAnsi="Times New Roman"/>
          <w:sz w:val="21"/>
          <w:szCs w:val="21"/>
        </w:rPr>
      </w:pPr>
      <w:bookmarkStart w:id="26" w:name="_Toc118357456"/>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屋面围护系统</w:t>
      </w:r>
      <w:bookmarkEnd w:id="26"/>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  </w:t>
      </w:r>
      <w:r>
        <w:rPr>
          <w:rFonts w:hint="eastAsia"/>
          <w:bCs/>
          <w:szCs w:val="21"/>
        </w:rPr>
        <w:t>钢结构装配式住宅建筑屋面围护系统的防水等级应根据建筑造型、重要程度、使用功能、所处环境条件确定。屋面围护系统设计应包含材料部品的选用要求、构造设计、排水设计、防雷设计等内容。</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2</w:t>
      </w:r>
      <w:r>
        <w:rPr>
          <w:rFonts w:hint="eastAsia"/>
          <w:bCs/>
          <w:szCs w:val="21"/>
        </w:rPr>
        <w:t xml:space="preserve">  屋面宜采用工厂化生产的集成式屋面系统，与太阳能系统、采光系统等进行一体化设计。</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rFonts w:hint="eastAsia"/>
          <w:bCs/>
          <w:szCs w:val="21"/>
        </w:rPr>
        <w:t>当屋盖结构板采用钢筋混凝土板时，屋面保护层或架空隔热层、保温层、防水层、找平层、找坡层等设计构造要求应符合现行国家标准《屋面工程技术规范》GB</w:t>
      </w:r>
      <w:r>
        <w:rPr>
          <w:bCs/>
          <w:szCs w:val="21"/>
        </w:rPr>
        <w:t xml:space="preserve"> </w:t>
      </w:r>
      <w:r>
        <w:rPr>
          <w:rFonts w:hint="eastAsia"/>
          <w:bCs/>
          <w:szCs w:val="21"/>
        </w:rPr>
        <w:t>50345的有关规定。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4 </w:t>
      </w:r>
      <w:r>
        <w:rPr>
          <w:rFonts w:hint="eastAsia"/>
          <w:bCs/>
          <w:szCs w:val="21"/>
        </w:rPr>
        <w:t xml:space="preserve"> 采用金属板屋面、瓦屋面等的轻型屋面围护系统，其承载力、刚度、稳定性和变形能力应符合设计要求，应有可靠的防风掀措施及计算分析。材料选用、系统构造应符合现行国家标准《屋面工程技术规范》GB</w:t>
      </w:r>
      <w:r>
        <w:rPr>
          <w:bCs/>
          <w:szCs w:val="21"/>
        </w:rPr>
        <w:t xml:space="preserve"> </w:t>
      </w:r>
      <w:r>
        <w:rPr>
          <w:rFonts w:hint="eastAsia"/>
          <w:bCs/>
          <w:szCs w:val="21"/>
        </w:rPr>
        <w:t>50345和《坡屋面工程技术规范》GB</w:t>
      </w:r>
      <w:r>
        <w:rPr>
          <w:bCs/>
          <w:szCs w:val="21"/>
        </w:rPr>
        <w:t xml:space="preserve"> </w:t>
      </w:r>
      <w:r>
        <w:rPr>
          <w:rFonts w:hint="eastAsia"/>
          <w:bCs/>
          <w:szCs w:val="21"/>
        </w:rPr>
        <w:t>50693的有关规定。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rFonts w:hint="eastAsia"/>
          <w:bCs/>
          <w:szCs w:val="21"/>
        </w:rPr>
        <w:t xml:space="preserve">坡屋面上有凸起的天窗、天沟侧壁或其他构件时，防水构造应考虑雨水冲力的影响。 </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27" w:name="_Toc118357457"/>
      <w:r>
        <w:rPr>
          <w:rFonts w:hint="eastAsia"/>
          <w:sz w:val="28"/>
          <w:szCs w:val="21"/>
        </w:rPr>
        <w:t xml:space="preserve">7  </w:t>
      </w:r>
      <w:r>
        <w:rPr>
          <w:rFonts w:hint="eastAsia" w:ascii="宋体" w:hAnsi="宋体"/>
          <w:b/>
          <w:bCs/>
          <w:sz w:val="28"/>
          <w:szCs w:val="21"/>
        </w:rPr>
        <w:t>设备与管线系统设计</w:t>
      </w:r>
      <w:bookmarkEnd w:id="27"/>
    </w:p>
    <w:p>
      <w:pPr>
        <w:pStyle w:val="4"/>
        <w:spacing w:before="240" w:after="240" w:line="240" w:lineRule="auto"/>
        <w:jc w:val="center"/>
        <w:rPr>
          <w:rFonts w:ascii="Times New Roman" w:hAnsi="Times New Roman"/>
          <w:sz w:val="21"/>
          <w:szCs w:val="21"/>
        </w:rPr>
      </w:pPr>
      <w:bookmarkStart w:id="28" w:name="_Toc118357458"/>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28"/>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钢结构装配式住宅建筑设备与管线系统设计应符合现行国家标准《住宅建筑规范》GB</w:t>
      </w:r>
      <w:r>
        <w:rPr>
          <w:bCs/>
          <w:szCs w:val="21"/>
        </w:rPr>
        <w:t xml:space="preserve"> </w:t>
      </w:r>
      <w:r>
        <w:rPr>
          <w:rFonts w:hint="eastAsia"/>
          <w:bCs/>
          <w:szCs w:val="21"/>
        </w:rPr>
        <w:t>50368、《住宅设计规范》GB</w:t>
      </w:r>
      <w:r>
        <w:rPr>
          <w:bCs/>
          <w:szCs w:val="21"/>
        </w:rPr>
        <w:t xml:space="preserve"> </w:t>
      </w:r>
      <w:r>
        <w:rPr>
          <w:rFonts w:hint="eastAsia"/>
          <w:bCs/>
          <w:szCs w:val="21"/>
        </w:rPr>
        <w:t>50096、《建筑节能与可再生能源利用通用规范》GB</w:t>
      </w:r>
      <w:r>
        <w:rPr>
          <w:bCs/>
          <w:szCs w:val="21"/>
        </w:rPr>
        <w:t xml:space="preserve"> </w:t>
      </w:r>
      <w:r>
        <w:rPr>
          <w:rFonts w:hint="eastAsia"/>
          <w:bCs/>
          <w:szCs w:val="21"/>
        </w:rPr>
        <w:t>55015的有关规定。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 xml:space="preserve"> 设备与管线系统应综合设计合理选型、准确定位。宜与主体结构分离，且不应影响主体结构安全。</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rFonts w:hint="eastAsia"/>
          <w:bCs/>
          <w:szCs w:val="21"/>
        </w:rPr>
        <w:t xml:space="preserve"> 设备与管线设计宜采用标准化设计，集成化技术，宜采用标准化程度高、接口通用性强、性能优良、安装高效、维护更换便捷的绿色建材和集成化部品部件。</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 xml:space="preserve"> 公共管线、阀门、检修配件、计量仪表、电表箱、公共强弱电配电箱等应设置在公共区域。用于住宅套内的设备与管线应设置在住宅套内。</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5 </w:t>
      </w:r>
      <w:r>
        <w:rPr>
          <w:rFonts w:hint="eastAsia"/>
          <w:bCs/>
          <w:szCs w:val="21"/>
        </w:rPr>
        <w:t xml:space="preserve"> 设备与管线穿墙体、楼板、屋面时，应采用防水、防火、隔声、隔热、密闭等措施。防火封堵应符合现行国家标准《建筑设计防火规范》GB</w:t>
      </w:r>
      <w:r>
        <w:rPr>
          <w:bCs/>
          <w:szCs w:val="21"/>
        </w:rPr>
        <w:t xml:space="preserve"> </w:t>
      </w:r>
      <w:r>
        <w:rPr>
          <w:rFonts w:hint="eastAsia"/>
          <w:bCs/>
          <w:szCs w:val="21"/>
        </w:rPr>
        <w:t>50016及《建筑防火封堵应用技术标准》GB/T</w:t>
      </w:r>
      <w:r>
        <w:rPr>
          <w:bCs/>
          <w:szCs w:val="21"/>
        </w:rPr>
        <w:t xml:space="preserve"> </w:t>
      </w:r>
      <w:r>
        <w:rPr>
          <w:rFonts w:hint="eastAsia"/>
          <w:bCs/>
          <w:szCs w:val="21"/>
        </w:rPr>
        <w:t>51410的有关规定。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6  </w:t>
      </w:r>
      <w:r>
        <w:rPr>
          <w:rFonts w:hint="eastAsia"/>
          <w:bCs/>
          <w:szCs w:val="21"/>
        </w:rPr>
        <w:t>设备与管线安装应满足结构设计要求，不应在预制结构构件安装后开槽、钻孔、打洞。设备与管线在结构上预留孔洞时，应满足以下要求：</w:t>
      </w:r>
    </w:p>
    <w:p>
      <w:pPr>
        <w:spacing w:line="240" w:lineRule="auto"/>
        <w:ind w:firstLine="421" w:firstLineChars="200"/>
        <w:rPr>
          <w:bCs/>
          <w:szCs w:val="21"/>
        </w:rPr>
      </w:pPr>
      <w:r>
        <w:rPr>
          <w:rFonts w:hint="eastAsia"/>
          <w:b/>
          <w:bCs/>
          <w:szCs w:val="21"/>
        </w:rPr>
        <w:t xml:space="preserve">1 </w:t>
      </w:r>
      <w:r>
        <w:rPr>
          <w:rFonts w:hint="eastAsia"/>
          <w:bCs/>
          <w:szCs w:val="21"/>
        </w:rPr>
        <w:t xml:space="preserve"> 设备与管线在结构上预留孔洞应统筹布置，合理选型、准确定位，并减少预留孔洞数量；</w:t>
      </w:r>
    </w:p>
    <w:p>
      <w:pPr>
        <w:spacing w:line="240" w:lineRule="auto"/>
        <w:ind w:firstLine="421" w:firstLineChars="200"/>
        <w:rPr>
          <w:bCs/>
          <w:szCs w:val="21"/>
        </w:rPr>
      </w:pPr>
      <w:r>
        <w:rPr>
          <w:rFonts w:hint="eastAsia"/>
          <w:b/>
          <w:bCs/>
          <w:szCs w:val="21"/>
        </w:rPr>
        <w:t xml:space="preserve">2 </w:t>
      </w:r>
      <w:r>
        <w:rPr>
          <w:rFonts w:hint="eastAsia"/>
          <w:bCs/>
          <w:szCs w:val="21"/>
        </w:rPr>
        <w:t xml:space="preserve"> 孔洞预留满足结构安全要求，并在深化设计与制造采取措施；</w:t>
      </w:r>
    </w:p>
    <w:p>
      <w:pPr>
        <w:spacing w:line="240" w:lineRule="auto"/>
        <w:ind w:firstLine="421" w:firstLineChars="200"/>
        <w:rPr>
          <w:bCs/>
          <w:szCs w:val="21"/>
        </w:rPr>
      </w:pPr>
      <w:r>
        <w:rPr>
          <w:rFonts w:hint="eastAsia"/>
          <w:b/>
          <w:bCs/>
          <w:szCs w:val="21"/>
        </w:rPr>
        <w:t xml:space="preserve">3 </w:t>
      </w:r>
      <w:r>
        <w:rPr>
          <w:rFonts w:hint="eastAsia"/>
          <w:bCs/>
          <w:szCs w:val="21"/>
        </w:rPr>
        <w:t xml:space="preserve"> 管线与预留孔洞之间应留有安装工艺空隙，在空隙处填充柔性封堵材料。</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7 </w:t>
      </w:r>
      <w:r>
        <w:rPr>
          <w:rFonts w:hint="eastAsia"/>
          <w:bCs/>
          <w:szCs w:val="21"/>
        </w:rPr>
        <w:t xml:space="preserve"> 在具有防火及防腐保护层的钢构件上安装管道及设备吊架时，不应损坏钢结构的防火及防腐性能，宜选择免焊接装配式支吊架。</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8</w:t>
      </w:r>
      <w:r>
        <w:rPr>
          <w:rFonts w:hint="eastAsia"/>
          <w:bCs/>
          <w:szCs w:val="21"/>
        </w:rPr>
        <w:t xml:space="preserve">  设备与管线的抗震设计应符合现行国家标准《建筑机电工程抗震设计规范》GB</w:t>
      </w:r>
      <w:r>
        <w:rPr>
          <w:bCs/>
          <w:szCs w:val="21"/>
        </w:rPr>
        <w:t xml:space="preserve"> </w:t>
      </w:r>
      <w:r>
        <w:rPr>
          <w:rFonts w:hint="eastAsia"/>
          <w:bCs/>
          <w:szCs w:val="21"/>
        </w:rPr>
        <w:t>50981的有关规定。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9 </w:t>
      </w:r>
      <w:r>
        <w:rPr>
          <w:rFonts w:hint="eastAsia"/>
          <w:bCs/>
          <w:szCs w:val="21"/>
        </w:rPr>
        <w:t xml:space="preserve"> 各类设备与管线宜采用建筑信息化模型技术并协同结构系统、围护系统与内装系统综合设计，减少平面交叉，合理利用空间。配合示意如图7</w:t>
      </w:r>
      <w:r>
        <w:rPr>
          <w:rFonts w:hint="eastAsia" w:ascii="宋体" w:hAnsi="宋体"/>
          <w:bCs/>
          <w:szCs w:val="21"/>
        </w:rPr>
        <w:t>.</w:t>
      </w:r>
      <w:r>
        <w:rPr>
          <w:rFonts w:hint="eastAsia"/>
          <w:bCs/>
          <w:szCs w:val="21"/>
        </w:rPr>
        <w:t>1</w:t>
      </w:r>
      <w:r>
        <w:rPr>
          <w:rFonts w:hint="eastAsia" w:ascii="宋体" w:hAnsi="宋体"/>
          <w:bCs/>
          <w:szCs w:val="21"/>
        </w:rPr>
        <w:t>.</w:t>
      </w:r>
      <w:r>
        <w:rPr>
          <w:rFonts w:hint="eastAsia"/>
          <w:bCs/>
          <w:szCs w:val="21"/>
        </w:rPr>
        <w:t>9所示。</w:t>
      </w:r>
    </w:p>
    <w:p>
      <w:pPr>
        <w:pStyle w:val="36"/>
      </w:pPr>
      <w:r>
        <w:rPr>
          <w:rFonts w:hint="eastAsia"/>
        </w:rPr>
        <w:drawing>
          <wp:inline distT="0" distB="0" distL="0" distR="0">
            <wp:extent cx="5580380" cy="3615690"/>
            <wp:effectExtent l="0" t="0" r="1270" b="3810"/>
            <wp:docPr id="13" name="图片 13" descr="05J910-2 钢结构住宅(二)+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05J910-2 钢结构住宅(二)+21"/>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l="6766" t="6394" r="5490" b="2990"/>
                    <a:stretch>
                      <a:fillRect/>
                    </a:stretch>
                  </pic:blipFill>
                  <pic:spPr>
                    <a:xfrm>
                      <a:off x="0" y="0"/>
                      <a:ext cx="5642063" cy="3655337"/>
                    </a:xfrm>
                    <a:prstGeom prst="rect">
                      <a:avLst/>
                    </a:prstGeom>
                    <a:noFill/>
                    <a:ln>
                      <a:noFill/>
                    </a:ln>
                    <a:effectLst/>
                  </pic:spPr>
                </pic:pic>
              </a:graphicData>
            </a:graphic>
          </wp:inline>
        </w:drawing>
      </w:r>
    </w:p>
    <w:p>
      <w:pPr>
        <w:spacing w:line="240" w:lineRule="auto"/>
        <w:ind w:left="-6"/>
        <w:jc w:val="center"/>
        <w:rPr>
          <w:rFonts w:eastAsia="黑体" w:cs="黑体"/>
          <w:bCs/>
          <w:sz w:val="18"/>
          <w:szCs w:val="18"/>
        </w:rPr>
      </w:pPr>
      <w:r>
        <w:rPr>
          <w:rFonts w:hint="eastAsia" w:eastAsia="黑体" w:cs="黑体"/>
          <w:bCs/>
          <w:sz w:val="18"/>
          <w:szCs w:val="18"/>
        </w:rPr>
        <w:t>图</w:t>
      </w:r>
      <w:r>
        <w:rPr>
          <w:rFonts w:eastAsia="黑体" w:cs="黑体"/>
          <w:b/>
          <w:bCs/>
          <w:sz w:val="18"/>
          <w:szCs w:val="18"/>
        </w:rPr>
        <w:t>7</w:t>
      </w:r>
      <w:r>
        <w:rPr>
          <w:rFonts w:hint="eastAsia" w:ascii="宋体" w:hAnsi="宋体" w:eastAsia="黑体" w:cs="黑体"/>
          <w:b/>
          <w:bCs/>
          <w:szCs w:val="18"/>
        </w:rPr>
        <w:t>.</w:t>
      </w:r>
      <w:r>
        <w:rPr>
          <w:rFonts w:hint="eastAsia" w:eastAsia="黑体" w:cs="黑体"/>
          <w:b/>
          <w:bCs/>
          <w:sz w:val="18"/>
          <w:szCs w:val="18"/>
        </w:rPr>
        <w:t>1</w:t>
      </w:r>
      <w:r>
        <w:rPr>
          <w:rFonts w:hint="eastAsia" w:ascii="宋体" w:hAnsi="宋体" w:eastAsia="黑体" w:cs="黑体"/>
          <w:b/>
          <w:bCs/>
          <w:szCs w:val="18"/>
        </w:rPr>
        <w:t>.</w:t>
      </w:r>
      <w:r>
        <w:rPr>
          <w:rFonts w:eastAsia="黑体" w:cs="黑体"/>
          <w:b/>
          <w:bCs/>
          <w:sz w:val="18"/>
          <w:szCs w:val="18"/>
        </w:rPr>
        <w:t>9</w:t>
      </w:r>
      <w:r>
        <w:rPr>
          <w:rFonts w:eastAsia="黑体" w:cs="黑体"/>
          <w:bCs/>
          <w:sz w:val="18"/>
          <w:szCs w:val="18"/>
        </w:rPr>
        <w:t xml:space="preserve"> </w:t>
      </w:r>
      <w:r>
        <w:rPr>
          <w:rFonts w:hint="eastAsia" w:eastAsia="黑体" w:cs="黑体"/>
          <w:bCs/>
          <w:sz w:val="18"/>
          <w:szCs w:val="18"/>
        </w:rPr>
        <w:t xml:space="preserve"> 钢结构住宅建筑管线布置示意图</w:t>
      </w:r>
    </w:p>
    <w:p>
      <w:pPr>
        <w:pStyle w:val="4"/>
        <w:spacing w:before="240" w:after="240" w:line="240" w:lineRule="auto"/>
        <w:jc w:val="center"/>
        <w:rPr>
          <w:rFonts w:ascii="Times New Roman" w:hAnsi="Times New Roman"/>
          <w:sz w:val="21"/>
          <w:szCs w:val="21"/>
        </w:rPr>
      </w:pPr>
      <w:bookmarkStart w:id="29" w:name="_Toc118357459"/>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给 水 排 水</w:t>
      </w:r>
      <w:bookmarkEnd w:id="29"/>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w:t>
      </w:r>
      <w:r>
        <w:rPr>
          <w:rFonts w:hint="eastAsia"/>
          <w:bCs/>
          <w:szCs w:val="21"/>
        </w:rPr>
        <w:t xml:space="preserve">  钢结构装配式住宅建筑给水排水与节水设计应符合现行国家标准的有关规定。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卫生间宜采用同层排水方式。当同层排水管道为降板敷设时，降板范围应采取防水及积水排除措施。</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当采用集成式或整体厨房、卫浴时，应预留给水、热水、排水管道接口，管道接口形式和位置应便于检修。</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rFonts w:hint="eastAsia"/>
          <w:bCs/>
          <w:szCs w:val="21"/>
        </w:rPr>
        <w:t xml:space="preserve"> 当设置太阳能热水系统时，集热器、储水罐等应与主体结构、外围护系统、内装系统一体化设计。</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5 </w:t>
      </w:r>
      <w:r>
        <w:rPr>
          <w:rFonts w:hint="eastAsia"/>
          <w:bCs/>
          <w:szCs w:val="21"/>
        </w:rPr>
        <w:t xml:space="preserve"> 管材、管件及阀门设备应选用耐腐蚀、寿命长、降噪性能优良、便于安装及更换、链接可靠、密封性能优异的部件。</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6 </w:t>
      </w:r>
      <w:r>
        <w:rPr>
          <w:rFonts w:hint="eastAsia"/>
          <w:bCs/>
          <w:szCs w:val="21"/>
        </w:rPr>
        <w:t xml:space="preserve"> 给排水消防管线宜在架空层或吊顶内敷设，同时应采取防腐蚀、隔声减噪和防结露等措施。吊顶安排的管线与消防喷淋头应与内装系统一体化设计，设备管线的安装敷设应与室内空间设计相协调。</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7 </w:t>
      </w:r>
      <w:r>
        <w:rPr>
          <w:rFonts w:hint="eastAsia"/>
          <w:bCs/>
          <w:szCs w:val="21"/>
        </w:rPr>
        <w:t xml:space="preserve"> 冷热水管道固定于梁柱等钢构件上时，应采用绝热支架。 </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8</w:t>
      </w:r>
      <w:r>
        <w:rPr>
          <w:rFonts w:hint="eastAsia"/>
          <w:bCs/>
          <w:szCs w:val="21"/>
        </w:rPr>
        <w:t xml:space="preserve">  避难层和屋顶设备房应做好隔声减振措施。</w:t>
      </w:r>
    </w:p>
    <w:p>
      <w:pPr>
        <w:pStyle w:val="4"/>
        <w:spacing w:before="240" w:after="240" w:line="240" w:lineRule="auto"/>
        <w:jc w:val="center"/>
        <w:rPr>
          <w:rFonts w:ascii="Times New Roman" w:hAnsi="Times New Roman"/>
          <w:sz w:val="21"/>
          <w:szCs w:val="21"/>
        </w:rPr>
      </w:pPr>
      <w:bookmarkStart w:id="30" w:name="_Toc118357460"/>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供暖、通风、空调及燃气</w:t>
      </w:r>
      <w:bookmarkEnd w:id="30"/>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rFonts w:hint="eastAsia"/>
          <w:bCs/>
          <w:szCs w:val="21"/>
        </w:rPr>
        <w:t xml:space="preserve"> 钢结构装配式住宅的通风、空调、防排烟、燃气系统设计应符合现行国家标准的相关规定。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 xml:space="preserve"> 建筑供暖通风、空调方式及冷热源的选择应根据深圳当地气候、能源及技术经济与政策要求等因素综合确定。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rFonts w:hint="eastAsia"/>
          <w:bCs/>
          <w:szCs w:val="21"/>
        </w:rPr>
        <w:t xml:space="preserve"> 住宅的新风量应能满足室内卫生要求，并应充分利用自然通风。无外窗的卫生间应设置防止倒流的机械排风系统。</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4 </w:t>
      </w:r>
      <w:r>
        <w:rPr>
          <w:rFonts w:hint="eastAsia"/>
          <w:bCs/>
          <w:szCs w:val="21"/>
        </w:rPr>
        <w:t xml:space="preserve"> 卫生间和厨房应采用带有防火止回阀的成品烟道，或卫生间可采用同层排放，其室外排气口应采取避风、防雨、防止污染墙面等措施。</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5  </w:t>
      </w:r>
      <w:r>
        <w:rPr>
          <w:rFonts w:hint="eastAsia"/>
          <w:bCs/>
          <w:szCs w:val="21"/>
        </w:rPr>
        <w:t>供暖、通风及空调系统冷热输送管道布置应采取防结露和绝热措施。冷热水管道固定于梁柱等钢构件上时，应采用绝热支架。</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6 </w:t>
      </w:r>
      <w:r>
        <w:rPr>
          <w:rFonts w:hint="eastAsia"/>
          <w:bCs/>
          <w:szCs w:val="21"/>
        </w:rPr>
        <w:t xml:space="preserve"> 通风及空调系统的设备及管道应对机房安装、检修、运输路线进行规划，并预留接口位置。</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7 </w:t>
      </w:r>
      <w:r>
        <w:rPr>
          <w:rFonts w:hint="eastAsia"/>
          <w:bCs/>
          <w:szCs w:val="21"/>
        </w:rPr>
        <w:t xml:space="preserve"> 通风与空调工程空调水管宜选用易于安装、连接且满足承压要求的复合型管材，风管支吊架宜选用成品支吊架，并应有防颤措施。</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8 </w:t>
      </w:r>
      <w:r>
        <w:rPr>
          <w:rFonts w:hint="eastAsia"/>
          <w:bCs/>
          <w:szCs w:val="21"/>
        </w:rPr>
        <w:t xml:space="preserve"> 设备基础和部（构）件应与主体结构连接牢固，并应按设备技术要求预留孔洞及采取减振措施。空调室外机组直接或间接地固定于钢结构上时，应考虑管道热膨胀推力对钢结构的影响。室外机组设置示意如图7</w:t>
      </w:r>
      <w:r>
        <w:rPr>
          <w:rFonts w:hint="eastAsia" w:ascii="宋体" w:hAnsi="宋体"/>
          <w:bCs/>
          <w:szCs w:val="21"/>
        </w:rPr>
        <w:t>.</w:t>
      </w:r>
      <w:r>
        <w:rPr>
          <w:rFonts w:hint="eastAsia"/>
          <w:bCs/>
          <w:szCs w:val="21"/>
        </w:rPr>
        <w:t>3</w:t>
      </w:r>
      <w:r>
        <w:rPr>
          <w:rFonts w:hint="eastAsia" w:ascii="宋体" w:hAnsi="宋体"/>
          <w:bCs/>
          <w:szCs w:val="21"/>
        </w:rPr>
        <w:t>.</w:t>
      </w:r>
      <w:r>
        <w:rPr>
          <w:rFonts w:hint="eastAsia"/>
          <w:bCs/>
          <w:szCs w:val="21"/>
        </w:rPr>
        <w:t>8所示。</w:t>
      </w:r>
    </w:p>
    <w:p>
      <w:pPr>
        <w:spacing w:line="240" w:lineRule="auto"/>
        <w:ind w:left="-6"/>
        <w:jc w:val="center"/>
        <w:rPr>
          <w:rFonts w:eastAsia="黑体" w:cs="黑体"/>
          <w:bCs/>
          <w:sz w:val="18"/>
          <w:szCs w:val="18"/>
        </w:rPr>
      </w:pPr>
      <w:r>
        <w:rPr>
          <w:rFonts w:hint="eastAsia" w:eastAsia="黑体" w:cs="黑体"/>
          <w:bCs/>
          <w:sz w:val="18"/>
          <w:szCs w:val="18"/>
        </w:rPr>
        <w:drawing>
          <wp:inline distT="0" distB="0" distL="0" distR="0">
            <wp:extent cx="5892800" cy="3368675"/>
            <wp:effectExtent l="0" t="0" r="0" b="3175"/>
            <wp:docPr id="14" name="图片 14" descr="05J910-2 钢结构住宅(二)+4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05J910-2 钢结构住宅(二)+47"/>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l="4384" t="12469" r="3047" b="12610"/>
                    <a:stretch>
                      <a:fillRect/>
                    </a:stretch>
                  </pic:blipFill>
                  <pic:spPr>
                    <a:xfrm>
                      <a:off x="0" y="0"/>
                      <a:ext cx="5918789" cy="3383998"/>
                    </a:xfrm>
                    <a:prstGeom prst="rect">
                      <a:avLst/>
                    </a:prstGeom>
                    <a:noFill/>
                    <a:ln>
                      <a:noFill/>
                    </a:ln>
                    <a:effectLst/>
                  </pic:spPr>
                </pic:pic>
              </a:graphicData>
            </a:graphic>
          </wp:inline>
        </w:drawing>
      </w:r>
    </w:p>
    <w:p>
      <w:pPr>
        <w:spacing w:line="240" w:lineRule="auto"/>
        <w:ind w:left="-6"/>
        <w:jc w:val="center"/>
        <w:rPr>
          <w:rFonts w:eastAsia="黑体" w:cs="黑体"/>
          <w:bCs/>
          <w:sz w:val="18"/>
          <w:szCs w:val="18"/>
        </w:rPr>
      </w:pPr>
      <w:r>
        <w:rPr>
          <w:rFonts w:hint="eastAsia" w:eastAsia="黑体" w:cs="黑体"/>
          <w:bCs/>
          <w:sz w:val="18"/>
          <w:szCs w:val="18"/>
        </w:rPr>
        <w:t>图</w:t>
      </w:r>
      <w:r>
        <w:rPr>
          <w:rFonts w:eastAsia="黑体" w:cs="黑体"/>
          <w:b/>
          <w:bCs/>
          <w:sz w:val="18"/>
          <w:szCs w:val="18"/>
        </w:rPr>
        <w:t>7</w:t>
      </w:r>
      <w:r>
        <w:rPr>
          <w:rFonts w:hint="eastAsia" w:ascii="宋体" w:hAnsi="宋体" w:eastAsia="黑体" w:cs="黑体"/>
          <w:b/>
          <w:bCs/>
          <w:szCs w:val="18"/>
        </w:rPr>
        <w:t>.</w:t>
      </w:r>
      <w:r>
        <w:rPr>
          <w:rFonts w:hint="eastAsia" w:eastAsia="黑体" w:cs="黑体"/>
          <w:b/>
          <w:bCs/>
          <w:sz w:val="18"/>
          <w:szCs w:val="18"/>
        </w:rPr>
        <w:t>3</w:t>
      </w:r>
      <w:r>
        <w:rPr>
          <w:rFonts w:hint="eastAsia" w:ascii="宋体" w:hAnsi="宋体" w:eastAsia="黑体" w:cs="黑体"/>
          <w:b/>
          <w:bCs/>
          <w:szCs w:val="18"/>
        </w:rPr>
        <w:t>.</w:t>
      </w:r>
      <w:r>
        <w:rPr>
          <w:rFonts w:eastAsia="黑体" w:cs="黑体"/>
          <w:b/>
          <w:bCs/>
          <w:sz w:val="18"/>
          <w:szCs w:val="18"/>
        </w:rPr>
        <w:t>8</w:t>
      </w:r>
      <w:r>
        <w:rPr>
          <w:rFonts w:hint="eastAsia" w:eastAsia="黑体" w:cs="黑体"/>
          <w:bCs/>
          <w:sz w:val="18"/>
          <w:szCs w:val="18"/>
        </w:rPr>
        <w:t xml:space="preserve"> </w:t>
      </w:r>
      <w:r>
        <w:rPr>
          <w:rFonts w:eastAsia="黑体" w:cs="黑体"/>
          <w:bCs/>
          <w:sz w:val="18"/>
          <w:szCs w:val="18"/>
        </w:rPr>
        <w:t xml:space="preserve"> </w:t>
      </w:r>
      <w:r>
        <w:rPr>
          <w:rFonts w:hint="eastAsia" w:eastAsia="黑体" w:cs="黑体"/>
          <w:bCs/>
          <w:sz w:val="18"/>
          <w:szCs w:val="18"/>
        </w:rPr>
        <w:t>空调室外机组设置示意图</w:t>
      </w:r>
    </w:p>
    <w:p>
      <w:pPr>
        <w:pStyle w:val="4"/>
        <w:spacing w:before="240" w:after="240" w:line="240" w:lineRule="auto"/>
        <w:jc w:val="center"/>
        <w:rPr>
          <w:rFonts w:ascii="Times New Roman" w:hAnsi="Times New Roman"/>
          <w:sz w:val="21"/>
          <w:szCs w:val="21"/>
        </w:rPr>
      </w:pPr>
      <w:bookmarkStart w:id="31" w:name="_Toc118357461"/>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电气和智能化</w:t>
      </w:r>
      <w:bookmarkEnd w:id="31"/>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钢结构装配式住宅建筑电气和智能化系统设计应符合现行国家与行业在住宅类及专业类相关标准规定。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2 </w:t>
      </w:r>
      <w:r>
        <w:rPr>
          <w:rFonts w:hint="eastAsia"/>
          <w:bCs/>
          <w:szCs w:val="21"/>
        </w:rPr>
        <w:t xml:space="preserve"> 电气和智能化系统设计应符合下列规定：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电气和智能化设备与管线不宜在主体结构内安装敷设；</w:t>
      </w:r>
    </w:p>
    <w:p>
      <w:pPr>
        <w:spacing w:line="240" w:lineRule="auto"/>
        <w:ind w:firstLine="421" w:firstLineChars="200"/>
        <w:rPr>
          <w:bCs/>
          <w:szCs w:val="21"/>
        </w:rPr>
      </w:pPr>
      <w:r>
        <w:rPr>
          <w:rFonts w:hint="eastAsia"/>
          <w:b/>
          <w:bCs/>
          <w:szCs w:val="21"/>
        </w:rPr>
        <w:t xml:space="preserve">2 </w:t>
      </w:r>
      <w:r>
        <w:rPr>
          <w:rFonts w:hint="eastAsia"/>
          <w:bCs/>
          <w:szCs w:val="21"/>
        </w:rPr>
        <w:t xml:space="preserve"> 套外的电气和智能化系统的主干线及主要设备应在公共区域设置；</w:t>
      </w:r>
    </w:p>
    <w:p>
      <w:pPr>
        <w:spacing w:line="240" w:lineRule="auto"/>
        <w:ind w:firstLine="421" w:firstLineChars="200"/>
        <w:rPr>
          <w:bCs/>
          <w:szCs w:val="21"/>
        </w:rPr>
      </w:pPr>
      <w:r>
        <w:rPr>
          <w:rFonts w:hint="eastAsia"/>
          <w:b/>
          <w:bCs/>
          <w:szCs w:val="21"/>
        </w:rPr>
        <w:t xml:space="preserve">3 </w:t>
      </w:r>
      <w:r>
        <w:rPr>
          <w:rFonts w:hint="eastAsia"/>
          <w:bCs/>
          <w:szCs w:val="21"/>
        </w:rPr>
        <w:t xml:space="preserve"> 套内应设置家居配电箱和智能化家居配线箱，控制开关或面板、插座安装在装配式隔墙上时，应协同围护系统与内装系统做好定位留洞处理；</w:t>
      </w:r>
    </w:p>
    <w:p>
      <w:pPr>
        <w:spacing w:line="240" w:lineRule="auto"/>
        <w:ind w:firstLine="421" w:firstLineChars="200"/>
        <w:rPr>
          <w:bCs/>
          <w:szCs w:val="21"/>
        </w:rPr>
      </w:pPr>
      <w:r>
        <w:rPr>
          <w:rFonts w:hint="eastAsia"/>
          <w:b/>
          <w:bCs/>
          <w:szCs w:val="21"/>
        </w:rPr>
        <w:t xml:space="preserve">4  </w:t>
      </w:r>
      <w:r>
        <w:rPr>
          <w:rFonts w:hint="eastAsia"/>
          <w:bCs/>
          <w:szCs w:val="21"/>
        </w:rPr>
        <w:t>电气和智能化管线不应采用现场开槽敷设在已经安装完毕的装配式隔墙方式；</w:t>
      </w:r>
    </w:p>
    <w:p>
      <w:pPr>
        <w:spacing w:line="240" w:lineRule="auto"/>
        <w:ind w:firstLine="421" w:firstLineChars="200"/>
        <w:rPr>
          <w:bCs/>
          <w:szCs w:val="21"/>
        </w:rPr>
      </w:pPr>
      <w:r>
        <w:rPr>
          <w:rFonts w:hint="eastAsia"/>
          <w:b/>
          <w:bCs/>
          <w:szCs w:val="21"/>
        </w:rPr>
        <w:t xml:space="preserve">5  </w:t>
      </w:r>
      <w:r>
        <w:rPr>
          <w:rFonts w:hint="eastAsia"/>
          <w:bCs/>
          <w:szCs w:val="21"/>
        </w:rPr>
        <w:t>套内的隔墙两侧、隔墙与楼板内的电气和智能化保护管不应直接连通设置，管线连接处宜采用可弯曲的电气导管或连接底盒，各类设备底盒应采用标准化设计，预置时应有明显的标识；</w:t>
      </w:r>
    </w:p>
    <w:p>
      <w:pPr>
        <w:spacing w:line="240" w:lineRule="auto"/>
        <w:ind w:firstLine="421" w:firstLineChars="200"/>
        <w:rPr>
          <w:bCs/>
          <w:szCs w:val="21"/>
        </w:rPr>
      </w:pPr>
      <w:r>
        <w:rPr>
          <w:rFonts w:hint="eastAsia"/>
          <w:b/>
          <w:bCs/>
          <w:szCs w:val="21"/>
        </w:rPr>
        <w:t xml:space="preserve">6  </w:t>
      </w:r>
      <w:r>
        <w:rPr>
          <w:rFonts w:hint="eastAsia"/>
          <w:bCs/>
          <w:szCs w:val="21"/>
        </w:rPr>
        <w:t>楼梯间、走道等公共部位应设置公区照明，并应采用高效节能的照明装置和节能控制措施；</w:t>
      </w:r>
    </w:p>
    <w:p>
      <w:pPr>
        <w:spacing w:line="240" w:lineRule="auto"/>
        <w:ind w:firstLine="421" w:firstLineChars="200"/>
        <w:rPr>
          <w:bCs/>
          <w:szCs w:val="21"/>
        </w:rPr>
      </w:pPr>
      <w:r>
        <w:rPr>
          <w:rFonts w:hint="eastAsia"/>
          <w:b/>
          <w:bCs/>
          <w:szCs w:val="21"/>
        </w:rPr>
        <w:t xml:space="preserve">7  </w:t>
      </w:r>
      <w:r>
        <w:rPr>
          <w:rFonts w:hint="eastAsia"/>
          <w:bCs/>
          <w:szCs w:val="21"/>
        </w:rPr>
        <w:t>电度表箱宜设置在公共区域，公用设施用电应设置分项独立计量装置。</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rFonts w:hint="eastAsia"/>
          <w:bCs/>
          <w:szCs w:val="21"/>
        </w:rPr>
        <w:t>钢结构装配式住宅防雷及接地设计应符合下列规定：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防雷分类应符合现行国家标准《建筑物防雷设计规范》GB</w:t>
      </w:r>
      <w:r>
        <w:rPr>
          <w:bCs/>
          <w:szCs w:val="21"/>
        </w:rPr>
        <w:t xml:space="preserve"> </w:t>
      </w:r>
      <w:r>
        <w:rPr>
          <w:rFonts w:hint="eastAsia"/>
          <w:bCs/>
          <w:szCs w:val="21"/>
        </w:rPr>
        <w:t>50057 的有关规定，并应按防雷分类设置防雷设施。电子信息系统应符合现行国家标准《建筑物电子信息系统防雷技术规范》GB</w:t>
      </w:r>
      <w:r>
        <w:rPr>
          <w:bCs/>
          <w:szCs w:val="21"/>
        </w:rPr>
        <w:t xml:space="preserve"> </w:t>
      </w:r>
      <w:r>
        <w:rPr>
          <w:rFonts w:hint="eastAsia"/>
          <w:bCs/>
          <w:szCs w:val="21"/>
        </w:rPr>
        <w:t>50343 的有关规定；</w:t>
      </w:r>
    </w:p>
    <w:p>
      <w:pPr>
        <w:spacing w:line="240" w:lineRule="auto"/>
        <w:ind w:firstLine="421" w:firstLineChars="200"/>
        <w:rPr>
          <w:bCs/>
          <w:szCs w:val="21"/>
        </w:rPr>
      </w:pPr>
      <w:r>
        <w:rPr>
          <w:rFonts w:hint="eastAsia"/>
          <w:b/>
          <w:bCs/>
          <w:szCs w:val="21"/>
        </w:rPr>
        <w:t xml:space="preserve">2  </w:t>
      </w:r>
      <w:r>
        <w:rPr>
          <w:rFonts w:hint="eastAsia"/>
          <w:bCs/>
          <w:szCs w:val="21"/>
        </w:rPr>
        <w:t>防雷引下线和共用接地装置应利用建筑主体结构内的钢筋及钢结构自身作为防雷接地装置。部（构）件连接部位应有永久性明显标记，预留防雷装置的端头应可靠连接；</w:t>
      </w:r>
    </w:p>
    <w:p>
      <w:pPr>
        <w:spacing w:line="240" w:lineRule="auto"/>
        <w:ind w:firstLine="421" w:firstLineChars="200"/>
        <w:rPr>
          <w:bCs/>
          <w:szCs w:val="21"/>
        </w:rPr>
      </w:pPr>
      <w:r>
        <w:rPr>
          <w:rFonts w:hint="eastAsia"/>
          <w:b/>
          <w:bCs/>
          <w:szCs w:val="21"/>
        </w:rPr>
        <w:t xml:space="preserve">3  </w:t>
      </w:r>
      <w:r>
        <w:rPr>
          <w:rFonts w:hint="eastAsia"/>
          <w:bCs/>
          <w:szCs w:val="21"/>
        </w:rPr>
        <w:t>外围护系统的金属围护部（构）件、金属遮阳部（构）件、金属门窗等应有防雷措施；</w:t>
      </w:r>
    </w:p>
    <w:p>
      <w:pPr>
        <w:spacing w:line="240" w:lineRule="auto"/>
        <w:ind w:firstLine="421" w:firstLineChars="200"/>
        <w:rPr>
          <w:bCs/>
          <w:szCs w:val="21"/>
        </w:rPr>
      </w:pPr>
      <w:r>
        <w:rPr>
          <w:rFonts w:hint="eastAsia"/>
          <w:b/>
          <w:bCs/>
          <w:szCs w:val="21"/>
        </w:rPr>
        <w:t xml:space="preserve">4 </w:t>
      </w:r>
      <w:r>
        <w:rPr>
          <w:rFonts w:hint="eastAsia"/>
          <w:bCs/>
          <w:szCs w:val="21"/>
        </w:rPr>
        <w:t xml:space="preserve"> 配电间、弱电间、监控室、各设备机房、竖井等应设局部等电位联结，带有洗浴设施的卫生间应设辅助等电位联结，接地端子应与建筑物主体结构的钢结构金属物连接。</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4  </w:t>
      </w:r>
      <w:r>
        <w:rPr>
          <w:rFonts w:hint="eastAsia"/>
          <w:bCs/>
          <w:szCs w:val="21"/>
        </w:rPr>
        <w:t>钢结构装配式住宅防雷及接地当利用钢柱作为引下线，钢柱柱角应与基础主筋连系焊接或通过地脚螺栓将钢柱与基础主筋形成可靠电气通路，示意如图7</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4所示。</w:t>
      </w:r>
    </w:p>
    <w:p>
      <w:pPr>
        <w:spacing w:line="240" w:lineRule="auto"/>
        <w:ind w:left="-6"/>
        <w:jc w:val="center"/>
        <w:rPr>
          <w:rFonts w:eastAsia="黑体" w:cs="黑体"/>
          <w:bCs/>
          <w:sz w:val="18"/>
          <w:szCs w:val="18"/>
        </w:rPr>
      </w:pPr>
      <w:r>
        <w:rPr>
          <w:rFonts w:hint="eastAsia" w:eastAsia="黑体" w:cs="黑体"/>
          <w:bCs/>
          <w:sz w:val="18"/>
          <w:szCs w:val="18"/>
        </w:rPr>
        <w:drawing>
          <wp:inline distT="0" distB="0" distL="0" distR="0">
            <wp:extent cx="4486275" cy="2428875"/>
            <wp:effectExtent l="0" t="0" r="9525" b="9525"/>
            <wp:docPr id="15" name="图片 15" descr="电气2副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电气2副本"/>
                    <pic:cNvPicPr>
                      <a:picLocks noChangeAspect="true" noChangeArrowheads="true"/>
                    </pic:cNvPicPr>
                  </pic:nvPicPr>
                  <pic:blipFill>
                    <a:blip r:embed="rId12">
                      <a:extLst>
                        <a:ext uri="{28A0092B-C50C-407E-A947-70E740481C1C}">
                          <a14:useLocalDpi xmlns:a14="http://schemas.microsoft.com/office/drawing/2010/main" val="false"/>
                        </a:ext>
                      </a:extLst>
                    </a:blip>
                    <a:srcRect l="4265" t="15573" r="10686" b="19289"/>
                    <a:stretch>
                      <a:fillRect/>
                    </a:stretch>
                  </pic:blipFill>
                  <pic:spPr>
                    <a:xfrm>
                      <a:off x="0" y="0"/>
                      <a:ext cx="4486275" cy="2428875"/>
                    </a:xfrm>
                    <a:prstGeom prst="rect">
                      <a:avLst/>
                    </a:prstGeom>
                    <a:noFill/>
                    <a:ln>
                      <a:noFill/>
                    </a:ln>
                  </pic:spPr>
                </pic:pic>
              </a:graphicData>
            </a:graphic>
          </wp:inline>
        </w:drawing>
      </w:r>
    </w:p>
    <w:p>
      <w:pPr>
        <w:spacing w:line="240" w:lineRule="auto"/>
        <w:ind w:left="-6"/>
        <w:jc w:val="center"/>
        <w:rPr>
          <w:rFonts w:eastAsia="黑体" w:cs="黑体"/>
          <w:bCs/>
          <w:sz w:val="18"/>
          <w:szCs w:val="18"/>
        </w:rPr>
      </w:pPr>
      <w:r>
        <w:rPr>
          <w:rFonts w:hint="eastAsia" w:eastAsia="黑体" w:cs="黑体"/>
          <w:bCs/>
          <w:sz w:val="18"/>
          <w:szCs w:val="18"/>
        </w:rPr>
        <w:t>图</w:t>
      </w:r>
      <w:r>
        <w:rPr>
          <w:rFonts w:eastAsia="黑体" w:cs="黑体"/>
          <w:b/>
          <w:bCs/>
          <w:sz w:val="18"/>
          <w:szCs w:val="18"/>
        </w:rPr>
        <w:t>7</w:t>
      </w:r>
      <w:r>
        <w:rPr>
          <w:rFonts w:hint="eastAsia" w:ascii="宋体" w:hAnsi="宋体" w:eastAsia="黑体" w:cs="黑体"/>
          <w:b/>
          <w:bCs/>
          <w:szCs w:val="18"/>
        </w:rPr>
        <w:t>.</w:t>
      </w:r>
      <w:r>
        <w:rPr>
          <w:rFonts w:eastAsia="黑体" w:cs="黑体"/>
          <w:b/>
          <w:bCs/>
          <w:sz w:val="18"/>
          <w:szCs w:val="18"/>
        </w:rPr>
        <w:t>4</w:t>
      </w:r>
      <w:r>
        <w:rPr>
          <w:rFonts w:hint="eastAsia" w:ascii="宋体" w:hAnsi="宋体" w:eastAsia="黑体" w:cs="黑体"/>
          <w:b/>
          <w:bCs/>
          <w:szCs w:val="18"/>
        </w:rPr>
        <w:t>.</w:t>
      </w:r>
      <w:r>
        <w:rPr>
          <w:rFonts w:eastAsia="黑体" w:cs="黑体"/>
          <w:b/>
          <w:bCs/>
          <w:sz w:val="18"/>
          <w:szCs w:val="18"/>
        </w:rPr>
        <w:t>4</w:t>
      </w:r>
      <w:r>
        <w:rPr>
          <w:rFonts w:hint="eastAsia" w:eastAsia="黑体" w:cs="黑体"/>
          <w:b/>
          <w:bCs/>
          <w:sz w:val="18"/>
          <w:szCs w:val="18"/>
        </w:rPr>
        <w:t xml:space="preserve"> </w:t>
      </w:r>
      <w:r>
        <w:rPr>
          <w:rFonts w:eastAsia="黑体" w:cs="黑体"/>
          <w:bCs/>
          <w:sz w:val="18"/>
          <w:szCs w:val="18"/>
        </w:rPr>
        <w:t xml:space="preserve"> </w:t>
      </w:r>
      <w:r>
        <w:rPr>
          <w:rFonts w:hint="eastAsia" w:eastAsia="黑体" w:cs="黑体"/>
          <w:bCs/>
          <w:sz w:val="18"/>
          <w:szCs w:val="18"/>
        </w:rPr>
        <w:t>钢结构住宅防雷接地示意图</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32" w:name="_Toc118357462"/>
      <w:r>
        <w:rPr>
          <w:rFonts w:hint="eastAsia"/>
          <w:sz w:val="28"/>
          <w:szCs w:val="21"/>
        </w:rPr>
        <w:t xml:space="preserve">8  </w:t>
      </w:r>
      <w:r>
        <w:rPr>
          <w:rFonts w:hint="eastAsia" w:ascii="宋体" w:hAnsi="宋体"/>
          <w:b/>
          <w:bCs/>
          <w:sz w:val="28"/>
          <w:szCs w:val="21"/>
        </w:rPr>
        <w:t>内装系统设计</w:t>
      </w:r>
      <w:bookmarkEnd w:id="32"/>
    </w:p>
    <w:p>
      <w:pPr>
        <w:pStyle w:val="4"/>
        <w:spacing w:before="240" w:after="240" w:line="240" w:lineRule="auto"/>
        <w:jc w:val="center"/>
        <w:rPr>
          <w:rFonts w:ascii="Times New Roman" w:hAnsi="Times New Roman"/>
          <w:sz w:val="21"/>
          <w:szCs w:val="21"/>
        </w:rPr>
      </w:pPr>
      <w:bookmarkStart w:id="33" w:name="_Toc118357463"/>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33"/>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钢结构装配式住宅建筑宜采用工业化生产的集成化、模块化的内装部品进行装配式装修设计，应符合现行国家与行业标准《建筑内部装修设计防火规范》GB</w:t>
      </w:r>
      <w:r>
        <w:rPr>
          <w:bCs/>
          <w:szCs w:val="21"/>
        </w:rPr>
        <w:t xml:space="preserve"> </w:t>
      </w:r>
      <w:r>
        <w:rPr>
          <w:rFonts w:hint="eastAsia"/>
          <w:bCs/>
          <w:szCs w:val="21"/>
        </w:rPr>
        <w:t>50222、《民用建筑隔声设计规范》GB</w:t>
      </w:r>
      <w:r>
        <w:rPr>
          <w:bCs/>
          <w:szCs w:val="21"/>
        </w:rPr>
        <w:t xml:space="preserve"> </w:t>
      </w:r>
      <w:r>
        <w:rPr>
          <w:rFonts w:hint="eastAsia"/>
          <w:bCs/>
          <w:szCs w:val="21"/>
        </w:rPr>
        <w:t>50118、《住宅室内装饰装修设计规程》JGJ</w:t>
      </w:r>
      <w:r>
        <w:rPr>
          <w:bCs/>
          <w:szCs w:val="21"/>
        </w:rPr>
        <w:t xml:space="preserve"> </w:t>
      </w:r>
      <w:r>
        <w:rPr>
          <w:rFonts w:hint="eastAsia"/>
          <w:bCs/>
          <w:szCs w:val="21"/>
        </w:rPr>
        <w:t>367的有关规定</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 xml:space="preserve"> 装配式装修应与结构系统、外围护系统、设备与管线系统进行一体化设计，并应在建筑设计阶段进行装配式装修技术策划及部品部件选型。</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rFonts w:hint="eastAsia"/>
          <w:bCs/>
          <w:szCs w:val="21"/>
        </w:rPr>
        <w:t>装配式装修设计应考虑满足多种场景下的使用需求，实现建筑全生命期内使用功能的可变性。</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 xml:space="preserve"> 装配式装修设计应遵循管线与结构分离原则及可逆安装技术，满足管线设备维护、检修、部品部件维护、更换的要求的需求。</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5  </w:t>
      </w:r>
      <w:r>
        <w:rPr>
          <w:rFonts w:hint="eastAsia"/>
          <w:bCs/>
          <w:szCs w:val="21"/>
        </w:rPr>
        <w:t>装配式装修应遵循标准化设计和模数化协调原则，并应符合下列规定：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装配式装修部品部件设计选型应与建筑设计模数相协调；</w:t>
      </w:r>
    </w:p>
    <w:p>
      <w:pPr>
        <w:spacing w:line="240" w:lineRule="auto"/>
        <w:ind w:firstLine="421" w:firstLineChars="200"/>
        <w:rPr>
          <w:bCs/>
          <w:szCs w:val="21"/>
        </w:rPr>
      </w:pPr>
      <w:r>
        <w:rPr>
          <w:rFonts w:hint="eastAsia"/>
          <w:b/>
          <w:bCs/>
          <w:szCs w:val="21"/>
        </w:rPr>
        <w:t xml:space="preserve">2 </w:t>
      </w:r>
      <w:r>
        <w:rPr>
          <w:rFonts w:hint="eastAsia"/>
          <w:bCs/>
          <w:szCs w:val="21"/>
        </w:rPr>
        <w:t xml:space="preserve"> 装配式装修部品部件尺寸设计应与原材料规格尺寸协调，在满足使用功能和效果的前提下，提高材料利用率；</w:t>
      </w:r>
    </w:p>
    <w:p>
      <w:pPr>
        <w:spacing w:line="240" w:lineRule="auto"/>
        <w:ind w:firstLine="421" w:firstLineChars="200"/>
        <w:rPr>
          <w:bCs/>
          <w:szCs w:val="21"/>
        </w:rPr>
      </w:pPr>
      <w:r>
        <w:rPr>
          <w:rFonts w:hint="eastAsia"/>
          <w:b/>
          <w:bCs/>
          <w:szCs w:val="21"/>
        </w:rPr>
        <w:t xml:space="preserve">3 </w:t>
      </w:r>
      <w:r>
        <w:rPr>
          <w:rFonts w:hint="eastAsia"/>
          <w:bCs/>
          <w:szCs w:val="21"/>
        </w:rPr>
        <w:t xml:space="preserve"> 装配式装修设计应采用通用型的构造节点进行部品部件连接；</w:t>
      </w:r>
    </w:p>
    <w:p>
      <w:pPr>
        <w:spacing w:line="240" w:lineRule="auto"/>
        <w:ind w:firstLine="421" w:firstLineChars="200"/>
        <w:rPr>
          <w:bCs/>
          <w:szCs w:val="21"/>
        </w:rPr>
      </w:pPr>
      <w:r>
        <w:rPr>
          <w:rFonts w:hint="eastAsia"/>
          <w:b/>
          <w:bCs/>
          <w:szCs w:val="21"/>
        </w:rPr>
        <w:t xml:space="preserve">4 </w:t>
      </w:r>
      <w:r>
        <w:rPr>
          <w:rFonts w:hint="eastAsia"/>
          <w:bCs/>
          <w:szCs w:val="21"/>
        </w:rPr>
        <w:t xml:space="preserve"> 装配式装修设计应符合国家现行标准《建筑模数协调标准》GB/T</w:t>
      </w:r>
      <w:r>
        <w:rPr>
          <w:bCs/>
          <w:szCs w:val="21"/>
        </w:rPr>
        <w:t xml:space="preserve"> </w:t>
      </w:r>
      <w:r>
        <w:rPr>
          <w:rFonts w:hint="eastAsia"/>
          <w:bCs/>
          <w:szCs w:val="21"/>
        </w:rPr>
        <w:t>50002、《工业化住宅尺寸协调标准》JGJ/T</w:t>
      </w:r>
      <w:r>
        <w:rPr>
          <w:bCs/>
          <w:szCs w:val="21"/>
        </w:rPr>
        <w:t xml:space="preserve"> </w:t>
      </w:r>
      <w:r>
        <w:rPr>
          <w:rFonts w:hint="eastAsia"/>
          <w:bCs/>
          <w:szCs w:val="21"/>
        </w:rPr>
        <w:t>445的有关规定。</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6 </w:t>
      </w:r>
      <w:r>
        <w:rPr>
          <w:rFonts w:hint="eastAsia"/>
          <w:bCs/>
          <w:szCs w:val="21"/>
        </w:rPr>
        <w:t xml:space="preserve"> 装配式装修部品部件选型应符合抗震、防火、防水、防潮与隔声的有关规定，充分考虑深圳市地域特点和气候条件，宜选择标准化程度高、接口通用性强、性能优良、安装高效、维护更换便捷的绿色建材和部品部件，且满足生产、运输和安装等要求。</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7 </w:t>
      </w:r>
      <w:r>
        <w:rPr>
          <w:rFonts w:hint="eastAsia"/>
          <w:bCs/>
          <w:szCs w:val="21"/>
        </w:rPr>
        <w:t xml:space="preserve"> 装修设计应针对可能引起传声的钢构件、设备管道等采取包覆装饰等减振和隔声系统性措施。</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8 </w:t>
      </w:r>
      <w:r>
        <w:rPr>
          <w:rFonts w:hint="eastAsia"/>
          <w:bCs/>
          <w:szCs w:val="21"/>
        </w:rPr>
        <w:t xml:space="preserve"> 装配式装修设计应合理设计并采取有效构造措施解决钢结构建筑层间变形偏大等引起的装修效果与质量问题，可在天花、墙面、地面接口处设工艺缝或适应变形的其他构造措施。</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9 </w:t>
      </w:r>
      <w:r>
        <w:rPr>
          <w:rFonts w:hint="eastAsia"/>
          <w:bCs/>
          <w:szCs w:val="21"/>
        </w:rPr>
        <w:t xml:space="preserve"> 装配式装修设计应进行污染物预评价，污染物浓度应符合现行国家标准《民用建筑工程室内环境污染控制规范》GB</w:t>
      </w:r>
      <w:r>
        <w:rPr>
          <w:bCs/>
          <w:szCs w:val="21"/>
        </w:rPr>
        <w:t xml:space="preserve"> </w:t>
      </w:r>
      <w:r>
        <w:rPr>
          <w:rFonts w:hint="eastAsia"/>
          <w:bCs/>
          <w:szCs w:val="21"/>
        </w:rPr>
        <w:t>50325的有关规定。</w:t>
      </w:r>
    </w:p>
    <w:p>
      <w:pPr>
        <w:pStyle w:val="4"/>
        <w:spacing w:before="240" w:after="240" w:line="240" w:lineRule="auto"/>
        <w:jc w:val="center"/>
        <w:rPr>
          <w:rFonts w:ascii="Times New Roman" w:hAnsi="Times New Roman"/>
          <w:sz w:val="21"/>
          <w:szCs w:val="21"/>
        </w:rPr>
      </w:pPr>
      <w:bookmarkStart w:id="34" w:name="_Toc118357464"/>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隔墙与墙面</w:t>
      </w:r>
      <w:bookmarkEnd w:id="34"/>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rFonts w:hint="eastAsia"/>
          <w:bCs/>
          <w:szCs w:val="21"/>
        </w:rPr>
        <w:t>钢结构装配式住宅隔墙应选用非砌筑免抹灰墙体，可选用骨架隔墙、条板隔墙、饰面一体化隔墙等装配式隔墙。</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装配式隔墙与钢结构主体结构的连接应满足强度与隔声性能指标要求，并应采取与建筑主体变形相协调技术措施。</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装配式隔墙设计需考虑吊挂设备及重物，应采用可以吊挂设备及重物的产品，或在吊挂位置采取可靠的加固措施满足相应要求。</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rFonts w:hint="eastAsia"/>
          <w:bCs/>
          <w:szCs w:val="21"/>
        </w:rPr>
        <w:t xml:space="preserve"> 骨架隔墙设计应符合下列规定：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骨架隔墙的设计构造组成和厚度应满足防火、隔声及设备管线安装的尺寸需求；</w:t>
      </w:r>
    </w:p>
    <w:p>
      <w:pPr>
        <w:spacing w:line="240" w:lineRule="auto"/>
        <w:ind w:firstLine="421" w:firstLineChars="200"/>
        <w:rPr>
          <w:bCs/>
          <w:szCs w:val="21"/>
        </w:rPr>
      </w:pPr>
      <w:r>
        <w:rPr>
          <w:rFonts w:hint="eastAsia"/>
          <w:b/>
          <w:bCs/>
          <w:szCs w:val="21"/>
        </w:rPr>
        <w:t xml:space="preserve">2 </w:t>
      </w:r>
      <w:r>
        <w:rPr>
          <w:rFonts w:hint="eastAsia"/>
          <w:bCs/>
          <w:szCs w:val="21"/>
        </w:rPr>
        <w:t xml:space="preserve"> 骨架隔墙内填充材料可选用岩棉、玻璃棉等隔声、防火材料，龙骨宜选用金属龙骨；</w:t>
      </w:r>
    </w:p>
    <w:p>
      <w:pPr>
        <w:spacing w:line="240" w:lineRule="auto"/>
        <w:ind w:firstLine="421" w:firstLineChars="200"/>
        <w:rPr>
          <w:bCs/>
          <w:szCs w:val="21"/>
        </w:rPr>
      </w:pPr>
      <w:r>
        <w:rPr>
          <w:rFonts w:hint="eastAsia"/>
          <w:b/>
          <w:bCs/>
          <w:szCs w:val="21"/>
        </w:rPr>
        <w:t xml:space="preserve">3 </w:t>
      </w:r>
      <w:r>
        <w:rPr>
          <w:rFonts w:hint="eastAsia"/>
          <w:bCs/>
          <w:szCs w:val="21"/>
        </w:rPr>
        <w:t xml:space="preserve"> 有防水、防潮要求的房间隔墙应采取有效的防水、防潮措施，可采用隔墙底部现浇强度不低于C20的混凝土反坎，顶部高出建筑完成面150mm以上。</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5 </w:t>
      </w:r>
      <w:r>
        <w:rPr>
          <w:rFonts w:hint="eastAsia"/>
          <w:bCs/>
          <w:szCs w:val="21"/>
        </w:rPr>
        <w:t xml:space="preserve"> 条板隔墙设计应符合下列规定：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条板隔墙设计应根据使用功能和使用部位的需求，选择单层条板隔墙或双层条板隔墙。单层隔墙条板厚度不得少于60mm；</w:t>
      </w:r>
    </w:p>
    <w:p>
      <w:pPr>
        <w:spacing w:line="240" w:lineRule="auto"/>
        <w:ind w:firstLine="421" w:firstLineChars="200"/>
        <w:rPr>
          <w:bCs/>
          <w:szCs w:val="21"/>
        </w:rPr>
      </w:pPr>
      <w:r>
        <w:rPr>
          <w:rFonts w:hint="eastAsia"/>
          <w:b/>
          <w:bCs/>
          <w:szCs w:val="21"/>
        </w:rPr>
        <w:t xml:space="preserve">2  </w:t>
      </w:r>
      <w:r>
        <w:rPr>
          <w:rFonts w:hint="eastAsia"/>
          <w:bCs/>
          <w:szCs w:val="21"/>
        </w:rPr>
        <w:t>单层条板隔墙用作分户墙时，其厚度不应小于120mm，用作户内分室隔墙时，其厚度不应小于90mm；</w:t>
      </w:r>
    </w:p>
    <w:p>
      <w:pPr>
        <w:spacing w:line="240" w:lineRule="auto"/>
        <w:ind w:firstLine="421" w:firstLineChars="200"/>
        <w:rPr>
          <w:bCs/>
          <w:szCs w:val="21"/>
        </w:rPr>
      </w:pPr>
      <w:r>
        <w:rPr>
          <w:rFonts w:hint="eastAsia"/>
          <w:b/>
          <w:bCs/>
          <w:szCs w:val="21"/>
        </w:rPr>
        <w:t xml:space="preserve">3 </w:t>
      </w:r>
      <w:r>
        <w:rPr>
          <w:rFonts w:hint="eastAsia"/>
          <w:bCs/>
          <w:szCs w:val="21"/>
        </w:rPr>
        <w:t xml:space="preserve"> 双层条板隔墙每个单层厚度不宜小于60mm，双层条板隔墙竖向接缝应错开布置，竖向缝错开间距不应小于200mm，且墙板间应采取连接及加强固定措施；</w:t>
      </w:r>
    </w:p>
    <w:p>
      <w:pPr>
        <w:spacing w:line="240" w:lineRule="auto"/>
        <w:ind w:firstLine="421" w:firstLineChars="200"/>
        <w:rPr>
          <w:bCs/>
          <w:szCs w:val="21"/>
        </w:rPr>
      </w:pPr>
      <w:r>
        <w:rPr>
          <w:rFonts w:hint="eastAsia"/>
          <w:b/>
          <w:bCs/>
          <w:szCs w:val="21"/>
        </w:rPr>
        <w:t xml:space="preserve">4  </w:t>
      </w:r>
      <w:r>
        <w:rPr>
          <w:rFonts w:hint="eastAsia"/>
          <w:bCs/>
          <w:szCs w:val="21"/>
        </w:rPr>
        <w:t>隔墙条板之间应采取隔声和防开裂措施，宜采用与隔墙材料性能相近的增强材料或产品厂家专用配套材料。</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6 </w:t>
      </w:r>
      <w:r>
        <w:rPr>
          <w:rFonts w:hint="eastAsia"/>
          <w:bCs/>
          <w:szCs w:val="21"/>
        </w:rPr>
        <w:t xml:space="preserve"> 饰面一体化隔墙与机电管线等应进行一体化隔墙集成设计和工厂化加工，并考虑使用期间功能改变的适用性。</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7 </w:t>
      </w:r>
      <w:r>
        <w:rPr>
          <w:rFonts w:hint="eastAsia"/>
          <w:bCs/>
          <w:szCs w:val="21"/>
        </w:rPr>
        <w:t xml:space="preserve"> 墙面设计应符合下列规定：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墙面应与吊顶、地面进行协同设计，有对缝要求的空间应协调统一；</w:t>
      </w:r>
    </w:p>
    <w:p>
      <w:pPr>
        <w:spacing w:line="240" w:lineRule="auto"/>
        <w:ind w:firstLine="421" w:firstLineChars="200"/>
        <w:rPr>
          <w:bCs/>
          <w:szCs w:val="21"/>
        </w:rPr>
      </w:pPr>
      <w:r>
        <w:rPr>
          <w:rFonts w:hint="eastAsia"/>
          <w:b/>
          <w:bCs/>
          <w:szCs w:val="21"/>
        </w:rPr>
        <w:t xml:space="preserve">2  </w:t>
      </w:r>
      <w:r>
        <w:rPr>
          <w:rFonts w:hint="eastAsia"/>
          <w:bCs/>
          <w:szCs w:val="21"/>
        </w:rPr>
        <w:t>装配式墙面宜采用成品的集成化产品，并应选用耐撞击、易清洁、易恢复的部品部件；</w:t>
      </w:r>
    </w:p>
    <w:p>
      <w:pPr>
        <w:spacing w:line="240" w:lineRule="auto"/>
        <w:ind w:firstLine="421" w:firstLineChars="200"/>
        <w:rPr>
          <w:bCs/>
          <w:szCs w:val="21"/>
        </w:rPr>
      </w:pPr>
      <w:r>
        <w:rPr>
          <w:rFonts w:hint="eastAsia"/>
          <w:b/>
          <w:bCs/>
          <w:szCs w:val="21"/>
        </w:rPr>
        <w:t xml:space="preserve">3  </w:t>
      </w:r>
      <w:r>
        <w:rPr>
          <w:rFonts w:hint="eastAsia"/>
          <w:bCs/>
          <w:szCs w:val="21"/>
        </w:rPr>
        <w:t>装配式墙面应采用干式连接方式，并应选用通用型的连接部件。</w:t>
      </w:r>
    </w:p>
    <w:p>
      <w:pPr>
        <w:pStyle w:val="4"/>
        <w:spacing w:before="240" w:after="240" w:line="240" w:lineRule="auto"/>
        <w:jc w:val="center"/>
        <w:rPr>
          <w:rFonts w:ascii="Times New Roman" w:hAnsi="Times New Roman"/>
          <w:sz w:val="21"/>
          <w:szCs w:val="21"/>
        </w:rPr>
      </w:pPr>
      <w:bookmarkStart w:id="35" w:name="_Toc118357465"/>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 xml:space="preserve">吊 </w:t>
      </w:r>
      <w:r>
        <w:rPr>
          <w:rFonts w:ascii="黑体" w:hAnsi="黑体" w:eastAsia="黑体"/>
          <w:b w:val="0"/>
          <w:sz w:val="21"/>
          <w:szCs w:val="21"/>
        </w:rPr>
        <w:t xml:space="preserve">   </w:t>
      </w:r>
      <w:r>
        <w:rPr>
          <w:rFonts w:hint="eastAsia" w:ascii="黑体" w:hAnsi="黑体" w:eastAsia="黑体"/>
          <w:b w:val="0"/>
          <w:sz w:val="21"/>
          <w:szCs w:val="21"/>
        </w:rPr>
        <w:t>顶</w:t>
      </w:r>
      <w:bookmarkEnd w:id="35"/>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rFonts w:hint="eastAsia"/>
          <w:bCs/>
          <w:szCs w:val="21"/>
        </w:rPr>
        <w:t>钢结构装配式住宅吊顶设计宜选用集成化产品，并应采取装配式干式工法施工方式，不应采用粘结的方式。其性能应符合现行行业标准《建筑用集成吊顶》JG/T</w:t>
      </w:r>
      <w:r>
        <w:rPr>
          <w:bCs/>
          <w:szCs w:val="21"/>
        </w:rPr>
        <w:t xml:space="preserve"> </w:t>
      </w:r>
      <w:r>
        <w:rPr>
          <w:rFonts w:hint="eastAsia"/>
          <w:bCs/>
          <w:szCs w:val="21"/>
        </w:rPr>
        <w:t>413的有关规定。</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 xml:space="preserve"> 吊顶应与设备、管线进行协同设计，吊顶内预留空间需满足敷设管线的要求，应在管线密集和接口集中处设置检修口。</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3</w:t>
      </w:r>
      <w:r>
        <w:rPr>
          <w:rFonts w:hint="eastAsia"/>
          <w:bCs/>
          <w:szCs w:val="21"/>
        </w:rPr>
        <w:t xml:space="preserve">  装配式吊顶宜与风口、灯具、喷淋、烟感等末端设备进行集成设计，需预先开孔的吊顶材料宜在工厂内完成。</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4 </w:t>
      </w:r>
      <w:r>
        <w:rPr>
          <w:rFonts w:hint="eastAsia"/>
          <w:bCs/>
          <w:szCs w:val="21"/>
        </w:rPr>
        <w:t xml:space="preserve"> 用于厨房、卫生间区域的吊顶应选用防水、防潮、易清洁材料。</w:t>
      </w:r>
    </w:p>
    <w:p>
      <w:pPr>
        <w:pStyle w:val="4"/>
        <w:spacing w:before="240" w:after="240" w:line="240" w:lineRule="auto"/>
        <w:jc w:val="center"/>
        <w:rPr>
          <w:rFonts w:ascii="Times New Roman" w:hAnsi="Times New Roman"/>
          <w:sz w:val="21"/>
          <w:szCs w:val="21"/>
        </w:rPr>
      </w:pPr>
      <w:bookmarkStart w:id="36" w:name="_Toc118357466"/>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4  楼地面</w:t>
      </w:r>
      <w:bookmarkEnd w:id="36"/>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 </w:t>
      </w:r>
      <w:r>
        <w:rPr>
          <w:rFonts w:hint="eastAsia"/>
          <w:bCs/>
          <w:szCs w:val="21"/>
        </w:rPr>
        <w:t xml:space="preserve"> 钢结构装配式住宅楼地面设计宜采用架空、干铺、薄贴或其他干式工法施工的楼地面。</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2</w:t>
      </w:r>
      <w:r>
        <w:rPr>
          <w:rFonts w:hint="eastAsia"/>
          <w:bCs/>
          <w:szCs w:val="21"/>
        </w:rPr>
        <w:t xml:space="preserve">  钢构件在套型间和户内空间易形成声桥的部位，应采用隔声材料或轻质混凝土材料填充、包覆。</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rFonts w:hint="eastAsia"/>
          <w:bCs/>
          <w:szCs w:val="21"/>
        </w:rPr>
        <w:t xml:space="preserve"> 由调平支座系统、承重板和饰面系统组成的装配式楼地面，采用架空设计时应符合下列规定：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架空地面高度应满足设备管线的安装要求，应与设备与管线一体化设计；</w:t>
      </w:r>
    </w:p>
    <w:p>
      <w:pPr>
        <w:spacing w:line="240" w:lineRule="auto"/>
        <w:ind w:firstLine="421" w:firstLineChars="200"/>
        <w:rPr>
          <w:bCs/>
          <w:szCs w:val="21"/>
        </w:rPr>
      </w:pPr>
      <w:r>
        <w:rPr>
          <w:rFonts w:hint="eastAsia"/>
          <w:b/>
          <w:bCs/>
          <w:szCs w:val="21"/>
        </w:rPr>
        <w:t xml:space="preserve">2 </w:t>
      </w:r>
      <w:r>
        <w:rPr>
          <w:rFonts w:hint="eastAsia"/>
          <w:bCs/>
          <w:szCs w:val="21"/>
        </w:rPr>
        <w:t xml:space="preserve"> 管线密集及接口集中处应设置可拆装的构造方式或检修口。</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4 </w:t>
      </w:r>
      <w:r>
        <w:rPr>
          <w:rFonts w:hint="eastAsia"/>
          <w:bCs/>
          <w:szCs w:val="21"/>
        </w:rPr>
        <w:t xml:space="preserve"> 装配式楼地面采用干铺设计时，应采用便于安装、拆卸连接方式的集成化部品。</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rFonts w:hint="eastAsia"/>
          <w:bCs/>
          <w:szCs w:val="21"/>
        </w:rPr>
        <w:t xml:space="preserve"> 装配式楼地面采用薄贴设计时，其粘结层厚度不应超过8mm。</w:t>
      </w:r>
    </w:p>
    <w:p>
      <w:pPr>
        <w:pStyle w:val="4"/>
        <w:spacing w:before="240" w:after="240" w:line="240" w:lineRule="auto"/>
        <w:jc w:val="center"/>
        <w:rPr>
          <w:rFonts w:ascii="Times New Roman" w:hAnsi="Times New Roman"/>
          <w:sz w:val="21"/>
          <w:szCs w:val="21"/>
        </w:rPr>
      </w:pPr>
      <w:bookmarkStart w:id="37" w:name="_Toc118357467"/>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5  </w:t>
      </w:r>
      <w:r>
        <w:rPr>
          <w:rFonts w:hint="eastAsia" w:ascii="黑体" w:hAnsi="黑体" w:eastAsia="黑体"/>
          <w:b w:val="0"/>
          <w:sz w:val="21"/>
          <w:szCs w:val="21"/>
        </w:rPr>
        <w:t>集成厨房与卫生间</w:t>
      </w:r>
      <w:bookmarkEnd w:id="37"/>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1 </w:t>
      </w:r>
      <w:r>
        <w:rPr>
          <w:rFonts w:hint="eastAsia"/>
          <w:bCs/>
          <w:szCs w:val="21"/>
        </w:rPr>
        <w:t xml:space="preserve"> 钢结构装配式住宅厨房设计应根据人体工程学原理，协调建筑、结构、内装、设备、燃气、通风、排烟等专业与使用功能需求进行合理布局。宜采用集成厨房，具备条件时可采用整体厨房。</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2  </w:t>
      </w:r>
      <w:r>
        <w:rPr>
          <w:rFonts w:hint="eastAsia"/>
          <w:bCs/>
          <w:szCs w:val="21"/>
        </w:rPr>
        <w:t>集成厨房或整体厨房部品宜选用成品的模块化产品并应符合下列规定：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厨房部品宜模数化、标准化、系列化，并应满足相关性能规定要求；</w:t>
      </w:r>
    </w:p>
    <w:p>
      <w:pPr>
        <w:spacing w:line="240" w:lineRule="auto"/>
        <w:ind w:firstLine="421" w:firstLineChars="200"/>
        <w:rPr>
          <w:bCs/>
          <w:szCs w:val="21"/>
        </w:rPr>
      </w:pPr>
      <w:r>
        <w:rPr>
          <w:rFonts w:hint="eastAsia"/>
          <w:b/>
          <w:bCs/>
          <w:szCs w:val="21"/>
        </w:rPr>
        <w:t xml:space="preserve">2 </w:t>
      </w:r>
      <w:r>
        <w:rPr>
          <w:rFonts w:hint="eastAsia"/>
          <w:bCs/>
          <w:szCs w:val="21"/>
        </w:rPr>
        <w:t xml:space="preserve"> 部品应预留厨房电器设施设备的位置和接口；</w:t>
      </w:r>
    </w:p>
    <w:p>
      <w:pPr>
        <w:spacing w:line="240" w:lineRule="auto"/>
        <w:ind w:firstLine="421" w:firstLineChars="200"/>
        <w:rPr>
          <w:bCs/>
          <w:szCs w:val="21"/>
        </w:rPr>
      </w:pPr>
      <w:r>
        <w:rPr>
          <w:rFonts w:hint="eastAsia"/>
          <w:b/>
          <w:bCs/>
          <w:szCs w:val="21"/>
        </w:rPr>
        <w:t xml:space="preserve">3 </w:t>
      </w:r>
      <w:r>
        <w:rPr>
          <w:rFonts w:hint="eastAsia"/>
          <w:bCs/>
          <w:szCs w:val="21"/>
        </w:rPr>
        <w:t xml:space="preserve"> 给水排水、燃气管线等应集中设置、合理定位，并应设置检修口；</w:t>
      </w:r>
    </w:p>
    <w:p>
      <w:pPr>
        <w:spacing w:line="240" w:lineRule="auto"/>
        <w:ind w:firstLine="421" w:firstLineChars="200"/>
        <w:rPr>
          <w:bCs/>
          <w:szCs w:val="21"/>
        </w:rPr>
      </w:pPr>
      <w:r>
        <w:rPr>
          <w:rFonts w:hint="eastAsia"/>
          <w:b/>
          <w:bCs/>
          <w:szCs w:val="21"/>
        </w:rPr>
        <w:t xml:space="preserve">4 </w:t>
      </w:r>
      <w:r>
        <w:rPr>
          <w:rFonts w:hint="eastAsia"/>
          <w:bCs/>
          <w:szCs w:val="21"/>
        </w:rPr>
        <w:t xml:space="preserve"> 应设置热水器的安装位置及预留孔，燃气热水器应预留排烟口。</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3 </w:t>
      </w:r>
      <w:r>
        <w:rPr>
          <w:rFonts w:hint="eastAsia"/>
          <w:bCs/>
          <w:szCs w:val="21"/>
        </w:rPr>
        <w:t xml:space="preserve"> 钢结构装配式住宅卫生间设计应与建筑、结构、给排水、机电等专业进行协同设计，结合结构形式、建筑尺寸、排水方式等因素确定卫生间部品尺寸和装配式技术方案。宜采用集成式卫生间，具备条件时可采用整体卫生间。</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4 </w:t>
      </w:r>
      <w:r>
        <w:rPr>
          <w:rFonts w:hint="eastAsia"/>
          <w:bCs/>
          <w:szCs w:val="21"/>
        </w:rPr>
        <w:t xml:space="preserve"> 装配式卫生间宜采用同层排水方式，当考虑结构局部降板方式实现同层排水时，应结合排水防水、管道敷设方案等因素确定降板区域，并应根据防水底盘的厚度、洁具布置方案和管道尺寸、敷设方式等因素确定结构降板高度。</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5</w:t>
      </w:r>
      <w:r>
        <w:rPr>
          <w:rFonts w:hint="eastAsia"/>
          <w:bCs/>
          <w:szCs w:val="21"/>
        </w:rPr>
        <w:t xml:space="preserve">  装配式卫生间地面采用防水底盘时，应采取降噪措施，避免踩踏空鼓响声。</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6</w:t>
      </w:r>
      <w:r>
        <w:rPr>
          <w:rFonts w:hint="eastAsia"/>
          <w:bCs/>
          <w:szCs w:val="21"/>
        </w:rPr>
        <w:t xml:space="preserve">  集成卫生间设计应符合下列规定：</w:t>
      </w:r>
    </w:p>
    <w:p>
      <w:pPr>
        <w:spacing w:line="240" w:lineRule="auto"/>
        <w:ind w:firstLine="421" w:firstLineChars="200"/>
        <w:rPr>
          <w:bCs/>
          <w:szCs w:val="21"/>
        </w:rPr>
      </w:pPr>
      <w:r>
        <w:rPr>
          <w:rFonts w:hint="eastAsia"/>
          <w:b/>
          <w:bCs/>
          <w:szCs w:val="21"/>
        </w:rPr>
        <w:t xml:space="preserve">1  </w:t>
      </w:r>
      <w:r>
        <w:rPr>
          <w:rFonts w:hint="eastAsia"/>
          <w:bCs/>
          <w:szCs w:val="21"/>
        </w:rPr>
        <w:t>集成卫生间可采用干湿分离的布局方式，卫浴部品宜选用模数化、标准化、系列化部品，干式干法施工工艺；</w:t>
      </w:r>
    </w:p>
    <w:p>
      <w:pPr>
        <w:spacing w:line="240" w:lineRule="auto"/>
        <w:ind w:firstLine="421" w:firstLineChars="200"/>
        <w:rPr>
          <w:bCs/>
          <w:szCs w:val="21"/>
        </w:rPr>
      </w:pPr>
      <w:r>
        <w:rPr>
          <w:rFonts w:hint="eastAsia"/>
          <w:b/>
          <w:bCs/>
          <w:szCs w:val="21"/>
        </w:rPr>
        <w:t xml:space="preserve">2 </w:t>
      </w:r>
      <w:r>
        <w:rPr>
          <w:rFonts w:hint="eastAsia"/>
          <w:bCs/>
          <w:szCs w:val="21"/>
        </w:rPr>
        <w:t xml:space="preserve"> 应统筹考虑设置洗衣机、排气扇（管）、暖风机等使用功能需求和布置，给水排水、通风和电气等管道、管线应在其预留空间内安装完成，预留的管线接口处应设置检修口；</w:t>
      </w:r>
    </w:p>
    <w:p>
      <w:pPr>
        <w:spacing w:line="240" w:lineRule="auto"/>
        <w:ind w:firstLine="421" w:firstLineChars="200"/>
        <w:rPr>
          <w:bCs/>
          <w:szCs w:val="21"/>
        </w:rPr>
      </w:pPr>
      <w:r>
        <w:rPr>
          <w:rFonts w:hint="eastAsia"/>
          <w:b/>
          <w:bCs/>
          <w:szCs w:val="21"/>
        </w:rPr>
        <w:t xml:space="preserve">3 </w:t>
      </w:r>
      <w:r>
        <w:rPr>
          <w:rFonts w:hint="eastAsia"/>
          <w:bCs/>
          <w:szCs w:val="21"/>
        </w:rPr>
        <w:t xml:space="preserve"> 应设等电位联结，接地端子应与建筑物本身的钢结构连接；</w:t>
      </w:r>
    </w:p>
    <w:p>
      <w:pPr>
        <w:spacing w:line="240" w:lineRule="auto"/>
        <w:ind w:firstLine="421" w:firstLineChars="200"/>
        <w:rPr>
          <w:bCs/>
          <w:szCs w:val="21"/>
        </w:rPr>
      </w:pPr>
      <w:r>
        <w:rPr>
          <w:rFonts w:hint="eastAsia"/>
          <w:b/>
          <w:bCs/>
          <w:szCs w:val="21"/>
        </w:rPr>
        <w:t xml:space="preserve">4 </w:t>
      </w:r>
      <w:r>
        <w:rPr>
          <w:rFonts w:hint="eastAsia"/>
          <w:bCs/>
          <w:szCs w:val="21"/>
        </w:rPr>
        <w:t xml:space="preserve"> 当集成卫生间地面局部选用防水底盘时，防水底盘应选用防水、防滑、耐腐蚀、易清洁材料。防水底盘的固定安装不应破坏结构防水层。</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7 </w:t>
      </w:r>
      <w:r>
        <w:rPr>
          <w:rFonts w:hint="eastAsia"/>
          <w:bCs/>
          <w:szCs w:val="21"/>
        </w:rPr>
        <w:t xml:space="preserve"> 整体卫生间设计应符合下列规定：</w:t>
      </w:r>
    </w:p>
    <w:p>
      <w:pPr>
        <w:spacing w:line="240" w:lineRule="auto"/>
        <w:ind w:firstLine="421" w:firstLineChars="200"/>
        <w:rPr>
          <w:bCs/>
          <w:szCs w:val="21"/>
        </w:rPr>
      </w:pPr>
      <w:r>
        <w:rPr>
          <w:rFonts w:hint="eastAsia"/>
          <w:b/>
          <w:bCs/>
          <w:szCs w:val="21"/>
        </w:rPr>
        <w:t>1</w:t>
      </w:r>
      <w:r>
        <w:rPr>
          <w:rFonts w:hint="eastAsia"/>
          <w:bCs/>
          <w:szCs w:val="21"/>
        </w:rPr>
        <w:t xml:space="preserve">  整体卫生间的设计与选型应在建筑方案设计阶段进行，根据建筑结构尺寸及产品厂家成品规格选择，并应符合现行行业标准《装配式整体卫生间应用技术标准》JGJ/T</w:t>
      </w:r>
      <w:r>
        <w:rPr>
          <w:bCs/>
          <w:szCs w:val="21"/>
        </w:rPr>
        <w:t xml:space="preserve"> </w:t>
      </w:r>
      <w:r>
        <w:rPr>
          <w:rFonts w:hint="eastAsia"/>
          <w:bCs/>
          <w:szCs w:val="21"/>
        </w:rPr>
        <w:t>467的有关规定；</w:t>
      </w:r>
    </w:p>
    <w:p>
      <w:pPr>
        <w:spacing w:line="240" w:lineRule="auto"/>
        <w:ind w:firstLine="421" w:firstLineChars="200"/>
        <w:rPr>
          <w:bCs/>
          <w:szCs w:val="21"/>
        </w:rPr>
      </w:pPr>
      <w:r>
        <w:rPr>
          <w:rFonts w:hint="eastAsia"/>
          <w:b/>
          <w:bCs/>
          <w:szCs w:val="21"/>
        </w:rPr>
        <w:t xml:space="preserve">2 </w:t>
      </w:r>
      <w:r>
        <w:rPr>
          <w:rFonts w:hint="eastAsia"/>
          <w:bCs/>
          <w:szCs w:val="21"/>
        </w:rPr>
        <w:t xml:space="preserve"> 整体卫生间壁板与周边墙体之间无管线时，可预留不大于50mm的安装空间，当存在管线敷设时，可预留不大于80mm的安装空间；</w:t>
      </w:r>
    </w:p>
    <w:p>
      <w:pPr>
        <w:spacing w:line="240" w:lineRule="auto"/>
        <w:ind w:firstLine="421" w:firstLineChars="200"/>
        <w:rPr>
          <w:bCs/>
          <w:szCs w:val="21"/>
        </w:rPr>
      </w:pPr>
      <w:r>
        <w:rPr>
          <w:rFonts w:hint="eastAsia"/>
          <w:b/>
          <w:bCs/>
          <w:szCs w:val="21"/>
        </w:rPr>
        <w:t xml:space="preserve">3 </w:t>
      </w:r>
      <w:r>
        <w:rPr>
          <w:rFonts w:hint="eastAsia"/>
          <w:bCs/>
          <w:szCs w:val="21"/>
        </w:rPr>
        <w:t xml:space="preserve"> 整体卫生间底盘四周挡水立边最低高度应满足蓄水试验高度要求，门槛石与防水底盘的收口构造应保证水密性；</w:t>
      </w:r>
    </w:p>
    <w:p>
      <w:pPr>
        <w:spacing w:line="240" w:lineRule="auto"/>
        <w:ind w:firstLine="421" w:firstLineChars="200"/>
        <w:rPr>
          <w:bCs/>
          <w:szCs w:val="21"/>
        </w:rPr>
      </w:pPr>
      <w:r>
        <w:rPr>
          <w:rFonts w:hint="eastAsia"/>
          <w:b/>
          <w:bCs/>
          <w:szCs w:val="21"/>
        </w:rPr>
        <w:t xml:space="preserve">4 </w:t>
      </w:r>
      <w:r>
        <w:rPr>
          <w:rFonts w:hint="eastAsia"/>
          <w:bCs/>
          <w:szCs w:val="21"/>
        </w:rPr>
        <w:t xml:space="preserve"> 整体卫生间应在设备管线密集及接口集中处设置检修口。</w:t>
      </w:r>
    </w:p>
    <w:p>
      <w:pPr>
        <w:pStyle w:val="4"/>
        <w:spacing w:before="240" w:after="240" w:line="240" w:lineRule="auto"/>
        <w:jc w:val="center"/>
        <w:rPr>
          <w:rFonts w:ascii="Times New Roman" w:hAnsi="Times New Roman"/>
          <w:sz w:val="21"/>
          <w:szCs w:val="21"/>
        </w:rPr>
      </w:pPr>
      <w:bookmarkStart w:id="38" w:name="_Toc118357468"/>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6  </w:t>
      </w:r>
      <w:r>
        <w:rPr>
          <w:rFonts w:hint="eastAsia" w:ascii="黑体" w:hAnsi="黑体" w:eastAsia="黑体"/>
          <w:b w:val="0"/>
          <w:sz w:val="21"/>
          <w:szCs w:val="21"/>
        </w:rPr>
        <w:t>内门窗与收纳系统</w:t>
      </w:r>
      <w:bookmarkEnd w:id="38"/>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1  </w:t>
      </w:r>
      <w:r>
        <w:rPr>
          <w:rFonts w:hint="eastAsia"/>
          <w:bCs/>
          <w:szCs w:val="21"/>
        </w:rPr>
        <w:t>钢结构装配式住宅内门窗应与隔墙、墙面、吊顶进行协同设计，内门窗宜选用成套供应的标准化程度高、健康环保的部品。</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2 </w:t>
      </w:r>
      <w:r>
        <w:rPr>
          <w:rFonts w:hint="eastAsia"/>
          <w:bCs/>
          <w:szCs w:val="21"/>
        </w:rPr>
        <w:t xml:space="preserve"> 有隔音、防火等性能要求的内门窗及有消防安全防护内窗要求应设置安全防护栏杆装置，应符合现行国家标准的有关规定。</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3 </w:t>
      </w:r>
      <w:r>
        <w:rPr>
          <w:rFonts w:hint="eastAsia"/>
          <w:bCs/>
          <w:szCs w:val="21"/>
        </w:rPr>
        <w:t xml:space="preserve"> 收纳系统应在建筑方案设计阶段根据户型设计进行部品选型，并应根据收纳物品的种类、数量进行协同设计。</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4  </w:t>
      </w:r>
      <w:r>
        <w:rPr>
          <w:rFonts w:hint="eastAsia"/>
          <w:bCs/>
          <w:szCs w:val="21"/>
        </w:rPr>
        <w:t>收纳系统应进行合理储物空间的规划，结合使用功能与用户使用习惯进行空间布置，并应对收纳物品的荷载量进行计算，在设计文件中标明承载限定值。</w:t>
      </w:r>
    </w:p>
    <w:p>
      <w:pPr>
        <w:spacing w:line="240" w:lineRule="auto"/>
        <w:rPr>
          <w:rFonts w:ascii="宋体" w:hAnsi="宋体"/>
          <w:szCs w:val="21"/>
        </w:rPr>
      </w:pPr>
      <w:r>
        <w:rPr>
          <w:rFonts w:hint="eastAsia"/>
          <w:b/>
          <w:bCs/>
          <w:szCs w:val="21"/>
        </w:rPr>
        <w:t>8</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5  </w:t>
      </w:r>
      <w:r>
        <w:rPr>
          <w:rFonts w:hint="eastAsia"/>
          <w:bCs/>
          <w:szCs w:val="21"/>
        </w:rPr>
        <w:t>收纳部品的位置设置与尺寸选型应和被收纳物品的尺寸、内装总体风格设计定位结合确定。</w:t>
      </w:r>
      <w:r>
        <w:rPr>
          <w:rFonts w:ascii="宋体" w:hAnsi="宋体"/>
          <w:szCs w:val="21"/>
        </w:rPr>
        <w:t> </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39" w:name="_Toc118357469"/>
      <w:r>
        <w:rPr>
          <w:rFonts w:hint="eastAsia"/>
          <w:sz w:val="28"/>
          <w:szCs w:val="21"/>
        </w:rPr>
        <w:t xml:space="preserve">9  </w:t>
      </w:r>
      <w:r>
        <w:rPr>
          <w:rFonts w:hint="eastAsia" w:ascii="宋体" w:hAnsi="宋体"/>
          <w:b/>
          <w:bCs/>
          <w:sz w:val="28"/>
          <w:szCs w:val="21"/>
        </w:rPr>
        <w:t>部品部（构）件生产、施工安装与质量验收</w:t>
      </w:r>
      <w:bookmarkEnd w:id="39"/>
    </w:p>
    <w:p>
      <w:pPr>
        <w:pStyle w:val="4"/>
        <w:spacing w:before="240" w:after="240" w:line="240" w:lineRule="auto"/>
        <w:jc w:val="center"/>
        <w:rPr>
          <w:rFonts w:ascii="Times New Roman" w:hAnsi="Times New Roman"/>
          <w:sz w:val="21"/>
          <w:szCs w:val="21"/>
        </w:rPr>
      </w:pPr>
      <w:bookmarkStart w:id="40" w:name="_Toc118357470"/>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40"/>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的部品部（构）件生产和安装企业应具备相应的安全、质量和环境管理体系与资质，应有专业的生产、技术管理团队和产业工人，规模化生产车间和自动化生产线设备及生产工艺设施并应建立技术标准体系。</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 xml:space="preserve"> 部品部（构）件应在工厂生产制作，生产过程与管理宜应用信息管理技术。部品部（构）件生产和施工安装前，应符合下列规定：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根据设计要求和生产条件编制生产制作和安装工艺方案；</w:t>
      </w:r>
    </w:p>
    <w:p>
      <w:pPr>
        <w:spacing w:line="240" w:lineRule="auto"/>
        <w:ind w:firstLine="421" w:firstLineChars="200"/>
        <w:rPr>
          <w:bCs/>
          <w:szCs w:val="21"/>
        </w:rPr>
      </w:pPr>
      <w:r>
        <w:rPr>
          <w:rFonts w:hint="eastAsia"/>
          <w:b/>
          <w:bCs/>
          <w:szCs w:val="21"/>
        </w:rPr>
        <w:t xml:space="preserve">2 </w:t>
      </w:r>
      <w:r>
        <w:rPr>
          <w:rFonts w:hint="eastAsia"/>
          <w:bCs/>
          <w:szCs w:val="21"/>
        </w:rPr>
        <w:t xml:space="preserve"> 根据施工图及设计要求的内容进行深化设计和施工详图设计；</w:t>
      </w:r>
    </w:p>
    <w:p>
      <w:pPr>
        <w:spacing w:line="240" w:lineRule="auto"/>
        <w:ind w:firstLine="421" w:firstLineChars="200"/>
        <w:rPr>
          <w:bCs/>
          <w:szCs w:val="21"/>
        </w:rPr>
      </w:pPr>
      <w:r>
        <w:rPr>
          <w:rFonts w:hint="eastAsia"/>
          <w:b/>
          <w:bCs/>
          <w:szCs w:val="21"/>
        </w:rPr>
        <w:t xml:space="preserve">3 </w:t>
      </w:r>
      <w:r>
        <w:rPr>
          <w:rFonts w:hint="eastAsia"/>
          <w:bCs/>
          <w:szCs w:val="21"/>
        </w:rPr>
        <w:t xml:space="preserve"> 对技术措施或构造复杂的部品部（构）件宜进行工艺性试验；</w:t>
      </w:r>
    </w:p>
    <w:p>
      <w:pPr>
        <w:spacing w:line="240" w:lineRule="auto"/>
        <w:ind w:firstLine="421" w:firstLineChars="200"/>
        <w:rPr>
          <w:bCs/>
          <w:szCs w:val="21"/>
        </w:rPr>
      </w:pPr>
      <w:r>
        <w:rPr>
          <w:rFonts w:hint="eastAsia"/>
          <w:b/>
          <w:bCs/>
          <w:szCs w:val="21"/>
        </w:rPr>
        <w:t xml:space="preserve">4 </w:t>
      </w:r>
      <w:r>
        <w:rPr>
          <w:rFonts w:hint="eastAsia"/>
          <w:bCs/>
          <w:szCs w:val="21"/>
        </w:rPr>
        <w:t xml:space="preserve"> 钢结构与围护系统、内装系统的安装应编制施工组织设计和施工专项方案。方案应有审批和交底记录。</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rFonts w:hint="eastAsia"/>
          <w:bCs/>
          <w:szCs w:val="21"/>
        </w:rPr>
        <w:t xml:space="preserve"> 钢结构装配式住宅建筑的部品部（构）件制作用材料应具有产品质量证明文件和合格证，其品种、规格、性能指标应满足部品部（构）件国家现行产品标准或专项技术条件的要求；涉及安全、功能、节能、环保的原材料应进行抽样复验。</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建筑部品部（构）件生产完成经检验合格后，生产企业应提供产品型式检验报告、执行产品标准的说明、质量保证书和使用说明书、出厂产品质量检验合格证。</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5  </w:t>
      </w:r>
      <w:r>
        <w:rPr>
          <w:rFonts w:hint="eastAsia"/>
          <w:bCs/>
          <w:szCs w:val="21"/>
        </w:rPr>
        <w:t>生产单位宜建立质量可追溯的信息化管理系统和编码标识系统。</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6  </w:t>
      </w:r>
      <w:r>
        <w:rPr>
          <w:rFonts w:hint="eastAsia"/>
          <w:bCs/>
          <w:szCs w:val="21"/>
        </w:rPr>
        <w:t>部品部（构）件生产、安装、验收使用的量具应经过统一计量标准标定，并应具有统一精度等级。</w:t>
      </w:r>
    </w:p>
    <w:p>
      <w:pPr>
        <w:pStyle w:val="4"/>
        <w:spacing w:before="240" w:after="240" w:line="240" w:lineRule="auto"/>
        <w:jc w:val="center"/>
        <w:rPr>
          <w:rFonts w:ascii="Times New Roman" w:hAnsi="Times New Roman"/>
          <w:sz w:val="21"/>
          <w:szCs w:val="21"/>
        </w:rPr>
      </w:pPr>
      <w:bookmarkStart w:id="41" w:name="_Toc118357471"/>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生 产 运 输</w:t>
      </w:r>
      <w:bookmarkEnd w:id="41"/>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rFonts w:hint="eastAsia"/>
          <w:bCs/>
          <w:szCs w:val="21"/>
        </w:rPr>
        <w:t xml:space="preserve"> 钢构件加工制作工艺和质量应符合现行国家标准《钢结构工程施工规范》GB</w:t>
      </w:r>
      <w:r>
        <w:rPr>
          <w:bCs/>
          <w:szCs w:val="21"/>
        </w:rPr>
        <w:t xml:space="preserve"> </w:t>
      </w:r>
      <w:r>
        <w:rPr>
          <w:rFonts w:hint="eastAsia"/>
          <w:bCs/>
          <w:szCs w:val="21"/>
        </w:rPr>
        <w:t>50755和《钢结构工程施工质量验收标准》GB</w:t>
      </w:r>
      <w:r>
        <w:rPr>
          <w:bCs/>
          <w:szCs w:val="21"/>
        </w:rPr>
        <w:t xml:space="preserve"> </w:t>
      </w:r>
      <w:r>
        <w:rPr>
          <w:rFonts w:hint="eastAsia"/>
          <w:bCs/>
          <w:szCs w:val="21"/>
        </w:rPr>
        <w:t>50205的有关规定，并满足钢结构装配式住宅建筑设计与产品技术体系特点技术标准体系。</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钢构件深化设计图应根据围护系统、设备与管线系统及内装系统的设计图和其他有关技术文件进行一体化统筹编制，钢构件与围护、设备与管线、内装部品的连接件宜在工厂与钢构件一起加工制作。其内容包括设计说明、构件清单、布置图、加工详图、安装节点详图等。</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钢构件与部品部（构）件宜采用自动化生产线进行加工制作，减少手工作业，并加大智能化生产应用。</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4</w:t>
      </w:r>
      <w:r>
        <w:rPr>
          <w:rFonts w:hint="eastAsia"/>
          <w:bCs/>
          <w:szCs w:val="21"/>
        </w:rPr>
        <w:t xml:space="preserve">  钢构件在出厂前宜对钢结构装配式住宅各标准单元之一进行预拼装，构件预拼装可采用实体预拼装或数字模拟预拼装。根据预拼装满足规范与标准及钢结构装配式住宅产品体系特点程度要求，对生产工艺进行改进提高。</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5 </w:t>
      </w:r>
      <w:r>
        <w:rPr>
          <w:rFonts w:hint="eastAsia"/>
          <w:bCs/>
          <w:szCs w:val="21"/>
        </w:rPr>
        <w:t xml:space="preserve"> 生产过程质量检验控制应符合下列规定: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首批（件）产品加工应进行工序检验和自检、互检、专检，产品经检验合格形成检验记录，方可进行批量生产；</w:t>
      </w:r>
    </w:p>
    <w:p>
      <w:pPr>
        <w:spacing w:line="240" w:lineRule="auto"/>
        <w:ind w:firstLine="421" w:firstLineChars="200"/>
        <w:rPr>
          <w:bCs/>
          <w:szCs w:val="21"/>
        </w:rPr>
      </w:pPr>
      <w:r>
        <w:rPr>
          <w:rFonts w:hint="eastAsia"/>
          <w:b/>
          <w:bCs/>
          <w:szCs w:val="21"/>
        </w:rPr>
        <w:t xml:space="preserve">2 </w:t>
      </w:r>
      <w:r>
        <w:rPr>
          <w:rFonts w:hint="eastAsia"/>
          <w:bCs/>
          <w:szCs w:val="21"/>
        </w:rPr>
        <w:t xml:space="preserve"> 批量生产前宜根据生产条件及产品特点形成标准化、流水线作业方式；</w:t>
      </w:r>
    </w:p>
    <w:p>
      <w:pPr>
        <w:spacing w:line="240" w:lineRule="auto"/>
        <w:ind w:firstLine="421" w:firstLineChars="200"/>
        <w:rPr>
          <w:bCs/>
          <w:szCs w:val="21"/>
        </w:rPr>
      </w:pPr>
      <w:r>
        <w:rPr>
          <w:rFonts w:hint="eastAsia"/>
          <w:b/>
          <w:bCs/>
          <w:szCs w:val="21"/>
        </w:rPr>
        <w:t xml:space="preserve">3  </w:t>
      </w:r>
      <w:r>
        <w:rPr>
          <w:rFonts w:hint="eastAsia"/>
          <w:bCs/>
          <w:szCs w:val="21"/>
        </w:rPr>
        <w:t>对采用新技术、新材料、新工艺和新产品的，相关专业工种之间应进行交接检验，批量生产阶段应增加生产加工工序巡回检验比例和抽样检测样本数量或频次。</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6 </w:t>
      </w:r>
      <w:r>
        <w:rPr>
          <w:rFonts w:hint="eastAsia"/>
          <w:bCs/>
          <w:szCs w:val="21"/>
        </w:rPr>
        <w:t xml:space="preserve"> 部品部（构）件的运输方式应根据部品部件特点、工程要求等确定。建筑部品部（构）件出厂时，应有部品部（构）件重量、重心位置、吊点位置、能否倒置等标识。</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7 </w:t>
      </w:r>
      <w:r>
        <w:rPr>
          <w:rFonts w:hint="eastAsia"/>
          <w:bCs/>
          <w:szCs w:val="21"/>
        </w:rPr>
        <w:t xml:space="preserve"> 部品部（构）件加工制作完成后标识应符合下列规定：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应在部品部（构）件近端部一处表面打印标识；</w:t>
      </w:r>
    </w:p>
    <w:p>
      <w:pPr>
        <w:spacing w:line="240" w:lineRule="auto"/>
        <w:ind w:firstLine="421" w:firstLineChars="200"/>
        <w:rPr>
          <w:bCs/>
          <w:szCs w:val="21"/>
        </w:rPr>
      </w:pPr>
      <w:r>
        <w:rPr>
          <w:rFonts w:hint="eastAsia"/>
          <w:b/>
          <w:bCs/>
          <w:szCs w:val="21"/>
        </w:rPr>
        <w:t xml:space="preserve">2  </w:t>
      </w:r>
      <w:r>
        <w:rPr>
          <w:rFonts w:hint="eastAsia"/>
          <w:bCs/>
          <w:szCs w:val="21"/>
        </w:rPr>
        <w:t>大型部品部（构）件应在多处易观察位置打印相同标识。</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8 </w:t>
      </w:r>
      <w:r>
        <w:rPr>
          <w:rFonts w:hint="eastAsia"/>
          <w:bCs/>
          <w:szCs w:val="21"/>
        </w:rPr>
        <w:t xml:space="preserve"> 标识内容应包括：工程名称、部品部（构）件规格与编号、部品部（构）件长度与重量、日期、质检员工号及合格标示、制造厂名称。</w:t>
      </w:r>
    </w:p>
    <w:p>
      <w:pPr>
        <w:pStyle w:val="4"/>
        <w:spacing w:before="240" w:after="240" w:line="240" w:lineRule="auto"/>
        <w:jc w:val="center"/>
        <w:rPr>
          <w:rFonts w:ascii="Times New Roman" w:hAnsi="Times New Roman"/>
          <w:sz w:val="21"/>
          <w:szCs w:val="21"/>
        </w:rPr>
      </w:pPr>
      <w:bookmarkStart w:id="42" w:name="_Toc118357472"/>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施 工 安 装</w:t>
      </w:r>
      <w:bookmarkEnd w:id="42"/>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w:t>
      </w:r>
      <w:r>
        <w:rPr>
          <w:rFonts w:hint="eastAsia"/>
          <w:bCs/>
          <w:szCs w:val="21"/>
        </w:rPr>
        <w:t xml:space="preserve">  钢结构装配式住宅工程应进行施工阶段设计，编制施工组织设计、配套的专项施工方案等技术文件，应符合现行国家标准《钢结构工程施工规范》GB</w:t>
      </w:r>
      <w:r>
        <w:rPr>
          <w:bCs/>
          <w:szCs w:val="21"/>
        </w:rPr>
        <w:t xml:space="preserve"> </w:t>
      </w:r>
      <w:r>
        <w:rPr>
          <w:rFonts w:hint="eastAsia"/>
          <w:bCs/>
          <w:szCs w:val="21"/>
        </w:rPr>
        <w:t>50755的有关规定，并经规定的技术负责人审批通过。</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2</w:t>
      </w:r>
      <w:r>
        <w:rPr>
          <w:rFonts w:hint="eastAsia"/>
          <w:bCs/>
          <w:szCs w:val="21"/>
        </w:rPr>
        <w:t xml:space="preserve">  原材料或部品部（构）件进场后应检查出厂产品质量检验合格证等文件，涉及安全、功能、节能、环保的原材料按规定应进行抽样复验的，经复验合格后方可使用。</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3</w:t>
      </w:r>
      <w:r>
        <w:rPr>
          <w:rFonts w:hint="eastAsia"/>
          <w:bCs/>
          <w:szCs w:val="21"/>
        </w:rPr>
        <w:t xml:space="preserve">  建筑部品部（构）件安装现场应设置专门的部品部（构）件堆场，应有防止部品部（构）件表面污染、损伤及安全保护的措施。</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4</w:t>
      </w:r>
      <w:r>
        <w:rPr>
          <w:rFonts w:hint="eastAsia"/>
          <w:bCs/>
          <w:szCs w:val="21"/>
        </w:rPr>
        <w:t xml:space="preserve">  施工安装应按工程施工组织设计的要求与顺序进行施工，并加强施工过程监测。应在现场对钢结构装配式住宅的关键工序制作实体样板，在钢结构主体安装进入标准层后，宜提前制作装配式样板间。</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5 </w:t>
      </w:r>
      <w:r>
        <w:rPr>
          <w:rFonts w:hint="eastAsia"/>
          <w:bCs/>
          <w:szCs w:val="21"/>
        </w:rPr>
        <w:t xml:space="preserve"> 部品部（构）件安装施工应按照产品说明书和作业指导书施工。</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6</w:t>
      </w:r>
      <w:r>
        <w:rPr>
          <w:rFonts w:hint="eastAsia"/>
          <w:bCs/>
          <w:szCs w:val="21"/>
        </w:rPr>
        <w:t xml:space="preserve">  当采用集成式或整体厨卫时，应按产品厂家安装指导说明书的要求进行施工。</w:t>
      </w:r>
    </w:p>
    <w:p>
      <w:pPr>
        <w:pStyle w:val="4"/>
        <w:spacing w:before="240" w:after="240" w:line="240" w:lineRule="auto"/>
        <w:jc w:val="center"/>
        <w:rPr>
          <w:rFonts w:ascii="Times New Roman" w:hAnsi="Times New Roman"/>
          <w:sz w:val="21"/>
          <w:szCs w:val="21"/>
        </w:rPr>
      </w:pPr>
      <w:bookmarkStart w:id="43" w:name="_Toc118357473"/>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质 量 验 收</w:t>
      </w:r>
      <w:bookmarkEnd w:id="43"/>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1</w:t>
      </w:r>
      <w:r>
        <w:rPr>
          <w:rFonts w:hint="eastAsia"/>
          <w:bCs/>
          <w:szCs w:val="21"/>
        </w:rPr>
        <w:t xml:space="preserve">  钢结构装配式住宅建筑的质量验收应符合现行国家标准《建筑工程施工质量验收统一标准》GB</w:t>
      </w:r>
      <w:r>
        <w:rPr>
          <w:bCs/>
          <w:szCs w:val="21"/>
        </w:rPr>
        <w:t xml:space="preserve"> </w:t>
      </w:r>
      <w:r>
        <w:rPr>
          <w:rFonts w:hint="eastAsia"/>
          <w:bCs/>
          <w:szCs w:val="21"/>
        </w:rPr>
        <w:t>50300及国家现行工程质量验收标准的有关规定。</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2</w:t>
      </w:r>
      <w:r>
        <w:rPr>
          <w:rFonts w:hint="eastAsia"/>
          <w:bCs/>
          <w:szCs w:val="21"/>
        </w:rPr>
        <w:t xml:space="preserve">  钢结构装配式住宅建筑工程质量验收的分部工程应按表9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2划分，相应的分项工程和检验批应按表9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2所列的工程验收标准确定。国家现行标准没有规定的验收项目，应由建设单位组织设计、施工、监理等相关单位共同制定验收要求。</w:t>
      </w:r>
    </w:p>
    <w:p>
      <w:pPr>
        <w:spacing w:line="240" w:lineRule="auto"/>
        <w:ind w:left="-6"/>
        <w:jc w:val="center"/>
        <w:rPr>
          <w:rFonts w:eastAsia="黑体" w:cs="黑体"/>
          <w:bCs/>
          <w:sz w:val="18"/>
          <w:szCs w:val="18"/>
        </w:rPr>
      </w:pPr>
      <w:r>
        <w:rPr>
          <w:rFonts w:eastAsia="黑体" w:cs="黑体"/>
          <w:bCs/>
          <w:sz w:val="18"/>
          <w:szCs w:val="18"/>
        </w:rPr>
        <w:t>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2</w:t>
      </w:r>
      <w:r>
        <w:rPr>
          <w:rFonts w:eastAsia="黑体" w:cs="黑体"/>
          <w:bCs/>
          <w:sz w:val="18"/>
          <w:szCs w:val="18"/>
        </w:rPr>
        <w:t xml:space="preserve">  钢结构装配式住宅建筑工程质量验收的分部工程划分及验收标准</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589"/>
        <w:gridCol w:w="6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33" w:type="dxa"/>
            <w:vAlign w:val="center"/>
          </w:tcPr>
          <w:p>
            <w:pPr>
              <w:pStyle w:val="36"/>
              <w:rPr>
                <w:color w:val="auto"/>
                <w:sz w:val="15"/>
                <w:szCs w:val="15"/>
              </w:rPr>
            </w:pPr>
            <w:r>
              <w:rPr>
                <w:rFonts w:hint="eastAsia"/>
                <w:color w:val="auto"/>
                <w:sz w:val="15"/>
                <w:szCs w:val="15"/>
              </w:rPr>
              <w:t>序号</w:t>
            </w:r>
          </w:p>
        </w:tc>
        <w:tc>
          <w:tcPr>
            <w:tcW w:w="2522" w:type="dxa"/>
            <w:vAlign w:val="center"/>
          </w:tcPr>
          <w:p>
            <w:pPr>
              <w:pStyle w:val="36"/>
              <w:rPr>
                <w:color w:val="auto"/>
                <w:sz w:val="15"/>
                <w:szCs w:val="15"/>
              </w:rPr>
            </w:pPr>
            <w:r>
              <w:rPr>
                <w:rFonts w:hint="eastAsia"/>
                <w:color w:val="auto"/>
                <w:sz w:val="15"/>
                <w:szCs w:val="15"/>
              </w:rPr>
              <w:t>分部工程</w:t>
            </w:r>
          </w:p>
        </w:tc>
        <w:tc>
          <w:tcPr>
            <w:tcW w:w="5879" w:type="dxa"/>
            <w:vAlign w:val="center"/>
          </w:tcPr>
          <w:p>
            <w:pPr>
              <w:pStyle w:val="36"/>
              <w:rPr>
                <w:color w:val="auto"/>
                <w:sz w:val="15"/>
                <w:szCs w:val="15"/>
              </w:rPr>
            </w:pPr>
            <w:r>
              <w:rPr>
                <w:rFonts w:hint="eastAsia"/>
                <w:color w:val="auto"/>
                <w:sz w:val="15"/>
                <w:szCs w:val="15"/>
              </w:rPr>
              <w:t>质量验收标准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1</w:t>
            </w:r>
          </w:p>
        </w:tc>
        <w:tc>
          <w:tcPr>
            <w:tcW w:w="2522" w:type="dxa"/>
            <w:vAlign w:val="center"/>
          </w:tcPr>
          <w:p>
            <w:pPr>
              <w:pStyle w:val="36"/>
              <w:rPr>
                <w:color w:val="auto"/>
                <w:sz w:val="15"/>
                <w:szCs w:val="15"/>
              </w:rPr>
            </w:pPr>
            <w:r>
              <w:rPr>
                <w:rFonts w:hint="eastAsia"/>
                <w:color w:val="auto"/>
                <w:sz w:val="15"/>
                <w:szCs w:val="15"/>
              </w:rPr>
              <w:t>地基与基础</w:t>
            </w:r>
          </w:p>
        </w:tc>
        <w:tc>
          <w:tcPr>
            <w:tcW w:w="5879" w:type="dxa"/>
            <w:vAlign w:val="center"/>
          </w:tcPr>
          <w:p>
            <w:pPr>
              <w:pStyle w:val="36"/>
              <w:rPr>
                <w:color w:val="auto"/>
                <w:sz w:val="15"/>
                <w:szCs w:val="15"/>
              </w:rPr>
            </w:pPr>
            <w:r>
              <w:rPr>
                <w:rFonts w:hint="eastAsia"/>
                <w:color w:val="auto"/>
                <w:sz w:val="15"/>
                <w:szCs w:val="15"/>
              </w:rPr>
              <w:t>《建筑地基工程施工质量验收标准》</w:t>
            </w:r>
            <w:r>
              <w:rPr>
                <w:color w:val="auto"/>
                <w:sz w:val="15"/>
                <w:szCs w:val="15"/>
              </w:rPr>
              <w:t>GB 50202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2</w:t>
            </w:r>
          </w:p>
        </w:tc>
        <w:tc>
          <w:tcPr>
            <w:tcW w:w="2522" w:type="dxa"/>
            <w:vAlign w:val="center"/>
          </w:tcPr>
          <w:p>
            <w:pPr>
              <w:pStyle w:val="36"/>
              <w:rPr>
                <w:color w:val="auto"/>
                <w:sz w:val="15"/>
                <w:szCs w:val="15"/>
              </w:rPr>
            </w:pPr>
            <w:r>
              <w:rPr>
                <w:rFonts w:hint="eastAsia"/>
                <w:color w:val="auto"/>
                <w:sz w:val="15"/>
                <w:szCs w:val="15"/>
              </w:rPr>
              <w:t>主体工程</w:t>
            </w:r>
          </w:p>
        </w:tc>
        <w:tc>
          <w:tcPr>
            <w:tcW w:w="5879" w:type="dxa"/>
            <w:vAlign w:val="center"/>
          </w:tcPr>
          <w:p>
            <w:pPr>
              <w:pStyle w:val="36"/>
              <w:rPr>
                <w:color w:val="auto"/>
                <w:sz w:val="15"/>
                <w:szCs w:val="15"/>
              </w:rPr>
            </w:pPr>
            <w:r>
              <w:rPr>
                <w:rFonts w:hint="eastAsia"/>
                <w:color w:val="auto"/>
                <w:sz w:val="15"/>
                <w:szCs w:val="15"/>
              </w:rPr>
              <w:t>《钢结构工程施工质量验收标准》</w:t>
            </w:r>
            <w:r>
              <w:rPr>
                <w:color w:val="auto"/>
                <w:sz w:val="15"/>
                <w:szCs w:val="15"/>
              </w:rPr>
              <w:t>GB 350205</w:t>
            </w:r>
          </w:p>
          <w:p>
            <w:pPr>
              <w:pStyle w:val="36"/>
              <w:rPr>
                <w:color w:val="auto"/>
                <w:sz w:val="15"/>
                <w:szCs w:val="15"/>
              </w:rPr>
            </w:pPr>
            <w:r>
              <w:rPr>
                <w:rFonts w:hint="eastAsia"/>
                <w:color w:val="auto"/>
                <w:sz w:val="15"/>
                <w:szCs w:val="15"/>
              </w:rPr>
              <w:t>《</w:t>
            </w:r>
            <w:r>
              <w:rPr>
                <w:color w:val="auto"/>
                <w:sz w:val="15"/>
                <w:szCs w:val="15"/>
              </w:rPr>
              <w:t>钢管混凝土工程施工质量验收规范》GB 50628</w:t>
            </w:r>
          </w:p>
          <w:p>
            <w:pPr>
              <w:pStyle w:val="36"/>
              <w:rPr>
                <w:color w:val="auto"/>
                <w:sz w:val="15"/>
                <w:szCs w:val="15"/>
              </w:rPr>
            </w:pPr>
            <w:r>
              <w:rPr>
                <w:color w:val="auto"/>
                <w:sz w:val="15"/>
                <w:szCs w:val="15"/>
              </w:rPr>
              <w:t>《混凝土结构工程施工质量验收规范》GB 50204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3</w:t>
            </w:r>
          </w:p>
        </w:tc>
        <w:tc>
          <w:tcPr>
            <w:tcW w:w="2522" w:type="dxa"/>
            <w:vAlign w:val="center"/>
          </w:tcPr>
          <w:p>
            <w:pPr>
              <w:pStyle w:val="36"/>
              <w:rPr>
                <w:color w:val="auto"/>
                <w:sz w:val="15"/>
                <w:szCs w:val="15"/>
              </w:rPr>
            </w:pPr>
            <w:r>
              <w:rPr>
                <w:rFonts w:hint="eastAsia"/>
                <w:color w:val="auto"/>
                <w:sz w:val="15"/>
                <w:szCs w:val="15"/>
              </w:rPr>
              <w:t>建筑装饰装修</w:t>
            </w:r>
          </w:p>
        </w:tc>
        <w:tc>
          <w:tcPr>
            <w:tcW w:w="5879" w:type="dxa"/>
            <w:vAlign w:val="center"/>
          </w:tcPr>
          <w:p>
            <w:pPr>
              <w:pStyle w:val="36"/>
              <w:rPr>
                <w:color w:val="auto"/>
                <w:sz w:val="15"/>
                <w:szCs w:val="15"/>
              </w:rPr>
            </w:pPr>
            <w:r>
              <w:rPr>
                <w:rFonts w:hint="eastAsia"/>
                <w:color w:val="auto"/>
                <w:sz w:val="15"/>
                <w:szCs w:val="15"/>
              </w:rPr>
              <w:t>《建筑装饰装修工程质量验收标准》</w:t>
            </w:r>
            <w:r>
              <w:rPr>
                <w:color w:val="auto"/>
                <w:sz w:val="15"/>
                <w:szCs w:val="15"/>
              </w:rPr>
              <w:t>GB 50210</w:t>
            </w:r>
          </w:p>
          <w:p>
            <w:pPr>
              <w:pStyle w:val="36"/>
              <w:rPr>
                <w:color w:val="auto"/>
                <w:sz w:val="15"/>
                <w:szCs w:val="15"/>
              </w:rPr>
            </w:pPr>
            <w:r>
              <w:rPr>
                <w:rFonts w:hint="eastAsia"/>
                <w:color w:val="auto"/>
                <w:sz w:val="15"/>
                <w:szCs w:val="15"/>
              </w:rPr>
              <w:t>《住宅室内装饰装修工程质量验收规范》</w:t>
            </w:r>
            <w:r>
              <w:rPr>
                <w:color w:val="auto"/>
                <w:sz w:val="15"/>
                <w:szCs w:val="15"/>
              </w:rPr>
              <w:t>JGJ/T 304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4</w:t>
            </w:r>
          </w:p>
        </w:tc>
        <w:tc>
          <w:tcPr>
            <w:tcW w:w="2522" w:type="dxa"/>
            <w:vAlign w:val="center"/>
          </w:tcPr>
          <w:p>
            <w:pPr>
              <w:pStyle w:val="36"/>
              <w:rPr>
                <w:color w:val="auto"/>
                <w:sz w:val="15"/>
                <w:szCs w:val="15"/>
              </w:rPr>
            </w:pPr>
            <w:r>
              <w:rPr>
                <w:rFonts w:hint="eastAsia"/>
                <w:color w:val="auto"/>
                <w:sz w:val="15"/>
                <w:szCs w:val="15"/>
              </w:rPr>
              <w:t>屋面及围护系统</w:t>
            </w:r>
          </w:p>
        </w:tc>
        <w:tc>
          <w:tcPr>
            <w:tcW w:w="5879" w:type="dxa"/>
            <w:vAlign w:val="center"/>
          </w:tcPr>
          <w:p>
            <w:pPr>
              <w:pStyle w:val="36"/>
              <w:rPr>
                <w:color w:val="auto"/>
                <w:sz w:val="15"/>
                <w:szCs w:val="15"/>
              </w:rPr>
            </w:pPr>
            <w:r>
              <w:rPr>
                <w:rFonts w:hint="eastAsia"/>
                <w:color w:val="auto"/>
                <w:sz w:val="15"/>
                <w:szCs w:val="15"/>
              </w:rPr>
              <w:t>《屋面工程质量验收标准》</w:t>
            </w:r>
            <w:r>
              <w:rPr>
                <w:color w:val="auto"/>
                <w:sz w:val="15"/>
                <w:szCs w:val="15"/>
              </w:rPr>
              <w:t>GB 50207</w:t>
            </w:r>
          </w:p>
          <w:p>
            <w:pPr>
              <w:pStyle w:val="36"/>
              <w:rPr>
                <w:color w:val="auto"/>
                <w:sz w:val="15"/>
                <w:szCs w:val="15"/>
              </w:rPr>
            </w:pPr>
            <w:r>
              <w:rPr>
                <w:rFonts w:hint="eastAsia"/>
                <w:color w:val="auto"/>
                <w:sz w:val="15"/>
                <w:szCs w:val="15"/>
              </w:rPr>
              <w:t>《建筑节能工程施工质量验收标准》</w:t>
            </w:r>
            <w:r>
              <w:rPr>
                <w:color w:val="auto"/>
                <w:sz w:val="15"/>
                <w:szCs w:val="15"/>
              </w:rPr>
              <w:t>GB 5041l</w:t>
            </w:r>
          </w:p>
        </w:tc>
      </w:tr>
    </w:tbl>
    <w:p>
      <w:pPr>
        <w:spacing w:line="240" w:lineRule="auto"/>
        <w:ind w:left="-6"/>
        <w:jc w:val="center"/>
        <w:rPr>
          <w:rFonts w:eastAsia="黑体" w:cs="黑体"/>
          <w:bCs/>
          <w:sz w:val="18"/>
          <w:szCs w:val="18"/>
        </w:rPr>
      </w:pPr>
      <w:r>
        <w:rPr>
          <w:rFonts w:hint="eastAsia" w:eastAsia="黑体" w:cs="黑体"/>
          <w:bCs/>
          <w:sz w:val="18"/>
          <w:szCs w:val="18"/>
        </w:rPr>
        <w:t>续</w:t>
      </w:r>
      <w:r>
        <w:rPr>
          <w:rFonts w:eastAsia="黑体" w:cs="黑体"/>
          <w:bCs/>
          <w:sz w:val="18"/>
          <w:szCs w:val="18"/>
        </w:rPr>
        <w:t>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2</w:t>
      </w:r>
      <w:r>
        <w:rPr>
          <w:rFonts w:eastAsia="黑体" w:cs="黑体"/>
          <w:bCs/>
          <w:sz w:val="18"/>
          <w:szCs w:val="18"/>
        </w:rPr>
        <w:t xml:space="preserve">  钢结构装配式住宅建筑工程质量验收的分部工程划分及验收标准</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589"/>
        <w:gridCol w:w="6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33" w:type="dxa"/>
            <w:vAlign w:val="center"/>
          </w:tcPr>
          <w:p>
            <w:pPr>
              <w:pStyle w:val="36"/>
              <w:rPr>
                <w:color w:val="auto"/>
                <w:sz w:val="15"/>
                <w:szCs w:val="15"/>
              </w:rPr>
            </w:pPr>
            <w:r>
              <w:rPr>
                <w:rFonts w:hint="eastAsia"/>
                <w:color w:val="auto"/>
                <w:sz w:val="15"/>
                <w:szCs w:val="15"/>
              </w:rPr>
              <w:t>序号</w:t>
            </w:r>
          </w:p>
        </w:tc>
        <w:tc>
          <w:tcPr>
            <w:tcW w:w="2522" w:type="dxa"/>
            <w:vAlign w:val="center"/>
          </w:tcPr>
          <w:p>
            <w:pPr>
              <w:pStyle w:val="36"/>
              <w:rPr>
                <w:color w:val="auto"/>
                <w:sz w:val="15"/>
                <w:szCs w:val="15"/>
              </w:rPr>
            </w:pPr>
            <w:r>
              <w:rPr>
                <w:rFonts w:hint="eastAsia"/>
                <w:color w:val="auto"/>
                <w:sz w:val="15"/>
                <w:szCs w:val="15"/>
              </w:rPr>
              <w:t>分部工程</w:t>
            </w:r>
          </w:p>
        </w:tc>
        <w:tc>
          <w:tcPr>
            <w:tcW w:w="5879" w:type="dxa"/>
            <w:vAlign w:val="center"/>
          </w:tcPr>
          <w:p>
            <w:pPr>
              <w:pStyle w:val="36"/>
              <w:rPr>
                <w:color w:val="auto"/>
                <w:sz w:val="15"/>
                <w:szCs w:val="15"/>
              </w:rPr>
            </w:pPr>
            <w:r>
              <w:rPr>
                <w:rFonts w:hint="eastAsia"/>
                <w:color w:val="auto"/>
                <w:sz w:val="15"/>
                <w:szCs w:val="15"/>
              </w:rPr>
              <w:t>质量验收标准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4</w:t>
            </w:r>
          </w:p>
        </w:tc>
        <w:tc>
          <w:tcPr>
            <w:tcW w:w="2522" w:type="dxa"/>
            <w:vAlign w:val="center"/>
          </w:tcPr>
          <w:p>
            <w:pPr>
              <w:pStyle w:val="36"/>
              <w:rPr>
                <w:color w:val="auto"/>
                <w:sz w:val="15"/>
                <w:szCs w:val="15"/>
              </w:rPr>
            </w:pPr>
            <w:r>
              <w:rPr>
                <w:rFonts w:hint="eastAsia"/>
                <w:color w:val="auto"/>
                <w:sz w:val="15"/>
                <w:szCs w:val="15"/>
              </w:rPr>
              <w:t>屋面及围护系统</w:t>
            </w:r>
          </w:p>
        </w:tc>
        <w:tc>
          <w:tcPr>
            <w:tcW w:w="5879" w:type="dxa"/>
            <w:vAlign w:val="center"/>
          </w:tcPr>
          <w:p>
            <w:pPr>
              <w:pStyle w:val="36"/>
              <w:rPr>
                <w:color w:val="auto"/>
                <w:sz w:val="15"/>
                <w:szCs w:val="15"/>
              </w:rPr>
            </w:pPr>
            <w:r>
              <w:rPr>
                <w:rFonts w:hint="eastAsia"/>
                <w:color w:val="auto"/>
                <w:sz w:val="15"/>
                <w:szCs w:val="15"/>
              </w:rPr>
              <w:t>经评审备案的企业产品及其术标准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5</w:t>
            </w:r>
          </w:p>
        </w:tc>
        <w:tc>
          <w:tcPr>
            <w:tcW w:w="2522" w:type="dxa"/>
            <w:vAlign w:val="center"/>
          </w:tcPr>
          <w:p>
            <w:pPr>
              <w:pStyle w:val="36"/>
              <w:rPr>
                <w:color w:val="auto"/>
                <w:sz w:val="15"/>
                <w:szCs w:val="15"/>
              </w:rPr>
            </w:pPr>
            <w:r>
              <w:rPr>
                <w:rFonts w:hint="eastAsia"/>
                <w:color w:val="auto"/>
                <w:sz w:val="15"/>
                <w:szCs w:val="15"/>
              </w:rPr>
              <w:t>建筑给水排水及采暖</w:t>
            </w:r>
          </w:p>
        </w:tc>
        <w:tc>
          <w:tcPr>
            <w:tcW w:w="5879" w:type="dxa"/>
            <w:vAlign w:val="center"/>
          </w:tcPr>
          <w:p>
            <w:pPr>
              <w:pStyle w:val="36"/>
              <w:rPr>
                <w:color w:val="auto"/>
                <w:sz w:val="15"/>
                <w:szCs w:val="15"/>
              </w:rPr>
            </w:pPr>
            <w:r>
              <w:rPr>
                <w:rFonts w:hint="eastAsia"/>
                <w:color w:val="auto"/>
                <w:sz w:val="15"/>
                <w:szCs w:val="15"/>
              </w:rPr>
              <w:t>《建筑给水排水及采暖工程施工质量验收规范》</w:t>
            </w:r>
            <w:r>
              <w:rPr>
                <w:color w:val="auto"/>
                <w:sz w:val="15"/>
                <w:szCs w:val="15"/>
              </w:rPr>
              <w:t>GB 50242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6</w:t>
            </w:r>
          </w:p>
        </w:tc>
        <w:tc>
          <w:tcPr>
            <w:tcW w:w="2522" w:type="dxa"/>
            <w:vAlign w:val="center"/>
          </w:tcPr>
          <w:p>
            <w:pPr>
              <w:pStyle w:val="36"/>
              <w:rPr>
                <w:color w:val="auto"/>
                <w:sz w:val="15"/>
                <w:szCs w:val="15"/>
              </w:rPr>
            </w:pPr>
            <w:r>
              <w:rPr>
                <w:rFonts w:hint="eastAsia"/>
                <w:color w:val="auto"/>
                <w:sz w:val="15"/>
                <w:szCs w:val="15"/>
              </w:rPr>
              <w:t>通风与空调</w:t>
            </w:r>
          </w:p>
        </w:tc>
        <w:tc>
          <w:tcPr>
            <w:tcW w:w="5879" w:type="dxa"/>
            <w:vAlign w:val="center"/>
          </w:tcPr>
          <w:p>
            <w:pPr>
              <w:pStyle w:val="36"/>
              <w:rPr>
                <w:color w:val="auto"/>
                <w:sz w:val="15"/>
                <w:szCs w:val="15"/>
              </w:rPr>
            </w:pPr>
            <w:r>
              <w:rPr>
                <w:rFonts w:hint="eastAsia"/>
                <w:color w:val="auto"/>
                <w:sz w:val="15"/>
                <w:szCs w:val="15"/>
              </w:rPr>
              <w:t>《通风与空调工程施工质量验收规范》</w:t>
            </w:r>
            <w:r>
              <w:rPr>
                <w:color w:val="auto"/>
                <w:sz w:val="15"/>
                <w:szCs w:val="15"/>
              </w:rPr>
              <w:t>GB 50243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7</w:t>
            </w:r>
          </w:p>
        </w:tc>
        <w:tc>
          <w:tcPr>
            <w:tcW w:w="2522" w:type="dxa"/>
            <w:vAlign w:val="center"/>
          </w:tcPr>
          <w:p>
            <w:pPr>
              <w:pStyle w:val="36"/>
              <w:rPr>
                <w:color w:val="auto"/>
                <w:sz w:val="15"/>
                <w:szCs w:val="15"/>
              </w:rPr>
            </w:pPr>
            <w:r>
              <w:rPr>
                <w:rFonts w:hint="eastAsia"/>
                <w:color w:val="auto"/>
                <w:sz w:val="15"/>
                <w:szCs w:val="15"/>
              </w:rPr>
              <w:t>建筑电气</w:t>
            </w:r>
          </w:p>
        </w:tc>
        <w:tc>
          <w:tcPr>
            <w:tcW w:w="5879" w:type="dxa"/>
            <w:vAlign w:val="center"/>
          </w:tcPr>
          <w:p>
            <w:pPr>
              <w:pStyle w:val="36"/>
              <w:rPr>
                <w:color w:val="auto"/>
                <w:sz w:val="15"/>
                <w:szCs w:val="15"/>
              </w:rPr>
            </w:pPr>
            <w:r>
              <w:rPr>
                <w:rFonts w:hint="eastAsia"/>
                <w:color w:val="auto"/>
                <w:sz w:val="15"/>
                <w:szCs w:val="15"/>
              </w:rPr>
              <w:t>《建筑电气工程施工质量验收规范》</w:t>
            </w:r>
            <w:r>
              <w:rPr>
                <w:color w:val="auto"/>
                <w:sz w:val="15"/>
                <w:szCs w:val="15"/>
              </w:rPr>
              <w:t>GB 50303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8</w:t>
            </w:r>
          </w:p>
        </w:tc>
        <w:tc>
          <w:tcPr>
            <w:tcW w:w="2522" w:type="dxa"/>
            <w:vAlign w:val="center"/>
          </w:tcPr>
          <w:p>
            <w:pPr>
              <w:pStyle w:val="36"/>
              <w:rPr>
                <w:color w:val="auto"/>
                <w:sz w:val="15"/>
                <w:szCs w:val="15"/>
              </w:rPr>
            </w:pPr>
            <w:r>
              <w:rPr>
                <w:rFonts w:hint="eastAsia"/>
                <w:color w:val="auto"/>
                <w:sz w:val="15"/>
                <w:szCs w:val="15"/>
              </w:rPr>
              <w:t>智能建筑</w:t>
            </w:r>
          </w:p>
        </w:tc>
        <w:tc>
          <w:tcPr>
            <w:tcW w:w="5879" w:type="dxa"/>
            <w:vAlign w:val="center"/>
          </w:tcPr>
          <w:p>
            <w:pPr>
              <w:pStyle w:val="36"/>
              <w:rPr>
                <w:color w:val="auto"/>
                <w:sz w:val="15"/>
                <w:szCs w:val="15"/>
              </w:rPr>
            </w:pPr>
            <w:r>
              <w:rPr>
                <w:rFonts w:hint="eastAsia"/>
                <w:color w:val="auto"/>
                <w:sz w:val="15"/>
                <w:szCs w:val="15"/>
              </w:rPr>
              <w:t>《智能建筑工程质量验收规范》</w:t>
            </w:r>
            <w:r>
              <w:rPr>
                <w:color w:val="auto"/>
                <w:sz w:val="15"/>
                <w:szCs w:val="15"/>
              </w:rPr>
              <w:t>GB 5039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9</w:t>
            </w:r>
          </w:p>
        </w:tc>
        <w:tc>
          <w:tcPr>
            <w:tcW w:w="2522" w:type="dxa"/>
            <w:vAlign w:val="center"/>
          </w:tcPr>
          <w:p>
            <w:pPr>
              <w:pStyle w:val="36"/>
              <w:rPr>
                <w:color w:val="auto"/>
                <w:sz w:val="15"/>
                <w:szCs w:val="15"/>
              </w:rPr>
            </w:pPr>
            <w:r>
              <w:rPr>
                <w:rFonts w:hint="eastAsia"/>
                <w:color w:val="auto"/>
                <w:sz w:val="15"/>
                <w:szCs w:val="15"/>
              </w:rPr>
              <w:t>建筑节能</w:t>
            </w:r>
          </w:p>
        </w:tc>
        <w:tc>
          <w:tcPr>
            <w:tcW w:w="5879" w:type="dxa"/>
            <w:vAlign w:val="center"/>
          </w:tcPr>
          <w:p>
            <w:pPr>
              <w:pStyle w:val="36"/>
              <w:rPr>
                <w:color w:val="auto"/>
                <w:sz w:val="15"/>
                <w:szCs w:val="15"/>
              </w:rPr>
            </w:pPr>
            <w:r>
              <w:rPr>
                <w:rFonts w:hint="eastAsia"/>
                <w:color w:val="auto"/>
                <w:sz w:val="15"/>
                <w:szCs w:val="15"/>
              </w:rPr>
              <w:t>《建筑节能工程施工质量验收标准》</w:t>
            </w:r>
            <w:r>
              <w:rPr>
                <w:color w:val="auto"/>
                <w:sz w:val="15"/>
                <w:szCs w:val="15"/>
              </w:rPr>
              <w:t>GB 50411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dxa"/>
            <w:vAlign w:val="center"/>
          </w:tcPr>
          <w:p>
            <w:pPr>
              <w:pStyle w:val="36"/>
              <w:rPr>
                <w:color w:val="auto"/>
                <w:sz w:val="15"/>
                <w:szCs w:val="15"/>
              </w:rPr>
            </w:pPr>
            <w:r>
              <w:rPr>
                <w:rFonts w:hint="eastAsia"/>
                <w:color w:val="auto"/>
                <w:sz w:val="15"/>
                <w:szCs w:val="15"/>
              </w:rPr>
              <w:t>1</w:t>
            </w:r>
            <w:r>
              <w:rPr>
                <w:color w:val="auto"/>
                <w:sz w:val="15"/>
                <w:szCs w:val="15"/>
              </w:rPr>
              <w:t>0</w:t>
            </w:r>
          </w:p>
        </w:tc>
        <w:tc>
          <w:tcPr>
            <w:tcW w:w="2522" w:type="dxa"/>
            <w:vAlign w:val="center"/>
          </w:tcPr>
          <w:p>
            <w:pPr>
              <w:pStyle w:val="36"/>
              <w:rPr>
                <w:color w:val="auto"/>
                <w:sz w:val="15"/>
                <w:szCs w:val="15"/>
              </w:rPr>
            </w:pPr>
            <w:r>
              <w:rPr>
                <w:rFonts w:hint="eastAsia"/>
                <w:color w:val="auto"/>
                <w:sz w:val="15"/>
                <w:szCs w:val="15"/>
              </w:rPr>
              <w:t>电梯</w:t>
            </w:r>
          </w:p>
        </w:tc>
        <w:tc>
          <w:tcPr>
            <w:tcW w:w="5879" w:type="dxa"/>
            <w:vAlign w:val="center"/>
          </w:tcPr>
          <w:p>
            <w:pPr>
              <w:pStyle w:val="36"/>
              <w:rPr>
                <w:color w:val="auto"/>
                <w:sz w:val="15"/>
                <w:szCs w:val="15"/>
              </w:rPr>
            </w:pPr>
            <w:r>
              <w:rPr>
                <w:rFonts w:hint="eastAsia"/>
                <w:color w:val="auto"/>
                <w:sz w:val="15"/>
                <w:szCs w:val="15"/>
              </w:rPr>
              <w:t>《电梯工程施工质量验收规范》</w:t>
            </w:r>
            <w:r>
              <w:rPr>
                <w:color w:val="auto"/>
                <w:sz w:val="15"/>
                <w:szCs w:val="15"/>
              </w:rPr>
              <w:t>GB 50310</w:t>
            </w:r>
          </w:p>
        </w:tc>
      </w:tr>
    </w:tbl>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rFonts w:hint="eastAsia"/>
          <w:bCs/>
          <w:szCs w:val="21"/>
        </w:rPr>
        <w:t xml:space="preserve"> 部品部（构）件质量应符合国家现行有关标准的规定，并应具有产品标准、出厂检验合格证、质量保证书和使用说明书。同一厂家生产的同批材料、部品，用于同期施工且属于同一工程项目的多个单位工程，可合并进行进场验收。</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4</w:t>
      </w:r>
      <w:r>
        <w:rPr>
          <w:rFonts w:hint="eastAsia"/>
          <w:bCs/>
          <w:szCs w:val="21"/>
        </w:rPr>
        <w:t xml:space="preserve">  建筑主体结构分部验收，应符合下列规定：</w:t>
      </w:r>
    </w:p>
    <w:p>
      <w:pPr>
        <w:spacing w:line="240" w:lineRule="auto"/>
        <w:ind w:firstLine="421" w:firstLineChars="200"/>
        <w:rPr>
          <w:bCs/>
          <w:szCs w:val="21"/>
        </w:rPr>
      </w:pPr>
      <w:r>
        <w:rPr>
          <w:rFonts w:hint="eastAsia"/>
          <w:b/>
          <w:bCs/>
          <w:szCs w:val="21"/>
        </w:rPr>
        <w:t>1</w:t>
      </w:r>
      <w:r>
        <w:rPr>
          <w:rFonts w:hint="eastAsia"/>
          <w:bCs/>
          <w:szCs w:val="21"/>
        </w:rPr>
        <w:t xml:space="preserve">  分部工程、子分部工程、分项工程划分应符合表9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4的规定；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4</w:t>
      </w:r>
      <w:r>
        <w:rPr>
          <w:rFonts w:eastAsia="黑体" w:cs="黑体"/>
          <w:bCs/>
          <w:sz w:val="18"/>
          <w:szCs w:val="18"/>
        </w:rPr>
        <w:t xml:space="preserve">  建筑主体结构的分部工程、子分部工程、分项工程划分</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2267"/>
        <w:gridCol w:w="55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13" w:type="dxa"/>
            <w:vAlign w:val="center"/>
          </w:tcPr>
          <w:p>
            <w:pPr>
              <w:pStyle w:val="36"/>
              <w:rPr>
                <w:color w:val="auto"/>
                <w:sz w:val="15"/>
                <w:szCs w:val="15"/>
              </w:rPr>
            </w:pPr>
            <w:r>
              <w:rPr>
                <w:rFonts w:hint="eastAsia"/>
                <w:color w:val="auto"/>
                <w:sz w:val="15"/>
                <w:szCs w:val="15"/>
              </w:rPr>
              <w:t>子分部工程</w:t>
            </w:r>
          </w:p>
        </w:tc>
        <w:tc>
          <w:tcPr>
            <w:tcW w:w="1984" w:type="dxa"/>
            <w:vAlign w:val="center"/>
          </w:tcPr>
          <w:p>
            <w:pPr>
              <w:pStyle w:val="36"/>
              <w:rPr>
                <w:color w:val="auto"/>
                <w:sz w:val="15"/>
                <w:szCs w:val="15"/>
              </w:rPr>
            </w:pPr>
            <w:r>
              <w:rPr>
                <w:rFonts w:hint="eastAsia"/>
                <w:color w:val="auto"/>
                <w:sz w:val="15"/>
                <w:szCs w:val="15"/>
              </w:rPr>
              <w:t>分部工程</w:t>
            </w:r>
          </w:p>
        </w:tc>
        <w:tc>
          <w:tcPr>
            <w:tcW w:w="4899" w:type="dxa"/>
            <w:vAlign w:val="center"/>
          </w:tcPr>
          <w:p>
            <w:pPr>
              <w:pStyle w:val="36"/>
              <w:rPr>
                <w:color w:val="auto"/>
                <w:sz w:val="15"/>
                <w:szCs w:val="15"/>
              </w:rPr>
            </w:pPr>
            <w:r>
              <w:rPr>
                <w:rFonts w:hint="eastAsia"/>
                <w:color w:val="auto"/>
                <w:sz w:val="15"/>
                <w:szCs w:val="15"/>
              </w:rPr>
              <w:t>分项工程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13" w:type="dxa"/>
            <w:vMerge w:val="restart"/>
            <w:vAlign w:val="center"/>
          </w:tcPr>
          <w:p>
            <w:pPr>
              <w:pStyle w:val="36"/>
              <w:rPr>
                <w:color w:val="auto"/>
                <w:sz w:val="15"/>
                <w:szCs w:val="15"/>
              </w:rPr>
            </w:pPr>
            <w:r>
              <w:rPr>
                <w:rFonts w:hint="eastAsia"/>
                <w:color w:val="auto"/>
                <w:sz w:val="15"/>
                <w:szCs w:val="15"/>
              </w:rPr>
              <w:t>主体结构</w:t>
            </w:r>
          </w:p>
        </w:tc>
        <w:tc>
          <w:tcPr>
            <w:tcW w:w="1984" w:type="dxa"/>
            <w:vAlign w:val="center"/>
          </w:tcPr>
          <w:p>
            <w:pPr>
              <w:pStyle w:val="36"/>
              <w:rPr>
                <w:color w:val="auto"/>
                <w:sz w:val="15"/>
                <w:szCs w:val="15"/>
              </w:rPr>
            </w:pPr>
            <w:r>
              <w:rPr>
                <w:rFonts w:hint="eastAsia"/>
                <w:color w:val="auto"/>
                <w:sz w:val="15"/>
                <w:szCs w:val="15"/>
              </w:rPr>
              <w:t>楼板结构</w:t>
            </w:r>
          </w:p>
        </w:tc>
        <w:tc>
          <w:tcPr>
            <w:tcW w:w="4899" w:type="dxa"/>
            <w:vAlign w:val="center"/>
          </w:tcPr>
          <w:p>
            <w:pPr>
              <w:pStyle w:val="36"/>
              <w:rPr>
                <w:color w:val="auto"/>
                <w:sz w:val="15"/>
                <w:szCs w:val="15"/>
              </w:rPr>
            </w:pPr>
            <w:r>
              <w:rPr>
                <w:rFonts w:hint="eastAsia"/>
                <w:color w:val="auto"/>
                <w:sz w:val="15"/>
                <w:szCs w:val="15"/>
              </w:rPr>
              <w:t>压型金属板、钢筋桁架板、预制混凝土叠合楼板、模板、钢筋、混凝土、抗剪栓钉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13" w:type="dxa"/>
            <w:vMerge w:val="continue"/>
            <w:vAlign w:val="center"/>
          </w:tcPr>
          <w:p>
            <w:pPr>
              <w:pStyle w:val="36"/>
              <w:rPr>
                <w:color w:val="auto"/>
                <w:sz w:val="15"/>
                <w:szCs w:val="15"/>
              </w:rPr>
            </w:pPr>
          </w:p>
        </w:tc>
        <w:tc>
          <w:tcPr>
            <w:tcW w:w="1984" w:type="dxa"/>
            <w:vAlign w:val="center"/>
          </w:tcPr>
          <w:p>
            <w:pPr>
              <w:pStyle w:val="36"/>
              <w:rPr>
                <w:color w:val="auto"/>
                <w:sz w:val="15"/>
                <w:szCs w:val="15"/>
              </w:rPr>
            </w:pPr>
            <w:r>
              <w:rPr>
                <w:rFonts w:hint="eastAsia"/>
                <w:color w:val="auto"/>
                <w:sz w:val="15"/>
                <w:szCs w:val="15"/>
              </w:rPr>
              <w:t>钢管混凝土结构</w:t>
            </w:r>
          </w:p>
        </w:tc>
        <w:tc>
          <w:tcPr>
            <w:tcW w:w="4899" w:type="dxa"/>
            <w:vAlign w:val="center"/>
          </w:tcPr>
          <w:p>
            <w:pPr>
              <w:pStyle w:val="36"/>
              <w:rPr>
                <w:color w:val="auto"/>
                <w:sz w:val="15"/>
                <w:szCs w:val="15"/>
              </w:rPr>
            </w:pPr>
            <w:r>
              <w:rPr>
                <w:rFonts w:hint="eastAsia"/>
                <w:color w:val="auto"/>
                <w:sz w:val="15"/>
                <w:szCs w:val="15"/>
              </w:rPr>
              <w:t>钢管焊接，螺栓连接，钢筋，钢管制作、安装，混凝土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413" w:type="dxa"/>
            <w:vMerge w:val="continue"/>
            <w:vAlign w:val="center"/>
          </w:tcPr>
          <w:p>
            <w:pPr>
              <w:pStyle w:val="36"/>
              <w:rPr>
                <w:color w:val="auto"/>
                <w:sz w:val="15"/>
                <w:szCs w:val="15"/>
              </w:rPr>
            </w:pPr>
          </w:p>
        </w:tc>
        <w:tc>
          <w:tcPr>
            <w:tcW w:w="1984" w:type="dxa"/>
            <w:vAlign w:val="center"/>
          </w:tcPr>
          <w:p>
            <w:pPr>
              <w:pStyle w:val="36"/>
              <w:rPr>
                <w:color w:val="auto"/>
                <w:sz w:val="15"/>
                <w:szCs w:val="15"/>
              </w:rPr>
            </w:pPr>
            <w:r>
              <w:rPr>
                <w:rFonts w:hint="eastAsia"/>
                <w:color w:val="auto"/>
                <w:sz w:val="15"/>
                <w:szCs w:val="15"/>
              </w:rPr>
              <w:t>钢结构</w:t>
            </w:r>
          </w:p>
        </w:tc>
        <w:tc>
          <w:tcPr>
            <w:tcW w:w="4899" w:type="dxa"/>
            <w:vAlign w:val="center"/>
          </w:tcPr>
          <w:p>
            <w:pPr>
              <w:pStyle w:val="36"/>
              <w:rPr>
                <w:color w:val="auto"/>
                <w:sz w:val="15"/>
                <w:szCs w:val="15"/>
              </w:rPr>
            </w:pPr>
            <w:r>
              <w:rPr>
                <w:rFonts w:hint="eastAsia"/>
                <w:color w:val="auto"/>
                <w:sz w:val="15"/>
                <w:szCs w:val="15"/>
              </w:rPr>
              <w:t>钢结构焊接，紧固件连接，钢零部件加工，钢结构安装，钢结构涂装，钢部（构）件组装，钢部（构）件预拼装</w:t>
            </w:r>
          </w:p>
        </w:tc>
      </w:tr>
    </w:tbl>
    <w:p>
      <w:pPr>
        <w:spacing w:line="240" w:lineRule="auto"/>
        <w:ind w:firstLine="421" w:firstLineChars="200"/>
        <w:rPr>
          <w:bCs/>
          <w:szCs w:val="21"/>
        </w:rPr>
      </w:pPr>
      <w:r>
        <w:rPr>
          <w:rFonts w:hint="eastAsia"/>
          <w:b/>
          <w:bCs/>
          <w:szCs w:val="21"/>
        </w:rPr>
        <w:t xml:space="preserve">2 </w:t>
      </w:r>
      <w:r>
        <w:rPr>
          <w:rFonts w:hint="eastAsia"/>
          <w:bCs/>
          <w:szCs w:val="21"/>
        </w:rPr>
        <w:t xml:space="preserve"> 检验批可根据建筑装配式施工特征、后续施工安排和相关专业验收需要，按楼层、施工段、变形缝等进行划分；</w:t>
      </w:r>
    </w:p>
    <w:p>
      <w:pPr>
        <w:spacing w:line="240" w:lineRule="auto"/>
        <w:ind w:firstLine="421" w:firstLineChars="200"/>
        <w:rPr>
          <w:bCs/>
          <w:szCs w:val="21"/>
        </w:rPr>
      </w:pPr>
      <w:r>
        <w:rPr>
          <w:rFonts w:hint="eastAsia"/>
          <w:b/>
          <w:bCs/>
          <w:szCs w:val="21"/>
        </w:rPr>
        <w:t xml:space="preserve">3 </w:t>
      </w:r>
      <w:r>
        <w:rPr>
          <w:rFonts w:hint="eastAsia"/>
          <w:bCs/>
          <w:szCs w:val="21"/>
        </w:rPr>
        <w:t xml:space="preserve"> 分项工程可由一个或若干个检验批组成，且宜分层或分段验收；</w:t>
      </w:r>
    </w:p>
    <w:p>
      <w:pPr>
        <w:spacing w:line="240" w:lineRule="auto"/>
        <w:ind w:firstLine="421" w:firstLineChars="200"/>
        <w:rPr>
          <w:bCs/>
          <w:szCs w:val="21"/>
        </w:rPr>
      </w:pPr>
      <w:r>
        <w:rPr>
          <w:rFonts w:hint="eastAsia"/>
          <w:b/>
          <w:bCs/>
          <w:szCs w:val="21"/>
        </w:rPr>
        <w:t xml:space="preserve">4 </w:t>
      </w:r>
      <w:r>
        <w:rPr>
          <w:rFonts w:hint="eastAsia"/>
          <w:bCs/>
          <w:szCs w:val="21"/>
        </w:rPr>
        <w:t xml:space="preserve"> 子分部工程验收分段可按施工段划分，并应在主体结构工程验收前按实体和检验批验收，且应分别按主控项目和一般项目验收；</w:t>
      </w:r>
    </w:p>
    <w:p>
      <w:pPr>
        <w:spacing w:line="240" w:lineRule="auto"/>
        <w:ind w:firstLine="421" w:firstLineChars="200"/>
        <w:rPr>
          <w:bCs/>
          <w:szCs w:val="21"/>
        </w:rPr>
      </w:pPr>
      <w:r>
        <w:rPr>
          <w:rFonts w:hint="eastAsia"/>
          <w:b/>
          <w:bCs/>
          <w:szCs w:val="21"/>
        </w:rPr>
        <w:t xml:space="preserve">5 </w:t>
      </w:r>
      <w:r>
        <w:rPr>
          <w:rFonts w:hint="eastAsia"/>
          <w:bCs/>
          <w:szCs w:val="21"/>
        </w:rPr>
        <w:t xml:space="preserve"> 检验批、分项工程、子分部工程的验收程序应符合现行国家标准《建筑工程施工质量验收统一标准》GB</w:t>
      </w:r>
      <w:r>
        <w:rPr>
          <w:bCs/>
          <w:szCs w:val="21"/>
        </w:rPr>
        <w:t xml:space="preserve"> </w:t>
      </w:r>
      <w:r>
        <w:rPr>
          <w:rFonts w:hint="eastAsia"/>
          <w:bCs/>
          <w:szCs w:val="21"/>
        </w:rPr>
        <w:t>50300的有关规定；</w:t>
      </w:r>
    </w:p>
    <w:p>
      <w:pPr>
        <w:spacing w:line="240" w:lineRule="auto"/>
        <w:ind w:firstLine="421" w:firstLineChars="200"/>
        <w:rPr>
          <w:bCs/>
          <w:szCs w:val="21"/>
        </w:rPr>
      </w:pPr>
      <w:r>
        <w:rPr>
          <w:rFonts w:hint="eastAsia"/>
          <w:b/>
          <w:bCs/>
          <w:szCs w:val="21"/>
        </w:rPr>
        <w:t xml:space="preserve">6  </w:t>
      </w:r>
      <w:r>
        <w:rPr>
          <w:rFonts w:hint="eastAsia"/>
          <w:bCs/>
          <w:szCs w:val="21"/>
        </w:rPr>
        <w:t>分段验收段内全部子分部工程验收合格且结构实体检验合格，可认定该段主体分部工程验收合格。</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rFonts w:hint="eastAsia"/>
          <w:bCs/>
          <w:szCs w:val="21"/>
        </w:rPr>
        <w:t xml:space="preserve"> 主体结构安装质量检验，应符合下列规定：</w:t>
      </w:r>
    </w:p>
    <w:p>
      <w:pPr>
        <w:spacing w:line="240" w:lineRule="auto"/>
        <w:ind w:firstLine="421" w:firstLineChars="200"/>
        <w:rPr>
          <w:bCs/>
          <w:szCs w:val="21"/>
        </w:rPr>
      </w:pPr>
      <w:r>
        <w:rPr>
          <w:rFonts w:hint="eastAsia"/>
          <w:b/>
          <w:bCs/>
          <w:szCs w:val="21"/>
        </w:rPr>
        <w:t xml:space="preserve">1  </w:t>
      </w:r>
      <w:r>
        <w:rPr>
          <w:rFonts w:hint="eastAsia"/>
          <w:bCs/>
          <w:szCs w:val="21"/>
        </w:rPr>
        <w:t>建筑定位轴线、基础轴线和标高、柱的支承面、地脚螺栓（锚栓）位置，应符合设计要求，当设计无要求时，允许偏差应符合表9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5-1的规定；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5-1</w:t>
      </w:r>
      <w:r>
        <w:rPr>
          <w:rFonts w:eastAsia="黑体" w:cs="黑体"/>
          <w:bCs/>
          <w:sz w:val="18"/>
          <w:szCs w:val="18"/>
        </w:rPr>
        <w:t xml:space="preserve">  建筑定位轴线、基础轴线和标高、柱的支承面、地脚螺栓（锚栓）位置的允许偏差</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66"/>
        <w:gridCol w:w="2366"/>
        <w:gridCol w:w="4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gridSpan w:val="2"/>
            <w:vAlign w:val="center"/>
          </w:tcPr>
          <w:p>
            <w:pPr>
              <w:pStyle w:val="36"/>
              <w:rPr>
                <w:color w:val="auto"/>
                <w:sz w:val="15"/>
                <w:szCs w:val="15"/>
              </w:rPr>
            </w:pPr>
            <w:r>
              <w:rPr>
                <w:rFonts w:hint="eastAsia"/>
                <w:color w:val="auto"/>
                <w:sz w:val="15"/>
                <w:szCs w:val="15"/>
              </w:rPr>
              <w:t>检验项目</w:t>
            </w:r>
          </w:p>
        </w:tc>
        <w:tc>
          <w:tcPr>
            <w:tcW w:w="4624" w:type="dxa"/>
            <w:vAlign w:val="center"/>
          </w:tcPr>
          <w:p>
            <w:pPr>
              <w:pStyle w:val="36"/>
              <w:rPr>
                <w:color w:val="auto"/>
                <w:sz w:val="15"/>
                <w:szCs w:val="15"/>
              </w:rPr>
            </w:pPr>
            <w:r>
              <w:rPr>
                <w:rFonts w:hint="eastAsia"/>
                <w:color w:val="auto"/>
                <w:sz w:val="15"/>
                <w:szCs w:val="15"/>
              </w:rPr>
              <w:t>允许偏差</w:t>
            </w:r>
            <w:r>
              <w:rPr>
                <w:color w:val="auto"/>
                <w:sz w:val="15"/>
                <w:szCs w:val="15"/>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gridSpan w:val="2"/>
            <w:vAlign w:val="center"/>
          </w:tcPr>
          <w:p>
            <w:pPr>
              <w:pStyle w:val="36"/>
              <w:rPr>
                <w:color w:val="auto"/>
                <w:sz w:val="15"/>
                <w:szCs w:val="15"/>
              </w:rPr>
            </w:pPr>
            <w:r>
              <w:rPr>
                <w:rFonts w:hint="eastAsia"/>
                <w:color w:val="auto"/>
                <w:sz w:val="15"/>
                <w:szCs w:val="15"/>
              </w:rPr>
              <w:t>建筑定位轴线</w:t>
            </w:r>
          </w:p>
        </w:tc>
        <w:tc>
          <w:tcPr>
            <w:tcW w:w="4624" w:type="dxa"/>
            <w:vAlign w:val="center"/>
          </w:tcPr>
          <w:p>
            <w:pPr>
              <w:pStyle w:val="36"/>
              <w:rPr>
                <w:color w:val="auto"/>
                <w:sz w:val="15"/>
                <w:szCs w:val="15"/>
              </w:rPr>
            </w:pPr>
            <w:r>
              <w:rPr>
                <w:color w:val="auto"/>
                <w:sz w:val="15"/>
                <w:szCs w:val="15"/>
              </w:rPr>
              <w:t>L/2000，且不应大于3</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gridSpan w:val="2"/>
            <w:vAlign w:val="center"/>
          </w:tcPr>
          <w:p>
            <w:pPr>
              <w:pStyle w:val="36"/>
              <w:rPr>
                <w:color w:val="auto"/>
                <w:sz w:val="15"/>
                <w:szCs w:val="15"/>
              </w:rPr>
            </w:pPr>
            <w:r>
              <w:rPr>
                <w:rFonts w:hint="eastAsia"/>
                <w:color w:val="auto"/>
                <w:sz w:val="15"/>
                <w:szCs w:val="15"/>
              </w:rPr>
              <w:t>基础定位轴线</w:t>
            </w:r>
          </w:p>
        </w:tc>
        <w:tc>
          <w:tcPr>
            <w:tcW w:w="4624" w:type="dxa"/>
            <w:vAlign w:val="center"/>
          </w:tcPr>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05" w:type="dxa"/>
            <w:vAlign w:val="center"/>
          </w:tcPr>
          <w:p>
            <w:pPr>
              <w:pStyle w:val="36"/>
              <w:rPr>
                <w:color w:val="auto"/>
                <w:sz w:val="15"/>
                <w:szCs w:val="15"/>
              </w:rPr>
            </w:pPr>
            <w:r>
              <w:rPr>
                <w:rFonts w:hint="eastAsia"/>
                <w:color w:val="auto"/>
                <w:sz w:val="15"/>
                <w:szCs w:val="15"/>
              </w:rPr>
              <w:t>支承面</w:t>
            </w:r>
          </w:p>
        </w:tc>
        <w:tc>
          <w:tcPr>
            <w:tcW w:w="2305" w:type="dxa"/>
            <w:vAlign w:val="center"/>
          </w:tcPr>
          <w:p>
            <w:pPr>
              <w:pStyle w:val="36"/>
              <w:rPr>
                <w:color w:val="auto"/>
                <w:sz w:val="15"/>
                <w:szCs w:val="15"/>
              </w:rPr>
            </w:pPr>
            <w:r>
              <w:rPr>
                <w:rFonts w:hint="eastAsia"/>
                <w:color w:val="auto"/>
                <w:sz w:val="15"/>
                <w:szCs w:val="15"/>
              </w:rPr>
              <w:t>标高</w:t>
            </w:r>
          </w:p>
        </w:tc>
        <w:tc>
          <w:tcPr>
            <w:tcW w:w="4624" w:type="dxa"/>
            <w:vAlign w:val="center"/>
          </w:tcPr>
          <w:p>
            <w:pPr>
              <w:pStyle w:val="36"/>
              <w:rPr>
                <w:color w:val="auto"/>
                <w:sz w:val="15"/>
                <w:szCs w:val="15"/>
              </w:rPr>
            </w:pPr>
            <w:r>
              <w:rPr>
                <w:rFonts w:hint="eastAsia"/>
                <w:color w:val="auto"/>
                <w:sz w:val="15"/>
                <w:szCs w:val="15"/>
              </w:rPr>
              <w:t>±</w:t>
            </w:r>
            <w:r>
              <w:rPr>
                <w:color w:val="auto"/>
                <w:sz w:val="15"/>
                <w:szCs w:val="15"/>
              </w:rPr>
              <w:t>3</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gridSpan w:val="2"/>
            <w:vAlign w:val="center"/>
          </w:tcPr>
          <w:p>
            <w:pPr>
              <w:pStyle w:val="36"/>
              <w:rPr>
                <w:color w:val="auto"/>
                <w:sz w:val="15"/>
                <w:szCs w:val="15"/>
              </w:rPr>
            </w:pPr>
            <w:r>
              <w:rPr>
                <w:rFonts w:hint="eastAsia"/>
                <w:color w:val="auto"/>
                <w:sz w:val="15"/>
                <w:szCs w:val="15"/>
              </w:rPr>
              <w:t>水平度</w:t>
            </w:r>
          </w:p>
        </w:tc>
        <w:tc>
          <w:tcPr>
            <w:tcW w:w="4624" w:type="dxa"/>
            <w:vAlign w:val="center"/>
          </w:tcPr>
          <w:p>
            <w:pPr>
              <w:pStyle w:val="36"/>
              <w:rPr>
                <w:color w:val="auto"/>
                <w:sz w:val="15"/>
                <w:szCs w:val="15"/>
              </w:rPr>
            </w:pPr>
            <w:r>
              <w:rPr>
                <w:color w:val="auto"/>
                <w:sz w:val="15"/>
                <w:szCs w:val="15"/>
              </w:rPr>
              <w:t>L/1000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gridSpan w:val="2"/>
            <w:vAlign w:val="center"/>
          </w:tcPr>
          <w:p>
            <w:pPr>
              <w:pStyle w:val="36"/>
              <w:rPr>
                <w:color w:val="auto"/>
                <w:sz w:val="15"/>
                <w:szCs w:val="15"/>
              </w:rPr>
            </w:pPr>
            <w:r>
              <w:rPr>
                <w:rFonts w:hint="eastAsia"/>
                <w:color w:val="auto"/>
                <w:sz w:val="15"/>
                <w:szCs w:val="15"/>
              </w:rPr>
              <w:t>基础上柱底标高</w:t>
            </w:r>
          </w:p>
        </w:tc>
        <w:tc>
          <w:tcPr>
            <w:tcW w:w="4624" w:type="dxa"/>
            <w:vAlign w:val="center"/>
          </w:tcPr>
          <w:p>
            <w:pPr>
              <w:pStyle w:val="36"/>
              <w:rPr>
                <w:color w:val="auto"/>
                <w:sz w:val="15"/>
                <w:szCs w:val="15"/>
              </w:rPr>
            </w:pPr>
            <w:r>
              <w:rPr>
                <w:rFonts w:hint="eastAsia"/>
                <w:color w:val="auto"/>
                <w:sz w:val="15"/>
                <w:szCs w:val="15"/>
              </w:rPr>
              <w:t>±</w:t>
            </w:r>
            <w:r>
              <w:rPr>
                <w:color w:val="auto"/>
                <w:sz w:val="15"/>
                <w:szCs w:val="15"/>
              </w:rPr>
              <w:t>2</w:t>
            </w:r>
            <w:r>
              <w:rPr>
                <w:rFonts w:ascii="宋体" w:hAnsi="宋体"/>
                <w:b/>
                <w:color w:val="auto"/>
                <w:szCs w:val="15"/>
              </w:rPr>
              <w:t>.</w:t>
            </w:r>
            <w:r>
              <w:rPr>
                <w:color w:val="auto"/>
                <w:sz w:val="15"/>
                <w:szCs w:val="15"/>
              </w:rPr>
              <w:t>0</w:t>
            </w:r>
          </w:p>
        </w:tc>
      </w:tr>
    </w:tbl>
    <w:p>
      <w:pPr>
        <w:spacing w:line="240" w:lineRule="auto"/>
        <w:ind w:left="-6"/>
        <w:jc w:val="center"/>
        <w:rPr>
          <w:rFonts w:eastAsia="黑体" w:cs="黑体"/>
          <w:bCs/>
          <w:sz w:val="18"/>
          <w:szCs w:val="18"/>
        </w:rPr>
      </w:pPr>
      <w:r>
        <w:rPr>
          <w:rFonts w:hint="eastAsia" w:eastAsia="黑体" w:cs="黑体"/>
          <w:bCs/>
          <w:sz w:val="18"/>
          <w:szCs w:val="18"/>
        </w:rPr>
        <w:t>续表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5-1</w:t>
      </w:r>
      <w:r>
        <w:rPr>
          <w:rFonts w:eastAsia="黑体" w:cs="黑体"/>
          <w:bCs/>
          <w:sz w:val="18"/>
          <w:szCs w:val="18"/>
        </w:rPr>
        <w:t xml:space="preserve">  建筑定位轴线、基础轴线和标高、柱的支承面、地脚螺栓（锚栓）位置的允许偏差</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33"/>
        <w:gridCol w:w="4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vAlign w:val="center"/>
          </w:tcPr>
          <w:p>
            <w:pPr>
              <w:pStyle w:val="36"/>
              <w:rPr>
                <w:color w:val="auto"/>
                <w:sz w:val="15"/>
                <w:szCs w:val="15"/>
              </w:rPr>
            </w:pPr>
            <w:r>
              <w:rPr>
                <w:rFonts w:hint="eastAsia"/>
                <w:color w:val="auto"/>
                <w:sz w:val="15"/>
                <w:szCs w:val="15"/>
              </w:rPr>
              <w:t>检验项目</w:t>
            </w:r>
          </w:p>
        </w:tc>
        <w:tc>
          <w:tcPr>
            <w:tcW w:w="4624" w:type="dxa"/>
            <w:vAlign w:val="center"/>
          </w:tcPr>
          <w:p>
            <w:pPr>
              <w:pStyle w:val="36"/>
              <w:rPr>
                <w:color w:val="auto"/>
                <w:sz w:val="15"/>
                <w:szCs w:val="15"/>
              </w:rPr>
            </w:pPr>
            <w:r>
              <w:rPr>
                <w:rFonts w:hint="eastAsia"/>
                <w:color w:val="auto"/>
                <w:sz w:val="15"/>
                <w:szCs w:val="15"/>
              </w:rPr>
              <w:t>允许偏差</w:t>
            </w:r>
            <w:r>
              <w:rPr>
                <w:color w:val="auto"/>
                <w:sz w:val="15"/>
                <w:szCs w:val="15"/>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vAlign w:val="center"/>
          </w:tcPr>
          <w:p>
            <w:pPr>
              <w:pStyle w:val="36"/>
              <w:rPr>
                <w:color w:val="auto"/>
                <w:sz w:val="15"/>
                <w:szCs w:val="15"/>
              </w:rPr>
            </w:pPr>
            <w:r>
              <w:rPr>
                <w:rFonts w:hint="eastAsia"/>
                <w:color w:val="auto"/>
                <w:sz w:val="15"/>
                <w:szCs w:val="15"/>
              </w:rPr>
              <w:t>地脚螺栓（栓）位移</w:t>
            </w:r>
          </w:p>
        </w:tc>
        <w:tc>
          <w:tcPr>
            <w:tcW w:w="4624" w:type="dxa"/>
            <w:vAlign w:val="center"/>
          </w:tcPr>
          <w:p>
            <w:pPr>
              <w:pStyle w:val="36"/>
              <w:rPr>
                <w:color w:val="auto"/>
                <w:sz w:val="15"/>
                <w:szCs w:val="15"/>
              </w:rPr>
            </w:pPr>
            <w:r>
              <w:rPr>
                <w:color w:val="auto"/>
                <w:sz w:val="15"/>
                <w:szCs w:val="15"/>
              </w:rPr>
              <w:t>5</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10" w:type="dxa"/>
            <w:vAlign w:val="center"/>
          </w:tcPr>
          <w:p>
            <w:pPr>
              <w:pStyle w:val="36"/>
              <w:rPr>
                <w:color w:val="auto"/>
                <w:sz w:val="15"/>
                <w:szCs w:val="15"/>
              </w:rPr>
            </w:pPr>
            <w:r>
              <w:rPr>
                <w:rFonts w:hint="eastAsia"/>
                <w:color w:val="auto"/>
                <w:sz w:val="15"/>
                <w:szCs w:val="15"/>
              </w:rPr>
              <w:t>预留孔中心偏移</w:t>
            </w:r>
          </w:p>
        </w:tc>
        <w:tc>
          <w:tcPr>
            <w:tcW w:w="4624" w:type="dxa"/>
            <w:vAlign w:val="center"/>
          </w:tcPr>
          <w:p>
            <w:pPr>
              <w:pStyle w:val="36"/>
              <w:rPr>
                <w:color w:val="auto"/>
                <w:sz w:val="15"/>
                <w:szCs w:val="15"/>
              </w:rPr>
            </w:pPr>
            <w:r>
              <w:rPr>
                <w:color w:val="auto"/>
                <w:sz w:val="15"/>
                <w:szCs w:val="15"/>
              </w:rPr>
              <w:t>10</w:t>
            </w:r>
            <w:r>
              <w:rPr>
                <w:rFonts w:ascii="宋体" w:hAnsi="宋体"/>
                <w:b/>
                <w:color w:val="auto"/>
                <w:szCs w:val="15"/>
              </w:rPr>
              <w:t>.</w:t>
            </w:r>
            <w:r>
              <w:rPr>
                <w:color w:val="auto"/>
                <w:sz w:val="15"/>
                <w:szCs w:val="15"/>
              </w:rPr>
              <w:t>0</w:t>
            </w:r>
          </w:p>
        </w:tc>
      </w:tr>
    </w:tbl>
    <w:p>
      <w:pPr>
        <w:pStyle w:val="36"/>
        <w:widowControl w:val="0"/>
        <w:ind w:firstLine="420" w:firstLineChars="200"/>
        <w:jc w:val="both"/>
        <w:rPr>
          <w:color w:val="auto"/>
        </w:rPr>
      </w:pPr>
      <w:r>
        <w:rPr>
          <w:rFonts w:hint="eastAsia"/>
          <w:color w:val="auto"/>
        </w:rPr>
        <w:t>注：</w:t>
      </w:r>
      <w:r>
        <w:rPr>
          <w:color w:val="auto"/>
        </w:rPr>
        <w:t>L为轴线间距。</w:t>
      </w:r>
    </w:p>
    <w:p>
      <w:pPr>
        <w:spacing w:line="240" w:lineRule="auto"/>
        <w:ind w:firstLine="421" w:firstLineChars="200"/>
        <w:rPr>
          <w:bCs/>
          <w:szCs w:val="21"/>
        </w:rPr>
      </w:pPr>
      <w:r>
        <w:rPr>
          <w:rFonts w:hint="eastAsia"/>
          <w:b/>
          <w:bCs/>
          <w:szCs w:val="21"/>
        </w:rPr>
        <w:t xml:space="preserve">2  </w:t>
      </w:r>
      <w:r>
        <w:rPr>
          <w:rFonts w:hint="eastAsia"/>
          <w:bCs/>
          <w:szCs w:val="21"/>
        </w:rPr>
        <w:t>钢柱安装的允许偏差，应符合表9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5-2的规定；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5-2</w:t>
      </w:r>
      <w:r>
        <w:rPr>
          <w:rFonts w:eastAsia="黑体" w:cs="黑体"/>
          <w:bCs/>
          <w:sz w:val="18"/>
          <w:szCs w:val="18"/>
        </w:rPr>
        <w:t xml:space="preserve">  </w:t>
      </w:r>
      <w:r>
        <w:rPr>
          <w:rFonts w:hint="eastAsia" w:eastAsia="黑体" w:cs="黑体"/>
          <w:bCs/>
          <w:sz w:val="18"/>
          <w:szCs w:val="18"/>
        </w:rPr>
        <w:t>钢</w:t>
      </w:r>
      <w:r>
        <w:rPr>
          <w:rFonts w:eastAsia="黑体" w:cs="黑体"/>
          <w:bCs/>
          <w:sz w:val="18"/>
          <w:szCs w:val="18"/>
        </w:rPr>
        <w:t>柱安装的允许偏差</w:t>
      </w:r>
    </w:p>
    <w:tbl>
      <w:tblPr>
        <w:tblStyle w:val="19"/>
        <w:tblW w:w="501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581"/>
        <w:gridCol w:w="1624"/>
        <w:gridCol w:w="47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pStyle w:val="36"/>
              <w:rPr>
                <w:color w:val="auto"/>
                <w:sz w:val="15"/>
                <w:szCs w:val="15"/>
              </w:rPr>
            </w:pPr>
            <w:r>
              <w:rPr>
                <w:rFonts w:hint="eastAsia"/>
                <w:color w:val="auto"/>
                <w:sz w:val="15"/>
                <w:szCs w:val="15"/>
              </w:rPr>
              <w:t>检验项</w:t>
            </w:r>
          </w:p>
        </w:tc>
        <w:tc>
          <w:tcPr>
            <w:tcW w:w="4135" w:type="dxa"/>
            <w:vAlign w:val="center"/>
          </w:tcPr>
          <w:p>
            <w:pPr>
              <w:pStyle w:val="36"/>
              <w:rPr>
                <w:color w:val="auto"/>
                <w:sz w:val="15"/>
                <w:szCs w:val="15"/>
              </w:rPr>
            </w:pPr>
            <w:r>
              <w:rPr>
                <w:rFonts w:hint="eastAsia"/>
                <w:color w:val="auto"/>
                <w:sz w:val="15"/>
                <w:szCs w:val="15"/>
              </w:rPr>
              <w:t>允许偏差（</w:t>
            </w:r>
            <w:r>
              <w:rPr>
                <w:color w:val="auto"/>
                <w:sz w:val="15"/>
                <w:szCs w:val="15"/>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pStyle w:val="36"/>
              <w:rPr>
                <w:color w:val="auto"/>
                <w:sz w:val="15"/>
                <w:szCs w:val="15"/>
              </w:rPr>
            </w:pPr>
            <w:r>
              <w:rPr>
                <w:rFonts w:hint="eastAsia"/>
                <w:color w:val="auto"/>
                <w:sz w:val="15"/>
                <w:szCs w:val="15"/>
              </w:rPr>
              <w:t>底层柱柱底轴线对定位轴线偏移</w:t>
            </w:r>
          </w:p>
        </w:tc>
        <w:tc>
          <w:tcPr>
            <w:tcW w:w="4135"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pStyle w:val="36"/>
              <w:rPr>
                <w:color w:val="auto"/>
                <w:sz w:val="15"/>
                <w:szCs w:val="15"/>
              </w:rPr>
            </w:pPr>
            <w:r>
              <w:rPr>
                <w:rFonts w:hint="eastAsia"/>
                <w:color w:val="auto"/>
                <w:sz w:val="15"/>
                <w:szCs w:val="15"/>
              </w:rPr>
              <w:t>柱子定位轴线</w:t>
            </w:r>
          </w:p>
        </w:tc>
        <w:tc>
          <w:tcPr>
            <w:tcW w:w="4135" w:type="dxa"/>
            <w:vAlign w:val="center"/>
          </w:tcPr>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pStyle w:val="36"/>
              <w:rPr>
                <w:color w:val="auto"/>
                <w:sz w:val="15"/>
                <w:szCs w:val="15"/>
              </w:rPr>
            </w:pPr>
            <w:r>
              <w:rPr>
                <w:rFonts w:hint="eastAsia"/>
                <w:color w:val="auto"/>
                <w:sz w:val="15"/>
                <w:szCs w:val="15"/>
              </w:rPr>
              <w:t>上下柱连接处的错口</w:t>
            </w:r>
          </w:p>
        </w:tc>
        <w:tc>
          <w:tcPr>
            <w:tcW w:w="4135"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pStyle w:val="36"/>
              <w:rPr>
                <w:color w:val="auto"/>
                <w:sz w:val="15"/>
                <w:szCs w:val="15"/>
              </w:rPr>
            </w:pPr>
            <w:r>
              <w:rPr>
                <w:rFonts w:hint="eastAsia"/>
                <w:color w:val="auto"/>
                <w:sz w:val="15"/>
                <w:szCs w:val="15"/>
              </w:rPr>
              <w:t>同一层柱的各柱顶高度差</w:t>
            </w:r>
          </w:p>
        </w:tc>
        <w:tc>
          <w:tcPr>
            <w:tcW w:w="4135" w:type="dxa"/>
            <w:vAlign w:val="center"/>
          </w:tcPr>
          <w:p>
            <w:pPr>
              <w:pStyle w:val="36"/>
              <w:rPr>
                <w:color w:val="auto"/>
                <w:sz w:val="15"/>
                <w:szCs w:val="15"/>
              </w:rPr>
            </w:pPr>
            <w:r>
              <w:rPr>
                <w:rFonts w:hint="eastAsia"/>
                <w:color w:val="auto"/>
                <w:sz w:val="15"/>
                <w:szCs w:val="15"/>
              </w:rPr>
              <w:t>5</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3" w:type="dxa"/>
            <w:vMerge w:val="restart"/>
            <w:vAlign w:val="center"/>
          </w:tcPr>
          <w:p>
            <w:pPr>
              <w:pStyle w:val="36"/>
              <w:rPr>
                <w:color w:val="auto"/>
                <w:sz w:val="15"/>
                <w:szCs w:val="15"/>
              </w:rPr>
            </w:pPr>
            <w:r>
              <w:rPr>
                <w:rFonts w:hint="eastAsia"/>
                <w:color w:val="auto"/>
                <w:sz w:val="15"/>
                <w:szCs w:val="15"/>
              </w:rPr>
              <w:t>单节柱的垂直度</w:t>
            </w:r>
          </w:p>
        </w:tc>
        <w:tc>
          <w:tcPr>
            <w:tcW w:w="1384" w:type="dxa"/>
            <w:vMerge w:val="restart"/>
            <w:vAlign w:val="center"/>
          </w:tcPr>
          <w:p>
            <w:pPr>
              <w:pStyle w:val="36"/>
              <w:rPr>
                <w:color w:val="auto"/>
                <w:sz w:val="15"/>
                <w:szCs w:val="15"/>
              </w:rPr>
            </w:pPr>
            <w:r>
              <w:rPr>
                <w:rFonts w:hint="eastAsia"/>
                <w:color w:val="auto"/>
                <w:sz w:val="15"/>
                <w:szCs w:val="15"/>
              </w:rPr>
              <w:t>单层柱</w:t>
            </w:r>
          </w:p>
        </w:tc>
        <w:tc>
          <w:tcPr>
            <w:tcW w:w="1419" w:type="dxa"/>
            <w:vAlign w:val="center"/>
          </w:tcPr>
          <w:p>
            <w:pPr>
              <w:pStyle w:val="36"/>
              <w:rPr>
                <w:color w:val="auto"/>
                <w:sz w:val="15"/>
                <w:szCs w:val="15"/>
              </w:rPr>
            </w:pPr>
            <w:r>
              <w:rPr>
                <w:rFonts w:hint="eastAsia"/>
                <w:color w:val="auto"/>
                <w:sz w:val="15"/>
                <w:szCs w:val="15"/>
              </w:rPr>
              <w:t>H≤1</w:t>
            </w:r>
            <w:r>
              <w:rPr>
                <w:color w:val="auto"/>
                <w:sz w:val="15"/>
                <w:szCs w:val="15"/>
              </w:rPr>
              <w:t>0</w:t>
            </w:r>
            <w:r>
              <w:rPr>
                <w:rFonts w:hint="eastAsia"/>
                <w:color w:val="auto"/>
                <w:sz w:val="15"/>
                <w:szCs w:val="15"/>
              </w:rPr>
              <w:t>m</w:t>
            </w:r>
          </w:p>
        </w:tc>
        <w:tc>
          <w:tcPr>
            <w:tcW w:w="4135" w:type="dxa"/>
            <w:vAlign w:val="center"/>
          </w:tcPr>
          <w:p>
            <w:pPr>
              <w:pStyle w:val="36"/>
              <w:rPr>
                <w:color w:val="auto"/>
                <w:sz w:val="15"/>
                <w:szCs w:val="15"/>
              </w:rPr>
            </w:pPr>
            <w:r>
              <w:rPr>
                <w:color w:val="auto"/>
                <w:sz w:val="15"/>
                <w:szCs w:val="15"/>
              </w:rPr>
              <w:t>H/1000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3" w:type="dxa"/>
            <w:vMerge w:val="continue"/>
            <w:vAlign w:val="center"/>
          </w:tcPr>
          <w:p>
            <w:pPr>
              <w:pStyle w:val="36"/>
              <w:rPr>
                <w:color w:val="auto"/>
                <w:sz w:val="15"/>
                <w:szCs w:val="15"/>
              </w:rPr>
            </w:pPr>
          </w:p>
        </w:tc>
        <w:tc>
          <w:tcPr>
            <w:tcW w:w="1384" w:type="dxa"/>
            <w:vMerge w:val="continue"/>
            <w:vAlign w:val="center"/>
          </w:tcPr>
          <w:p>
            <w:pPr>
              <w:pStyle w:val="36"/>
              <w:rPr>
                <w:color w:val="auto"/>
                <w:sz w:val="15"/>
                <w:szCs w:val="15"/>
              </w:rPr>
            </w:pPr>
          </w:p>
        </w:tc>
        <w:tc>
          <w:tcPr>
            <w:tcW w:w="1419" w:type="dxa"/>
            <w:vAlign w:val="center"/>
          </w:tcPr>
          <w:p>
            <w:pPr>
              <w:pStyle w:val="36"/>
              <w:rPr>
                <w:color w:val="auto"/>
                <w:sz w:val="15"/>
                <w:szCs w:val="15"/>
              </w:rPr>
            </w:pPr>
            <w:r>
              <w:rPr>
                <w:color w:val="auto"/>
                <w:sz w:val="15"/>
                <w:szCs w:val="15"/>
              </w:rPr>
              <w:t>H&gt;10m</w:t>
            </w:r>
          </w:p>
        </w:tc>
        <w:tc>
          <w:tcPr>
            <w:tcW w:w="4135" w:type="dxa"/>
            <w:vAlign w:val="center"/>
          </w:tcPr>
          <w:p>
            <w:pPr>
              <w:pStyle w:val="36"/>
              <w:rPr>
                <w:color w:val="auto"/>
                <w:sz w:val="15"/>
                <w:szCs w:val="15"/>
              </w:rPr>
            </w:pPr>
            <w:r>
              <w:rPr>
                <w:color w:val="auto"/>
                <w:sz w:val="15"/>
                <w:szCs w:val="15"/>
              </w:rPr>
              <w:t>H/1000，且不应大于10</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3" w:type="dxa"/>
            <w:vMerge w:val="continue"/>
            <w:vAlign w:val="center"/>
          </w:tcPr>
          <w:p>
            <w:pPr>
              <w:pStyle w:val="36"/>
              <w:rPr>
                <w:color w:val="auto"/>
                <w:sz w:val="15"/>
                <w:szCs w:val="15"/>
              </w:rPr>
            </w:pPr>
          </w:p>
        </w:tc>
        <w:tc>
          <w:tcPr>
            <w:tcW w:w="1384" w:type="dxa"/>
            <w:vMerge w:val="restart"/>
            <w:vAlign w:val="center"/>
          </w:tcPr>
          <w:p>
            <w:pPr>
              <w:pStyle w:val="36"/>
              <w:rPr>
                <w:color w:val="auto"/>
                <w:sz w:val="15"/>
                <w:szCs w:val="15"/>
              </w:rPr>
            </w:pPr>
            <w:r>
              <w:rPr>
                <w:rFonts w:hint="eastAsia"/>
                <w:color w:val="auto"/>
                <w:sz w:val="15"/>
                <w:szCs w:val="15"/>
              </w:rPr>
              <w:t>多节柱</w:t>
            </w:r>
          </w:p>
        </w:tc>
        <w:tc>
          <w:tcPr>
            <w:tcW w:w="1419" w:type="dxa"/>
            <w:vAlign w:val="center"/>
          </w:tcPr>
          <w:p>
            <w:pPr>
              <w:pStyle w:val="36"/>
              <w:rPr>
                <w:color w:val="auto"/>
                <w:sz w:val="15"/>
                <w:szCs w:val="15"/>
              </w:rPr>
            </w:pPr>
            <w:r>
              <w:rPr>
                <w:rFonts w:hint="eastAsia"/>
                <w:color w:val="auto"/>
                <w:sz w:val="15"/>
                <w:szCs w:val="15"/>
              </w:rPr>
              <w:t>单节柱</w:t>
            </w:r>
          </w:p>
        </w:tc>
        <w:tc>
          <w:tcPr>
            <w:tcW w:w="4135" w:type="dxa"/>
            <w:vAlign w:val="center"/>
          </w:tcPr>
          <w:p>
            <w:pPr>
              <w:pStyle w:val="36"/>
              <w:rPr>
                <w:color w:val="auto"/>
                <w:sz w:val="15"/>
                <w:szCs w:val="15"/>
              </w:rPr>
            </w:pPr>
            <w:r>
              <w:rPr>
                <w:rFonts w:hint="eastAsia"/>
                <w:color w:val="auto"/>
                <w:sz w:val="15"/>
                <w:szCs w:val="15"/>
              </w:rPr>
              <w:t>h</w:t>
            </w:r>
            <w:r>
              <w:rPr>
                <w:color w:val="auto"/>
                <w:sz w:val="15"/>
                <w:szCs w:val="15"/>
              </w:rPr>
              <w:t>/1000，且不应大于10</w:t>
            </w:r>
            <w:r>
              <w:rPr>
                <w:rFonts w:ascii="宋体" w:hAnsi="宋体"/>
                <w:b/>
                <w:color w:val="auto"/>
                <w:szCs w:val="15"/>
              </w:rPr>
              <w:t>.</w:t>
            </w:r>
            <w:r>
              <w:rPr>
                <w:color w:val="auto"/>
                <w:sz w:val="15"/>
                <w:szCs w:val="15"/>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83" w:type="dxa"/>
            <w:vMerge w:val="continue"/>
            <w:vAlign w:val="center"/>
          </w:tcPr>
          <w:p>
            <w:pPr>
              <w:pStyle w:val="36"/>
              <w:rPr>
                <w:color w:val="auto"/>
                <w:sz w:val="15"/>
                <w:szCs w:val="15"/>
              </w:rPr>
            </w:pPr>
          </w:p>
        </w:tc>
        <w:tc>
          <w:tcPr>
            <w:tcW w:w="1384" w:type="dxa"/>
            <w:vMerge w:val="continue"/>
            <w:vAlign w:val="center"/>
          </w:tcPr>
          <w:p>
            <w:pPr>
              <w:pStyle w:val="36"/>
              <w:rPr>
                <w:color w:val="auto"/>
                <w:sz w:val="15"/>
                <w:szCs w:val="15"/>
              </w:rPr>
            </w:pPr>
          </w:p>
        </w:tc>
        <w:tc>
          <w:tcPr>
            <w:tcW w:w="1419" w:type="dxa"/>
            <w:vAlign w:val="center"/>
          </w:tcPr>
          <w:p>
            <w:pPr>
              <w:pStyle w:val="36"/>
              <w:rPr>
                <w:color w:val="auto"/>
                <w:sz w:val="15"/>
                <w:szCs w:val="15"/>
              </w:rPr>
            </w:pPr>
            <w:r>
              <w:rPr>
                <w:rFonts w:hint="eastAsia"/>
                <w:color w:val="auto"/>
                <w:sz w:val="15"/>
                <w:szCs w:val="15"/>
              </w:rPr>
              <w:t>柱全高</w:t>
            </w:r>
          </w:p>
        </w:tc>
        <w:tc>
          <w:tcPr>
            <w:tcW w:w="4135" w:type="dxa"/>
            <w:vAlign w:val="center"/>
          </w:tcPr>
          <w:p>
            <w:pPr>
              <w:pStyle w:val="36"/>
              <w:rPr>
                <w:color w:val="auto"/>
                <w:sz w:val="15"/>
                <w:szCs w:val="15"/>
              </w:rPr>
            </w:pPr>
            <w:r>
              <w:rPr>
                <w:rFonts w:hint="eastAsia"/>
                <w:color w:val="auto"/>
                <w:sz w:val="15"/>
                <w:szCs w:val="15"/>
              </w:rPr>
              <w:t>1</w:t>
            </w:r>
            <w:r>
              <w:rPr>
                <w:color w:val="auto"/>
                <w:sz w:val="15"/>
                <w:szCs w:val="15"/>
              </w:rPr>
              <w:t>5</w:t>
            </w:r>
            <w:r>
              <w:rPr>
                <w:rFonts w:ascii="宋体" w:hAnsi="宋体"/>
                <w:b/>
                <w:color w:val="auto"/>
                <w:szCs w:val="15"/>
              </w:rPr>
              <w:t>.</w:t>
            </w:r>
            <w:r>
              <w:rPr>
                <w:color w:val="auto"/>
                <w:sz w:val="15"/>
                <w:szCs w:val="15"/>
              </w:rPr>
              <w:t>0</w:t>
            </w:r>
          </w:p>
        </w:tc>
      </w:tr>
    </w:tbl>
    <w:p>
      <w:pPr>
        <w:spacing w:line="240" w:lineRule="auto"/>
        <w:ind w:firstLine="420" w:firstLineChars="200"/>
      </w:pPr>
      <w:r>
        <w:rPr>
          <w:rFonts w:hint="eastAsia"/>
        </w:rPr>
        <w:t>注</w:t>
      </w:r>
      <w:r>
        <w:t>:</w:t>
      </w:r>
      <w:r>
        <w:rPr>
          <w:rFonts w:hint="eastAsia"/>
        </w:rPr>
        <w:t>H</w:t>
      </w:r>
      <w:r>
        <w:t>为单层柱高度；</w:t>
      </w:r>
      <w:r>
        <w:rPr>
          <w:rFonts w:hint="eastAsia"/>
        </w:rPr>
        <w:t>h</w:t>
      </w:r>
      <w:r>
        <w:t>为多节柱中单节柱的高度</w:t>
      </w:r>
    </w:p>
    <w:p>
      <w:pPr>
        <w:spacing w:line="240" w:lineRule="auto"/>
        <w:ind w:firstLine="421" w:firstLineChars="200"/>
        <w:rPr>
          <w:bCs/>
          <w:szCs w:val="21"/>
        </w:rPr>
      </w:pPr>
      <w:r>
        <w:rPr>
          <w:rFonts w:hint="eastAsia"/>
          <w:b/>
          <w:bCs/>
          <w:szCs w:val="21"/>
        </w:rPr>
        <w:t xml:space="preserve">3  </w:t>
      </w:r>
      <w:r>
        <w:rPr>
          <w:rFonts w:hint="eastAsia"/>
          <w:bCs/>
          <w:szCs w:val="21"/>
        </w:rPr>
        <w:t>主体结构的整体垂直度和整体平面弯曲偏差，应符合现行国家标准《钢结构工程施工质量验收标准》GB</w:t>
      </w:r>
      <w:r>
        <w:rPr>
          <w:bCs/>
          <w:szCs w:val="21"/>
        </w:rPr>
        <w:t xml:space="preserve"> </w:t>
      </w:r>
      <w:r>
        <w:rPr>
          <w:rFonts w:hint="eastAsia"/>
          <w:bCs/>
          <w:szCs w:val="21"/>
        </w:rPr>
        <w:t>50205的归定。</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6 </w:t>
      </w:r>
      <w:r>
        <w:rPr>
          <w:rFonts w:hint="eastAsia"/>
          <w:bCs/>
          <w:szCs w:val="21"/>
        </w:rPr>
        <w:t xml:space="preserve"> 外围护系统的施工质量应按一个分部工程验收，该分部工程应包含外墙、内墙、屋面和门窗等若干个分项工程。</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7 </w:t>
      </w:r>
      <w:r>
        <w:rPr>
          <w:rFonts w:hint="eastAsia"/>
          <w:bCs/>
          <w:szCs w:val="21"/>
        </w:rPr>
        <w:t xml:space="preserve"> 外围护墙体质量检验，应符合下列规定：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外围护墙体部品部（构）件出厂应有原材料质保书、原材料复验报告和出厂合格证，其性能应满足设计要求；</w:t>
      </w:r>
    </w:p>
    <w:p>
      <w:pPr>
        <w:spacing w:line="240" w:lineRule="auto"/>
        <w:ind w:firstLine="421" w:firstLineChars="200"/>
        <w:rPr>
          <w:bCs/>
          <w:szCs w:val="21"/>
        </w:rPr>
      </w:pPr>
      <w:r>
        <w:rPr>
          <w:rFonts w:hint="eastAsia"/>
          <w:b/>
          <w:bCs/>
          <w:szCs w:val="21"/>
        </w:rPr>
        <w:t xml:space="preserve">2 </w:t>
      </w:r>
      <w:r>
        <w:rPr>
          <w:rFonts w:hint="eastAsia"/>
          <w:bCs/>
          <w:szCs w:val="21"/>
        </w:rPr>
        <w:t xml:space="preserve"> 外挂墙板安装尺寸允许偏差及检验方法应符合表9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7-1的规定：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7-1</w:t>
      </w:r>
      <w:r>
        <w:rPr>
          <w:rFonts w:eastAsia="黑体" w:cs="黑体"/>
          <w:bCs/>
          <w:sz w:val="18"/>
          <w:szCs w:val="18"/>
        </w:rPr>
        <w:t xml:space="preserve">  外挂墙板安装尺寸允许偏差及检验方法</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400"/>
        <w:gridCol w:w="654"/>
        <w:gridCol w:w="1054"/>
        <w:gridCol w:w="3160"/>
        <w:gridCol w:w="3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5" w:type="dxa"/>
            <w:gridSpan w:val="4"/>
            <w:vAlign w:val="center"/>
          </w:tcPr>
          <w:p>
            <w:pPr>
              <w:pStyle w:val="36"/>
              <w:rPr>
                <w:color w:val="auto"/>
                <w:sz w:val="15"/>
                <w:szCs w:val="15"/>
              </w:rPr>
            </w:pPr>
            <w:r>
              <w:rPr>
                <w:rFonts w:hint="eastAsia"/>
                <w:color w:val="auto"/>
                <w:sz w:val="15"/>
                <w:szCs w:val="15"/>
              </w:rPr>
              <w:t>检验方法</w:t>
            </w:r>
          </w:p>
        </w:tc>
        <w:tc>
          <w:tcPr>
            <w:tcW w:w="2765" w:type="dxa"/>
            <w:vAlign w:val="center"/>
          </w:tcPr>
          <w:p>
            <w:pPr>
              <w:pStyle w:val="36"/>
              <w:rPr>
                <w:color w:val="auto"/>
                <w:sz w:val="15"/>
                <w:szCs w:val="15"/>
              </w:rPr>
            </w:pPr>
            <w:r>
              <w:rPr>
                <w:rFonts w:hint="eastAsia"/>
                <w:color w:val="auto"/>
                <w:sz w:val="15"/>
                <w:szCs w:val="15"/>
              </w:rPr>
              <w:t>允许偏差（</w:t>
            </w:r>
            <w:r>
              <w:rPr>
                <w:color w:val="auto"/>
                <w:sz w:val="15"/>
                <w:szCs w:val="15"/>
              </w:rPr>
              <w:t>mm）</w:t>
            </w:r>
          </w:p>
        </w:tc>
        <w:tc>
          <w:tcPr>
            <w:tcW w:w="2766" w:type="dxa"/>
            <w:vAlign w:val="center"/>
          </w:tcPr>
          <w:p>
            <w:pPr>
              <w:pStyle w:val="36"/>
              <w:rPr>
                <w:color w:val="auto"/>
                <w:sz w:val="15"/>
                <w:szCs w:val="15"/>
              </w:rPr>
            </w:pPr>
            <w:r>
              <w:rPr>
                <w:rFonts w:hint="eastAsia"/>
                <w:color w:val="auto"/>
                <w:sz w:val="15"/>
                <w:szCs w:val="15"/>
              </w:rPr>
              <w:t>检验项目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5" w:type="dxa"/>
            <w:gridSpan w:val="4"/>
            <w:vAlign w:val="center"/>
          </w:tcPr>
          <w:p>
            <w:pPr>
              <w:pStyle w:val="36"/>
              <w:rPr>
                <w:color w:val="auto"/>
                <w:sz w:val="15"/>
                <w:szCs w:val="15"/>
              </w:rPr>
            </w:pPr>
            <w:r>
              <w:rPr>
                <w:rFonts w:hint="eastAsia"/>
                <w:color w:val="auto"/>
                <w:sz w:val="15"/>
                <w:szCs w:val="15"/>
              </w:rPr>
              <w:t>中心线对轴线位置</w:t>
            </w:r>
          </w:p>
        </w:tc>
        <w:tc>
          <w:tcPr>
            <w:tcW w:w="2765"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5" w:type="dxa"/>
            <w:gridSpan w:val="4"/>
            <w:vAlign w:val="center"/>
          </w:tcPr>
          <w:p>
            <w:pPr>
              <w:pStyle w:val="36"/>
              <w:rPr>
                <w:color w:val="auto"/>
                <w:sz w:val="15"/>
                <w:szCs w:val="15"/>
              </w:rPr>
            </w:pPr>
            <w:r>
              <w:rPr>
                <w:rFonts w:hint="eastAsia"/>
                <w:color w:val="auto"/>
                <w:sz w:val="15"/>
                <w:szCs w:val="15"/>
              </w:rPr>
              <w:t>标高</w:t>
            </w:r>
          </w:p>
        </w:tc>
        <w:tc>
          <w:tcPr>
            <w:tcW w:w="2765" w:type="dxa"/>
            <w:vAlign w:val="center"/>
          </w:tcPr>
          <w:p>
            <w:pPr>
              <w:pStyle w:val="36"/>
              <w:rPr>
                <w:color w:val="auto"/>
                <w:sz w:val="15"/>
                <w:szCs w:val="15"/>
              </w:rPr>
            </w:pPr>
            <w:r>
              <w:rPr>
                <w:rFonts w:hint="eastAsia"/>
                <w:color w:val="auto"/>
                <w:sz w:val="15"/>
                <w:szCs w:val="15"/>
              </w:rPr>
              <w:t>±</w:t>
            </w:r>
            <w:r>
              <w:rPr>
                <w:color w:val="auto"/>
                <w:sz w:val="15"/>
                <w:szCs w:val="15"/>
              </w:rPr>
              <w:t>3</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水准仪或尺量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1" w:type="dxa"/>
            <w:vMerge w:val="restart"/>
            <w:vAlign w:val="center"/>
          </w:tcPr>
          <w:p>
            <w:pPr>
              <w:pStyle w:val="36"/>
              <w:rPr>
                <w:color w:val="auto"/>
                <w:sz w:val="15"/>
                <w:szCs w:val="15"/>
              </w:rPr>
            </w:pPr>
            <w:r>
              <w:rPr>
                <w:rFonts w:hint="eastAsia"/>
                <w:color w:val="auto"/>
                <w:sz w:val="15"/>
                <w:szCs w:val="15"/>
              </w:rPr>
              <w:t>垂直度</w:t>
            </w:r>
          </w:p>
        </w:tc>
        <w:tc>
          <w:tcPr>
            <w:tcW w:w="922" w:type="dxa"/>
            <w:gridSpan w:val="2"/>
            <w:vMerge w:val="restart"/>
            <w:vAlign w:val="center"/>
          </w:tcPr>
          <w:p>
            <w:pPr>
              <w:pStyle w:val="36"/>
              <w:rPr>
                <w:color w:val="auto"/>
                <w:sz w:val="15"/>
                <w:szCs w:val="15"/>
              </w:rPr>
            </w:pPr>
            <w:r>
              <w:rPr>
                <w:rFonts w:hint="eastAsia"/>
                <w:color w:val="auto"/>
                <w:sz w:val="15"/>
                <w:szCs w:val="15"/>
              </w:rPr>
              <w:t>每层</w:t>
            </w:r>
          </w:p>
        </w:tc>
        <w:tc>
          <w:tcPr>
            <w:tcW w:w="922" w:type="dxa"/>
            <w:vAlign w:val="center"/>
          </w:tcPr>
          <w:p>
            <w:pPr>
              <w:pStyle w:val="36"/>
              <w:rPr>
                <w:color w:val="auto"/>
                <w:sz w:val="15"/>
                <w:szCs w:val="15"/>
              </w:rPr>
            </w:pPr>
            <w:r>
              <w:rPr>
                <w:rFonts w:hint="eastAsia"/>
                <w:color w:val="auto"/>
                <w:sz w:val="15"/>
                <w:szCs w:val="15"/>
              </w:rPr>
              <w:t>≤</w:t>
            </w:r>
            <w:r>
              <w:rPr>
                <w:color w:val="auto"/>
                <w:sz w:val="15"/>
                <w:szCs w:val="15"/>
              </w:rPr>
              <w:t>3m</w:t>
            </w:r>
          </w:p>
        </w:tc>
        <w:tc>
          <w:tcPr>
            <w:tcW w:w="2765"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全站仪或经纬仪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1" w:type="dxa"/>
            <w:vMerge w:val="continue"/>
            <w:vAlign w:val="center"/>
          </w:tcPr>
          <w:p>
            <w:pPr>
              <w:pStyle w:val="36"/>
              <w:rPr>
                <w:color w:val="auto"/>
                <w:sz w:val="15"/>
                <w:szCs w:val="15"/>
              </w:rPr>
            </w:pPr>
          </w:p>
        </w:tc>
        <w:tc>
          <w:tcPr>
            <w:tcW w:w="922" w:type="dxa"/>
            <w:gridSpan w:val="2"/>
            <w:vMerge w:val="continue"/>
            <w:vAlign w:val="center"/>
          </w:tcPr>
          <w:p>
            <w:pPr>
              <w:pStyle w:val="36"/>
              <w:rPr>
                <w:color w:val="auto"/>
                <w:sz w:val="15"/>
                <w:szCs w:val="15"/>
              </w:rPr>
            </w:pPr>
          </w:p>
        </w:tc>
        <w:tc>
          <w:tcPr>
            <w:tcW w:w="922" w:type="dxa"/>
            <w:vAlign w:val="center"/>
          </w:tcPr>
          <w:p>
            <w:pPr>
              <w:pStyle w:val="36"/>
              <w:rPr>
                <w:color w:val="auto"/>
                <w:sz w:val="15"/>
                <w:szCs w:val="15"/>
              </w:rPr>
            </w:pPr>
            <w:r>
              <w:rPr>
                <w:rFonts w:hint="eastAsia"/>
                <w:color w:val="auto"/>
                <w:sz w:val="15"/>
                <w:szCs w:val="15"/>
              </w:rPr>
              <w:t>＞</w:t>
            </w:r>
            <w:r>
              <w:rPr>
                <w:color w:val="auto"/>
                <w:sz w:val="15"/>
                <w:szCs w:val="15"/>
              </w:rPr>
              <w:t>3m</w:t>
            </w:r>
          </w:p>
        </w:tc>
        <w:tc>
          <w:tcPr>
            <w:tcW w:w="2765" w:type="dxa"/>
            <w:vAlign w:val="center"/>
          </w:tcPr>
          <w:p>
            <w:pPr>
              <w:pStyle w:val="36"/>
              <w:rPr>
                <w:color w:val="auto"/>
                <w:sz w:val="15"/>
                <w:szCs w:val="15"/>
              </w:rPr>
            </w:pPr>
            <w:r>
              <w:rPr>
                <w:color w:val="auto"/>
                <w:sz w:val="15"/>
                <w:szCs w:val="15"/>
              </w:rPr>
              <w:t>5</w:t>
            </w:r>
            <w:r>
              <w:rPr>
                <w:rFonts w:ascii="宋体" w:hAnsi="宋体"/>
                <w:b/>
                <w:color w:val="auto"/>
                <w:szCs w:val="15"/>
              </w:rPr>
              <w:t>.</w:t>
            </w:r>
            <w:r>
              <w:rPr>
                <w:color w:val="auto"/>
                <w:sz w:val="15"/>
                <w:szCs w:val="15"/>
              </w:rPr>
              <w:t>0</w:t>
            </w:r>
          </w:p>
        </w:tc>
        <w:tc>
          <w:tcPr>
            <w:tcW w:w="2766" w:type="dxa"/>
            <w:vMerge w:val="restart"/>
            <w:vAlign w:val="center"/>
          </w:tcPr>
          <w:p>
            <w:pPr>
              <w:pStyle w:val="36"/>
              <w:rPr>
                <w:color w:val="auto"/>
                <w:sz w:val="15"/>
                <w:szCs w:val="15"/>
              </w:rPr>
            </w:pPr>
            <w:r>
              <w:rPr>
                <w:rFonts w:hint="eastAsia"/>
                <w:color w:val="auto"/>
                <w:sz w:val="15"/>
                <w:szCs w:val="15"/>
              </w:rPr>
              <w:t>全站仪或经纬仪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1" w:type="dxa"/>
            <w:vMerge w:val="continue"/>
            <w:vAlign w:val="center"/>
          </w:tcPr>
          <w:p>
            <w:pPr>
              <w:pStyle w:val="36"/>
              <w:rPr>
                <w:color w:val="auto"/>
                <w:sz w:val="15"/>
                <w:szCs w:val="15"/>
              </w:rPr>
            </w:pPr>
          </w:p>
        </w:tc>
        <w:tc>
          <w:tcPr>
            <w:tcW w:w="922" w:type="dxa"/>
            <w:gridSpan w:val="2"/>
            <w:vMerge w:val="restart"/>
            <w:vAlign w:val="center"/>
          </w:tcPr>
          <w:p>
            <w:pPr>
              <w:pStyle w:val="36"/>
              <w:rPr>
                <w:color w:val="auto"/>
                <w:sz w:val="15"/>
                <w:szCs w:val="15"/>
              </w:rPr>
            </w:pPr>
            <w:r>
              <w:rPr>
                <w:rFonts w:hint="eastAsia"/>
                <w:color w:val="auto"/>
                <w:sz w:val="15"/>
                <w:szCs w:val="15"/>
              </w:rPr>
              <w:t>全高</w:t>
            </w:r>
          </w:p>
        </w:tc>
        <w:tc>
          <w:tcPr>
            <w:tcW w:w="922" w:type="dxa"/>
            <w:vAlign w:val="center"/>
          </w:tcPr>
          <w:p>
            <w:pPr>
              <w:pStyle w:val="36"/>
              <w:rPr>
                <w:color w:val="auto"/>
                <w:sz w:val="15"/>
                <w:szCs w:val="15"/>
              </w:rPr>
            </w:pPr>
            <w:r>
              <w:rPr>
                <w:rFonts w:hint="eastAsia"/>
                <w:color w:val="auto"/>
                <w:sz w:val="15"/>
                <w:szCs w:val="15"/>
              </w:rPr>
              <w:t>≤</w:t>
            </w:r>
            <w:r>
              <w:rPr>
                <w:color w:val="auto"/>
                <w:sz w:val="15"/>
                <w:szCs w:val="15"/>
              </w:rPr>
              <w:t>10m</w:t>
            </w:r>
          </w:p>
        </w:tc>
        <w:tc>
          <w:tcPr>
            <w:tcW w:w="2765" w:type="dxa"/>
            <w:vAlign w:val="center"/>
          </w:tcPr>
          <w:p>
            <w:pPr>
              <w:pStyle w:val="36"/>
              <w:rPr>
                <w:color w:val="auto"/>
                <w:sz w:val="15"/>
                <w:szCs w:val="15"/>
              </w:rPr>
            </w:pPr>
            <w:r>
              <w:rPr>
                <w:rFonts w:hint="eastAsia"/>
                <w:color w:val="auto"/>
                <w:sz w:val="15"/>
                <w:szCs w:val="15"/>
              </w:rPr>
              <w:t>5</w:t>
            </w:r>
            <w:r>
              <w:rPr>
                <w:rFonts w:ascii="宋体" w:hAnsi="宋体"/>
                <w:b/>
                <w:color w:val="auto"/>
                <w:szCs w:val="15"/>
              </w:rPr>
              <w:t>.</w:t>
            </w:r>
            <w:r>
              <w:rPr>
                <w:color w:val="auto"/>
                <w:sz w:val="15"/>
                <w:szCs w:val="15"/>
              </w:rPr>
              <w:t>0</w:t>
            </w:r>
          </w:p>
        </w:tc>
        <w:tc>
          <w:tcPr>
            <w:tcW w:w="2766" w:type="dxa"/>
            <w:vMerge w:val="continue"/>
            <w:vAlign w:val="center"/>
          </w:tcPr>
          <w:p>
            <w:pPr>
              <w:pStyle w:val="36"/>
              <w:rPr>
                <w:color w:val="auto"/>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1" w:type="dxa"/>
            <w:vMerge w:val="continue"/>
            <w:vAlign w:val="center"/>
          </w:tcPr>
          <w:p>
            <w:pPr>
              <w:pStyle w:val="36"/>
              <w:rPr>
                <w:color w:val="auto"/>
                <w:sz w:val="15"/>
                <w:szCs w:val="15"/>
              </w:rPr>
            </w:pPr>
          </w:p>
        </w:tc>
        <w:tc>
          <w:tcPr>
            <w:tcW w:w="922" w:type="dxa"/>
            <w:gridSpan w:val="2"/>
            <w:vMerge w:val="continue"/>
            <w:vAlign w:val="center"/>
          </w:tcPr>
          <w:p>
            <w:pPr>
              <w:pStyle w:val="36"/>
              <w:rPr>
                <w:color w:val="auto"/>
                <w:sz w:val="15"/>
                <w:szCs w:val="15"/>
              </w:rPr>
            </w:pPr>
          </w:p>
        </w:tc>
        <w:tc>
          <w:tcPr>
            <w:tcW w:w="922" w:type="dxa"/>
            <w:vAlign w:val="center"/>
          </w:tcPr>
          <w:p>
            <w:pPr>
              <w:pStyle w:val="36"/>
              <w:rPr>
                <w:color w:val="auto"/>
                <w:sz w:val="15"/>
                <w:szCs w:val="15"/>
              </w:rPr>
            </w:pPr>
            <w:r>
              <w:rPr>
                <w:rFonts w:hint="eastAsia"/>
                <w:color w:val="auto"/>
                <w:sz w:val="15"/>
                <w:szCs w:val="15"/>
              </w:rPr>
              <w:t>＞</w:t>
            </w:r>
            <w:r>
              <w:rPr>
                <w:color w:val="auto"/>
                <w:sz w:val="15"/>
                <w:szCs w:val="15"/>
              </w:rPr>
              <w:t>10m</w:t>
            </w:r>
          </w:p>
        </w:tc>
        <w:tc>
          <w:tcPr>
            <w:tcW w:w="2765" w:type="dxa"/>
            <w:vAlign w:val="center"/>
          </w:tcPr>
          <w:p>
            <w:pPr>
              <w:pStyle w:val="36"/>
              <w:rPr>
                <w:color w:val="auto"/>
                <w:sz w:val="15"/>
                <w:szCs w:val="15"/>
              </w:rPr>
            </w:pPr>
            <w:r>
              <w:rPr>
                <w:rFonts w:hint="eastAsia"/>
                <w:color w:val="auto"/>
                <w:sz w:val="15"/>
                <w:szCs w:val="15"/>
              </w:rPr>
              <w:t>1</w:t>
            </w:r>
            <w:r>
              <w:rPr>
                <w:color w:val="auto"/>
                <w:sz w:val="15"/>
                <w:szCs w:val="15"/>
              </w:rPr>
              <w:t>0</w:t>
            </w:r>
            <w:r>
              <w:rPr>
                <w:rFonts w:ascii="宋体" w:hAnsi="宋体"/>
                <w:b/>
                <w:color w:val="auto"/>
                <w:szCs w:val="15"/>
              </w:rPr>
              <w:t>.</w:t>
            </w:r>
            <w:r>
              <w:rPr>
                <w:color w:val="auto"/>
                <w:sz w:val="15"/>
                <w:szCs w:val="15"/>
              </w:rPr>
              <w:t>0</w:t>
            </w:r>
          </w:p>
        </w:tc>
        <w:tc>
          <w:tcPr>
            <w:tcW w:w="2766" w:type="dxa"/>
            <w:vMerge w:val="continue"/>
            <w:vAlign w:val="center"/>
          </w:tcPr>
          <w:p>
            <w:pPr>
              <w:pStyle w:val="36"/>
              <w:rPr>
                <w:color w:val="auto"/>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5" w:type="dxa"/>
            <w:gridSpan w:val="4"/>
            <w:vAlign w:val="center"/>
          </w:tcPr>
          <w:p>
            <w:pPr>
              <w:pStyle w:val="36"/>
              <w:rPr>
                <w:color w:val="auto"/>
                <w:sz w:val="15"/>
                <w:szCs w:val="15"/>
              </w:rPr>
            </w:pPr>
            <w:r>
              <w:rPr>
                <w:rFonts w:hint="eastAsia"/>
                <w:color w:val="auto"/>
                <w:sz w:val="15"/>
                <w:szCs w:val="15"/>
              </w:rPr>
              <w:t>相邻单元板平整度</w:t>
            </w:r>
          </w:p>
        </w:tc>
        <w:tc>
          <w:tcPr>
            <w:tcW w:w="2765" w:type="dxa"/>
            <w:vAlign w:val="center"/>
          </w:tcPr>
          <w:p>
            <w:pPr>
              <w:pStyle w:val="36"/>
              <w:rPr>
                <w:color w:val="auto"/>
                <w:sz w:val="15"/>
                <w:szCs w:val="15"/>
              </w:rPr>
            </w:pPr>
            <w:r>
              <w:rPr>
                <w:rFonts w:hint="eastAsia"/>
                <w:color w:val="auto"/>
                <w:sz w:val="15"/>
                <w:szCs w:val="15"/>
              </w:rPr>
              <w:t>2</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钢尺、塞尺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71" w:type="dxa"/>
            <w:gridSpan w:val="2"/>
            <w:vMerge w:val="restart"/>
            <w:vAlign w:val="center"/>
          </w:tcPr>
          <w:p>
            <w:pPr>
              <w:pStyle w:val="36"/>
              <w:rPr>
                <w:color w:val="auto"/>
                <w:sz w:val="15"/>
                <w:szCs w:val="15"/>
              </w:rPr>
            </w:pPr>
            <w:r>
              <w:rPr>
                <w:rFonts w:hint="eastAsia"/>
                <w:color w:val="auto"/>
                <w:sz w:val="15"/>
                <w:szCs w:val="15"/>
              </w:rPr>
              <w:t>板接缝</w:t>
            </w:r>
          </w:p>
        </w:tc>
        <w:tc>
          <w:tcPr>
            <w:tcW w:w="1494" w:type="dxa"/>
            <w:gridSpan w:val="2"/>
            <w:vAlign w:val="center"/>
          </w:tcPr>
          <w:p>
            <w:pPr>
              <w:pStyle w:val="36"/>
              <w:rPr>
                <w:color w:val="auto"/>
                <w:sz w:val="15"/>
                <w:szCs w:val="15"/>
              </w:rPr>
            </w:pPr>
            <w:r>
              <w:rPr>
                <w:rFonts w:hint="eastAsia"/>
                <w:color w:val="auto"/>
                <w:sz w:val="15"/>
                <w:szCs w:val="15"/>
              </w:rPr>
              <w:t>宽度</w:t>
            </w:r>
          </w:p>
        </w:tc>
        <w:tc>
          <w:tcPr>
            <w:tcW w:w="2765" w:type="dxa"/>
            <w:vMerge w:val="restart"/>
            <w:vAlign w:val="center"/>
          </w:tcPr>
          <w:p>
            <w:pPr>
              <w:pStyle w:val="36"/>
              <w:rPr>
                <w:color w:val="auto"/>
                <w:sz w:val="15"/>
                <w:szCs w:val="15"/>
              </w:rPr>
            </w:pPr>
            <w:r>
              <w:rPr>
                <w:rFonts w:hint="eastAsia"/>
                <w:color w:val="auto"/>
                <w:sz w:val="15"/>
                <w:szCs w:val="15"/>
              </w:rPr>
              <w:t>±</w:t>
            </w:r>
            <w:r>
              <w:rPr>
                <w:color w:val="auto"/>
                <w:sz w:val="15"/>
                <w:szCs w:val="15"/>
              </w:rPr>
              <w:t>3</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71" w:type="dxa"/>
            <w:gridSpan w:val="2"/>
            <w:vMerge w:val="continue"/>
            <w:vAlign w:val="center"/>
          </w:tcPr>
          <w:p>
            <w:pPr>
              <w:pStyle w:val="36"/>
              <w:rPr>
                <w:color w:val="auto"/>
                <w:sz w:val="15"/>
                <w:szCs w:val="15"/>
              </w:rPr>
            </w:pPr>
          </w:p>
        </w:tc>
        <w:tc>
          <w:tcPr>
            <w:tcW w:w="1494" w:type="dxa"/>
            <w:gridSpan w:val="2"/>
            <w:vAlign w:val="center"/>
          </w:tcPr>
          <w:p>
            <w:pPr>
              <w:pStyle w:val="36"/>
              <w:rPr>
                <w:color w:val="auto"/>
                <w:sz w:val="15"/>
                <w:szCs w:val="15"/>
              </w:rPr>
            </w:pPr>
            <w:r>
              <w:rPr>
                <w:rFonts w:hint="eastAsia"/>
                <w:color w:val="auto"/>
                <w:sz w:val="15"/>
                <w:szCs w:val="15"/>
              </w:rPr>
              <w:t>中心线位置</w:t>
            </w:r>
          </w:p>
        </w:tc>
        <w:tc>
          <w:tcPr>
            <w:tcW w:w="2765" w:type="dxa"/>
            <w:vMerge w:val="continue"/>
            <w:vAlign w:val="center"/>
          </w:tcPr>
          <w:p>
            <w:pPr>
              <w:pStyle w:val="36"/>
              <w:rPr>
                <w:color w:val="auto"/>
                <w:sz w:val="15"/>
                <w:szCs w:val="15"/>
              </w:rPr>
            </w:pPr>
          </w:p>
        </w:tc>
        <w:tc>
          <w:tcPr>
            <w:tcW w:w="2766" w:type="dxa"/>
            <w:vAlign w:val="center"/>
          </w:tcPr>
          <w:p>
            <w:pPr>
              <w:pStyle w:val="36"/>
              <w:rPr>
                <w:color w:val="auto"/>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5" w:type="dxa"/>
            <w:gridSpan w:val="4"/>
            <w:vAlign w:val="center"/>
          </w:tcPr>
          <w:p>
            <w:pPr>
              <w:pStyle w:val="36"/>
              <w:rPr>
                <w:color w:val="auto"/>
                <w:sz w:val="15"/>
                <w:szCs w:val="15"/>
              </w:rPr>
            </w:pPr>
            <w:r>
              <w:rPr>
                <w:rFonts w:hint="eastAsia"/>
                <w:color w:val="auto"/>
                <w:sz w:val="15"/>
                <w:szCs w:val="15"/>
              </w:rPr>
              <w:t>门窗洞口尺寸</w:t>
            </w:r>
          </w:p>
        </w:tc>
        <w:tc>
          <w:tcPr>
            <w:tcW w:w="2765" w:type="dxa"/>
            <w:vAlign w:val="center"/>
          </w:tcPr>
          <w:p>
            <w:pPr>
              <w:pStyle w:val="36"/>
              <w:rPr>
                <w:color w:val="auto"/>
                <w:sz w:val="15"/>
                <w:szCs w:val="15"/>
              </w:rPr>
            </w:pPr>
            <w:r>
              <w:rPr>
                <w:rFonts w:hint="eastAsia"/>
                <w:color w:val="auto"/>
                <w:sz w:val="15"/>
                <w:szCs w:val="15"/>
              </w:rPr>
              <w:t>±</w:t>
            </w:r>
            <w:r>
              <w:rPr>
                <w:color w:val="auto"/>
                <w:sz w:val="15"/>
                <w:szCs w:val="15"/>
              </w:rPr>
              <w:t>5</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5" w:type="dxa"/>
            <w:gridSpan w:val="4"/>
            <w:vAlign w:val="center"/>
          </w:tcPr>
          <w:p>
            <w:pPr>
              <w:pStyle w:val="36"/>
              <w:rPr>
                <w:color w:val="auto"/>
                <w:sz w:val="15"/>
                <w:szCs w:val="15"/>
              </w:rPr>
            </w:pPr>
            <w:r>
              <w:rPr>
                <w:rFonts w:hint="eastAsia"/>
                <w:color w:val="auto"/>
                <w:sz w:val="15"/>
                <w:szCs w:val="15"/>
              </w:rPr>
              <w:t>上下层门窗洞口偏移</w:t>
            </w:r>
          </w:p>
        </w:tc>
        <w:tc>
          <w:tcPr>
            <w:tcW w:w="2765" w:type="dxa"/>
            <w:vAlign w:val="center"/>
          </w:tcPr>
          <w:p>
            <w:pPr>
              <w:pStyle w:val="36"/>
              <w:rPr>
                <w:color w:val="auto"/>
                <w:sz w:val="15"/>
                <w:szCs w:val="15"/>
              </w:rPr>
            </w:pPr>
            <w:r>
              <w:rPr>
                <w:rFonts w:hint="eastAsia"/>
                <w:color w:val="auto"/>
                <w:sz w:val="15"/>
                <w:szCs w:val="15"/>
              </w:rPr>
              <w:t>±</w:t>
            </w:r>
            <w:r>
              <w:rPr>
                <w:color w:val="auto"/>
                <w:sz w:val="15"/>
                <w:szCs w:val="15"/>
              </w:rPr>
              <w:t>3</w:t>
            </w:r>
            <w:r>
              <w:rPr>
                <w:rFonts w:ascii="宋体" w:hAnsi="宋体"/>
                <w:b/>
                <w:color w:val="auto"/>
                <w:szCs w:val="15"/>
              </w:rPr>
              <w:t>.</w:t>
            </w:r>
            <w:r>
              <w:rPr>
                <w:color w:val="auto"/>
                <w:sz w:val="15"/>
                <w:szCs w:val="15"/>
              </w:rPr>
              <w:t>0</w:t>
            </w:r>
          </w:p>
        </w:tc>
        <w:tc>
          <w:tcPr>
            <w:tcW w:w="2766" w:type="dxa"/>
            <w:vAlign w:val="center"/>
          </w:tcPr>
          <w:p>
            <w:pPr>
              <w:pStyle w:val="36"/>
              <w:rPr>
                <w:color w:val="auto"/>
                <w:sz w:val="15"/>
                <w:szCs w:val="15"/>
              </w:rPr>
            </w:pPr>
            <w:r>
              <w:rPr>
                <w:rFonts w:hint="eastAsia"/>
                <w:color w:val="auto"/>
                <w:sz w:val="15"/>
                <w:szCs w:val="15"/>
              </w:rPr>
              <w:t>垂线和尺量</w:t>
            </w:r>
          </w:p>
        </w:tc>
      </w:tr>
    </w:tbl>
    <w:p>
      <w:pPr>
        <w:spacing w:line="240" w:lineRule="auto"/>
        <w:ind w:firstLine="421" w:firstLineChars="200"/>
        <w:rPr>
          <w:bCs/>
          <w:szCs w:val="21"/>
        </w:rPr>
      </w:pPr>
      <w:r>
        <w:rPr>
          <w:rFonts w:hint="eastAsia"/>
          <w:b/>
          <w:bCs/>
          <w:szCs w:val="21"/>
        </w:rPr>
        <w:t xml:space="preserve">3 </w:t>
      </w:r>
      <w:r>
        <w:rPr>
          <w:rFonts w:hint="eastAsia"/>
          <w:bCs/>
          <w:szCs w:val="21"/>
        </w:rPr>
        <w:t xml:space="preserve"> 内隔墙安装尺寸允许偏差及检验方法，应符合表9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7-2的规定。</w:t>
      </w:r>
    </w:p>
    <w:p>
      <w:pPr>
        <w:spacing w:line="240" w:lineRule="auto"/>
        <w:ind w:left="-6"/>
        <w:jc w:val="center"/>
        <w:rPr>
          <w:rFonts w:eastAsia="黑体" w:cs="黑体"/>
          <w:bCs/>
          <w:sz w:val="18"/>
          <w:szCs w:val="18"/>
        </w:rPr>
      </w:pPr>
      <w:r>
        <w:rPr>
          <w:rFonts w:eastAsia="黑体" w:cs="黑体"/>
          <w:b/>
          <w:bCs/>
          <w:sz w:val="18"/>
          <w:szCs w:val="18"/>
        </w:rPr>
        <w:t>9</w:t>
      </w:r>
      <w:r>
        <w:rPr>
          <w:rFonts w:ascii="宋体" w:hAnsi="宋体" w:eastAsia="黑体" w:cs="黑体"/>
          <w:b/>
          <w:bCs/>
          <w:szCs w:val="18"/>
        </w:rPr>
        <w:t>.</w:t>
      </w:r>
      <w:r>
        <w:rPr>
          <w:rFonts w:eastAsia="黑体" w:cs="黑体"/>
          <w:b/>
          <w:bCs/>
          <w:sz w:val="18"/>
          <w:szCs w:val="18"/>
        </w:rPr>
        <w:t>4</w:t>
      </w:r>
      <w:r>
        <w:rPr>
          <w:rFonts w:ascii="宋体" w:hAnsi="宋体" w:eastAsia="黑体" w:cs="黑体"/>
          <w:b/>
          <w:bCs/>
          <w:szCs w:val="18"/>
        </w:rPr>
        <w:t>.</w:t>
      </w:r>
      <w:r>
        <w:rPr>
          <w:rFonts w:eastAsia="黑体" w:cs="黑体"/>
          <w:b/>
          <w:bCs/>
          <w:sz w:val="18"/>
          <w:szCs w:val="18"/>
        </w:rPr>
        <w:t>7-2</w:t>
      </w:r>
      <w:r>
        <w:rPr>
          <w:rFonts w:eastAsia="黑体" w:cs="黑体"/>
          <w:bCs/>
          <w:sz w:val="18"/>
          <w:szCs w:val="18"/>
        </w:rPr>
        <w:t xml:space="preserve">  内隔墙安装尺寸允许偏差及检验方法</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2875"/>
        <w:gridCol w:w="2875"/>
        <w:gridCol w:w="28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项次</w:t>
            </w:r>
          </w:p>
        </w:tc>
        <w:tc>
          <w:tcPr>
            <w:tcW w:w="2516" w:type="dxa"/>
            <w:vAlign w:val="center"/>
          </w:tcPr>
          <w:p>
            <w:pPr>
              <w:pStyle w:val="36"/>
              <w:rPr>
                <w:color w:val="auto"/>
                <w:sz w:val="15"/>
                <w:szCs w:val="15"/>
              </w:rPr>
            </w:pPr>
            <w:r>
              <w:rPr>
                <w:rFonts w:hint="eastAsia"/>
                <w:color w:val="auto"/>
                <w:sz w:val="15"/>
                <w:szCs w:val="15"/>
              </w:rPr>
              <w:t>检验方法</w:t>
            </w:r>
          </w:p>
        </w:tc>
        <w:tc>
          <w:tcPr>
            <w:tcW w:w="2516" w:type="dxa"/>
            <w:vAlign w:val="center"/>
          </w:tcPr>
          <w:p>
            <w:pPr>
              <w:pStyle w:val="36"/>
              <w:rPr>
                <w:color w:val="auto"/>
                <w:sz w:val="15"/>
                <w:szCs w:val="15"/>
              </w:rPr>
            </w:pPr>
            <w:r>
              <w:rPr>
                <w:color w:val="auto"/>
                <w:sz w:val="15"/>
                <w:szCs w:val="15"/>
              </w:rPr>
              <w:t>允许偏差（mm)</w:t>
            </w:r>
          </w:p>
        </w:tc>
        <w:tc>
          <w:tcPr>
            <w:tcW w:w="2517" w:type="dxa"/>
            <w:vAlign w:val="center"/>
          </w:tcPr>
          <w:p>
            <w:pPr>
              <w:pStyle w:val="36"/>
              <w:rPr>
                <w:color w:val="auto"/>
                <w:sz w:val="15"/>
                <w:szCs w:val="15"/>
              </w:rPr>
            </w:pPr>
            <w:r>
              <w:rPr>
                <w:rFonts w:hint="eastAsia"/>
                <w:color w:val="auto"/>
                <w:sz w:val="15"/>
                <w:szCs w:val="15"/>
              </w:rPr>
              <w:t>检验项目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1</w:t>
            </w:r>
          </w:p>
        </w:tc>
        <w:tc>
          <w:tcPr>
            <w:tcW w:w="2516" w:type="dxa"/>
            <w:vAlign w:val="center"/>
          </w:tcPr>
          <w:p>
            <w:pPr>
              <w:pStyle w:val="36"/>
              <w:rPr>
                <w:color w:val="auto"/>
                <w:sz w:val="15"/>
                <w:szCs w:val="15"/>
              </w:rPr>
            </w:pPr>
            <w:r>
              <w:rPr>
                <w:rFonts w:hint="eastAsia"/>
                <w:color w:val="auto"/>
                <w:sz w:val="15"/>
                <w:szCs w:val="15"/>
              </w:rPr>
              <w:t>墙面轴线位置</w:t>
            </w:r>
          </w:p>
        </w:tc>
        <w:tc>
          <w:tcPr>
            <w:tcW w:w="2516"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rFonts w:hint="eastAsia"/>
                <w:color w:val="auto"/>
                <w:sz w:val="15"/>
                <w:szCs w:val="15"/>
              </w:rPr>
              <w:t>经纬拉线、尺量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2</w:t>
            </w:r>
          </w:p>
        </w:tc>
        <w:tc>
          <w:tcPr>
            <w:tcW w:w="2516" w:type="dxa"/>
            <w:vAlign w:val="center"/>
          </w:tcPr>
          <w:p>
            <w:pPr>
              <w:pStyle w:val="36"/>
              <w:rPr>
                <w:color w:val="auto"/>
                <w:sz w:val="15"/>
                <w:szCs w:val="15"/>
              </w:rPr>
            </w:pPr>
            <w:r>
              <w:rPr>
                <w:rFonts w:hint="eastAsia"/>
                <w:color w:val="auto"/>
                <w:sz w:val="15"/>
                <w:szCs w:val="15"/>
              </w:rPr>
              <w:t>层间墙面垂直度</w:t>
            </w:r>
          </w:p>
        </w:tc>
        <w:tc>
          <w:tcPr>
            <w:tcW w:w="2516"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color w:val="auto"/>
                <w:sz w:val="15"/>
                <w:szCs w:val="15"/>
              </w:rPr>
              <w:t>2m托线板，吊垂线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3</w:t>
            </w:r>
          </w:p>
        </w:tc>
        <w:tc>
          <w:tcPr>
            <w:tcW w:w="2516" w:type="dxa"/>
            <w:vAlign w:val="center"/>
          </w:tcPr>
          <w:p>
            <w:pPr>
              <w:pStyle w:val="36"/>
              <w:rPr>
                <w:color w:val="auto"/>
                <w:sz w:val="15"/>
                <w:szCs w:val="15"/>
              </w:rPr>
            </w:pPr>
            <w:r>
              <w:rPr>
                <w:rFonts w:hint="eastAsia"/>
                <w:color w:val="auto"/>
                <w:sz w:val="15"/>
                <w:szCs w:val="15"/>
              </w:rPr>
              <w:t>板缝垂直度</w:t>
            </w:r>
          </w:p>
        </w:tc>
        <w:tc>
          <w:tcPr>
            <w:tcW w:w="2516"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color w:val="auto"/>
                <w:sz w:val="15"/>
                <w:szCs w:val="15"/>
              </w:rPr>
              <w:t>2m托线板，吊垂线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4</w:t>
            </w:r>
          </w:p>
        </w:tc>
        <w:tc>
          <w:tcPr>
            <w:tcW w:w="2516" w:type="dxa"/>
            <w:vAlign w:val="center"/>
          </w:tcPr>
          <w:p>
            <w:pPr>
              <w:pStyle w:val="36"/>
              <w:rPr>
                <w:color w:val="auto"/>
                <w:sz w:val="15"/>
                <w:szCs w:val="15"/>
              </w:rPr>
            </w:pPr>
            <w:r>
              <w:rPr>
                <w:rFonts w:hint="eastAsia"/>
                <w:color w:val="auto"/>
                <w:sz w:val="15"/>
                <w:szCs w:val="15"/>
              </w:rPr>
              <w:t>板缝水平度</w:t>
            </w:r>
          </w:p>
        </w:tc>
        <w:tc>
          <w:tcPr>
            <w:tcW w:w="2516"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rFonts w:hint="eastAsia"/>
                <w:color w:val="auto"/>
                <w:sz w:val="15"/>
                <w:szCs w:val="15"/>
              </w:rPr>
              <w:t>拉线、尺量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5</w:t>
            </w:r>
          </w:p>
        </w:tc>
        <w:tc>
          <w:tcPr>
            <w:tcW w:w="2516" w:type="dxa"/>
            <w:vAlign w:val="center"/>
          </w:tcPr>
          <w:p>
            <w:pPr>
              <w:pStyle w:val="36"/>
              <w:rPr>
                <w:color w:val="auto"/>
                <w:sz w:val="15"/>
                <w:szCs w:val="15"/>
              </w:rPr>
            </w:pPr>
            <w:r>
              <w:rPr>
                <w:rFonts w:hint="eastAsia"/>
                <w:color w:val="auto"/>
                <w:sz w:val="15"/>
                <w:szCs w:val="15"/>
              </w:rPr>
              <w:t>表面平整度</w:t>
            </w:r>
          </w:p>
        </w:tc>
        <w:tc>
          <w:tcPr>
            <w:tcW w:w="2516" w:type="dxa"/>
            <w:vAlign w:val="center"/>
          </w:tcPr>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color w:val="auto"/>
                <w:sz w:val="15"/>
                <w:szCs w:val="15"/>
              </w:rPr>
              <w:t>2m靠尺、塞尺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6</w:t>
            </w:r>
          </w:p>
        </w:tc>
        <w:tc>
          <w:tcPr>
            <w:tcW w:w="2516" w:type="dxa"/>
            <w:vAlign w:val="center"/>
          </w:tcPr>
          <w:p>
            <w:pPr>
              <w:pStyle w:val="36"/>
              <w:rPr>
                <w:color w:val="auto"/>
                <w:sz w:val="15"/>
                <w:szCs w:val="15"/>
              </w:rPr>
            </w:pPr>
            <w:r>
              <w:rPr>
                <w:rFonts w:hint="eastAsia"/>
                <w:color w:val="auto"/>
                <w:sz w:val="15"/>
                <w:szCs w:val="15"/>
              </w:rPr>
              <w:t>拼缝误差</w:t>
            </w:r>
          </w:p>
        </w:tc>
        <w:tc>
          <w:tcPr>
            <w:tcW w:w="2516" w:type="dxa"/>
            <w:vAlign w:val="center"/>
          </w:tcPr>
          <w:p>
            <w:pPr>
              <w:pStyle w:val="36"/>
              <w:rPr>
                <w:color w:val="auto"/>
                <w:sz w:val="15"/>
                <w:szCs w:val="15"/>
              </w:rPr>
            </w:pPr>
            <w:r>
              <w:rPr>
                <w:rFonts w:hint="eastAsia"/>
                <w:color w:val="auto"/>
                <w:sz w:val="15"/>
                <w:szCs w:val="15"/>
              </w:rPr>
              <w:t>1</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rFonts w:hint="eastAsia"/>
                <w:color w:val="auto"/>
                <w:sz w:val="15"/>
                <w:szCs w:val="15"/>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47" w:type="dxa"/>
            <w:vAlign w:val="center"/>
          </w:tcPr>
          <w:p>
            <w:pPr>
              <w:pStyle w:val="36"/>
              <w:rPr>
                <w:color w:val="auto"/>
                <w:sz w:val="15"/>
                <w:szCs w:val="15"/>
              </w:rPr>
            </w:pPr>
            <w:r>
              <w:rPr>
                <w:rFonts w:hint="eastAsia"/>
                <w:color w:val="auto"/>
                <w:sz w:val="15"/>
                <w:szCs w:val="15"/>
              </w:rPr>
              <w:t>7</w:t>
            </w:r>
          </w:p>
        </w:tc>
        <w:tc>
          <w:tcPr>
            <w:tcW w:w="2516" w:type="dxa"/>
            <w:vAlign w:val="center"/>
          </w:tcPr>
          <w:p>
            <w:pPr>
              <w:pStyle w:val="36"/>
              <w:rPr>
                <w:color w:val="auto"/>
                <w:sz w:val="15"/>
                <w:szCs w:val="15"/>
              </w:rPr>
            </w:pPr>
            <w:r>
              <w:rPr>
                <w:rFonts w:hint="eastAsia"/>
                <w:color w:val="auto"/>
                <w:sz w:val="15"/>
                <w:szCs w:val="15"/>
              </w:rPr>
              <w:t>洞口位移</w:t>
            </w:r>
          </w:p>
        </w:tc>
        <w:tc>
          <w:tcPr>
            <w:tcW w:w="2516" w:type="dxa"/>
            <w:vAlign w:val="center"/>
          </w:tcPr>
          <w:p>
            <w:pPr>
              <w:pStyle w:val="36"/>
              <w:rPr>
                <w:color w:val="auto"/>
                <w:sz w:val="15"/>
                <w:szCs w:val="15"/>
              </w:rPr>
            </w:pPr>
            <w:r>
              <w:rPr>
                <w:rFonts w:hint="eastAsia"/>
                <w:color w:val="auto"/>
                <w:sz w:val="15"/>
                <w:szCs w:val="15"/>
              </w:rPr>
              <w:t>±3</w:t>
            </w:r>
            <w:r>
              <w:rPr>
                <w:rFonts w:ascii="宋体" w:hAnsi="宋体"/>
                <w:b/>
                <w:color w:val="auto"/>
                <w:szCs w:val="15"/>
              </w:rPr>
              <w:t>.</w:t>
            </w:r>
            <w:r>
              <w:rPr>
                <w:color w:val="auto"/>
                <w:sz w:val="15"/>
                <w:szCs w:val="15"/>
              </w:rPr>
              <w:t>0</w:t>
            </w:r>
          </w:p>
        </w:tc>
        <w:tc>
          <w:tcPr>
            <w:tcW w:w="2517" w:type="dxa"/>
            <w:vAlign w:val="center"/>
          </w:tcPr>
          <w:p>
            <w:pPr>
              <w:pStyle w:val="36"/>
              <w:rPr>
                <w:color w:val="auto"/>
                <w:sz w:val="15"/>
                <w:szCs w:val="15"/>
              </w:rPr>
            </w:pPr>
            <w:r>
              <w:rPr>
                <w:rFonts w:hint="eastAsia"/>
                <w:color w:val="auto"/>
                <w:sz w:val="15"/>
                <w:szCs w:val="15"/>
              </w:rPr>
              <w:t>尺量</w:t>
            </w:r>
          </w:p>
        </w:tc>
      </w:tr>
    </w:tbl>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8 </w:t>
      </w:r>
      <w:r>
        <w:rPr>
          <w:rFonts w:hint="eastAsia"/>
          <w:bCs/>
          <w:szCs w:val="21"/>
        </w:rPr>
        <w:t xml:space="preserve"> 墙体、楼板和门窗安装质量检验应符合下列规定：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应实测墙体、楼板的隔声参数数值以及楼板的自振频率；</w:t>
      </w:r>
    </w:p>
    <w:p>
      <w:pPr>
        <w:spacing w:line="240" w:lineRule="auto"/>
        <w:ind w:firstLine="421" w:firstLineChars="200"/>
        <w:rPr>
          <w:bCs/>
          <w:szCs w:val="21"/>
        </w:rPr>
      </w:pPr>
      <w:r>
        <w:rPr>
          <w:rFonts w:hint="eastAsia"/>
          <w:b/>
          <w:bCs/>
          <w:szCs w:val="21"/>
        </w:rPr>
        <w:t xml:space="preserve">2 </w:t>
      </w:r>
      <w:r>
        <w:rPr>
          <w:rFonts w:hint="eastAsia"/>
          <w:bCs/>
          <w:szCs w:val="21"/>
        </w:rPr>
        <w:t xml:space="preserve"> 应实测外墙及门窗的传热系数；</w:t>
      </w:r>
    </w:p>
    <w:p>
      <w:pPr>
        <w:spacing w:line="240" w:lineRule="auto"/>
        <w:ind w:firstLine="421" w:firstLineChars="200"/>
        <w:rPr>
          <w:bCs/>
          <w:szCs w:val="21"/>
        </w:rPr>
      </w:pPr>
      <w:r>
        <w:rPr>
          <w:rFonts w:hint="eastAsia"/>
          <w:b/>
          <w:bCs/>
          <w:szCs w:val="21"/>
        </w:rPr>
        <w:t xml:space="preserve">3 </w:t>
      </w:r>
      <w:r>
        <w:rPr>
          <w:rFonts w:hint="eastAsia"/>
          <w:bCs/>
          <w:szCs w:val="21"/>
        </w:rPr>
        <w:t xml:space="preserve"> 上述实测数值应符合设计规定。</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9 </w:t>
      </w:r>
      <w:r>
        <w:rPr>
          <w:rFonts w:hint="eastAsia"/>
          <w:bCs/>
          <w:szCs w:val="21"/>
        </w:rPr>
        <w:t xml:space="preserve"> 分项工程质量检验应符合下列规定:</w:t>
      </w:r>
    </w:p>
    <w:p>
      <w:pPr>
        <w:spacing w:line="240" w:lineRule="auto"/>
        <w:ind w:firstLine="421" w:firstLineChars="200"/>
        <w:rPr>
          <w:bCs/>
          <w:szCs w:val="21"/>
        </w:rPr>
      </w:pPr>
      <w:r>
        <w:rPr>
          <w:rFonts w:hint="eastAsia"/>
          <w:b/>
          <w:bCs/>
          <w:szCs w:val="21"/>
        </w:rPr>
        <w:t xml:space="preserve">1 </w:t>
      </w:r>
      <w:r>
        <w:rPr>
          <w:rFonts w:hint="eastAsia"/>
          <w:bCs/>
          <w:szCs w:val="21"/>
        </w:rPr>
        <w:t xml:space="preserve"> 各检验批应质量验收合格且质量验收文件齐全；</w:t>
      </w:r>
    </w:p>
    <w:p>
      <w:pPr>
        <w:spacing w:line="240" w:lineRule="auto"/>
        <w:ind w:firstLine="421" w:firstLineChars="200"/>
        <w:rPr>
          <w:bCs/>
          <w:szCs w:val="21"/>
        </w:rPr>
      </w:pPr>
      <w:r>
        <w:rPr>
          <w:rFonts w:hint="eastAsia"/>
          <w:b/>
          <w:bCs/>
          <w:szCs w:val="21"/>
        </w:rPr>
        <w:t xml:space="preserve">2 </w:t>
      </w:r>
      <w:r>
        <w:rPr>
          <w:rFonts w:hint="eastAsia"/>
          <w:bCs/>
          <w:szCs w:val="21"/>
        </w:rPr>
        <w:t xml:space="preserve"> 观感质量验收应合格；</w:t>
      </w:r>
    </w:p>
    <w:p>
      <w:pPr>
        <w:spacing w:line="240" w:lineRule="auto"/>
        <w:ind w:firstLine="421" w:firstLineChars="200"/>
        <w:rPr>
          <w:bCs/>
          <w:szCs w:val="21"/>
        </w:rPr>
      </w:pPr>
      <w:r>
        <w:rPr>
          <w:rFonts w:hint="eastAsia"/>
          <w:b/>
          <w:bCs/>
          <w:szCs w:val="21"/>
        </w:rPr>
        <w:t xml:space="preserve">3 </w:t>
      </w:r>
      <w:r>
        <w:rPr>
          <w:rFonts w:hint="eastAsia"/>
          <w:bCs/>
          <w:szCs w:val="21"/>
        </w:rPr>
        <w:t xml:space="preserve"> 结构材料进场检验资料应齐全，并应符合设计要求。</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10 </w:t>
      </w:r>
      <w:r>
        <w:rPr>
          <w:rFonts w:hint="eastAsia"/>
          <w:bCs/>
          <w:szCs w:val="21"/>
        </w:rPr>
        <w:t xml:space="preserve"> 单位工程质量验收应符合下列规定，可评定为合格，否则应评定为不合格：</w:t>
      </w:r>
    </w:p>
    <w:p>
      <w:pPr>
        <w:spacing w:line="240" w:lineRule="auto"/>
        <w:ind w:firstLine="421" w:firstLineChars="200"/>
        <w:rPr>
          <w:bCs/>
          <w:szCs w:val="21"/>
        </w:rPr>
      </w:pPr>
      <w:r>
        <w:rPr>
          <w:rFonts w:hint="eastAsia"/>
          <w:b/>
          <w:bCs/>
          <w:szCs w:val="21"/>
        </w:rPr>
        <w:t xml:space="preserve">1 </w:t>
      </w:r>
      <w:r>
        <w:rPr>
          <w:rFonts w:hint="eastAsia"/>
          <w:bCs/>
          <w:szCs w:val="21"/>
        </w:rPr>
        <w:t xml:space="preserve"> 分部及子分部工程的质量均应验收合格；</w:t>
      </w:r>
    </w:p>
    <w:p>
      <w:pPr>
        <w:spacing w:line="240" w:lineRule="auto"/>
        <w:ind w:firstLine="421" w:firstLineChars="200"/>
        <w:rPr>
          <w:bCs/>
          <w:szCs w:val="21"/>
        </w:rPr>
      </w:pPr>
      <w:r>
        <w:rPr>
          <w:rFonts w:hint="eastAsia"/>
          <w:b/>
          <w:bCs/>
          <w:szCs w:val="21"/>
        </w:rPr>
        <w:t xml:space="preserve">2 </w:t>
      </w:r>
      <w:r>
        <w:rPr>
          <w:rFonts w:hint="eastAsia"/>
          <w:bCs/>
          <w:szCs w:val="21"/>
        </w:rPr>
        <w:t xml:space="preserve"> 质量控制资料应完整；</w:t>
      </w:r>
    </w:p>
    <w:p>
      <w:pPr>
        <w:spacing w:line="240" w:lineRule="auto"/>
        <w:ind w:firstLine="421" w:firstLineChars="200"/>
        <w:rPr>
          <w:bCs/>
          <w:szCs w:val="21"/>
        </w:rPr>
      </w:pPr>
      <w:r>
        <w:rPr>
          <w:rFonts w:hint="eastAsia"/>
          <w:b/>
          <w:bCs/>
          <w:szCs w:val="21"/>
        </w:rPr>
        <w:t xml:space="preserve">3 </w:t>
      </w:r>
      <w:r>
        <w:rPr>
          <w:rFonts w:hint="eastAsia"/>
          <w:bCs/>
          <w:szCs w:val="21"/>
        </w:rPr>
        <w:t xml:space="preserve"> 分部工程中有关安全、节能、环境保护和主要使用功能的检验资料应完整；</w:t>
      </w:r>
    </w:p>
    <w:p>
      <w:pPr>
        <w:spacing w:line="240" w:lineRule="auto"/>
        <w:ind w:firstLine="421" w:firstLineChars="200"/>
        <w:rPr>
          <w:bCs/>
          <w:szCs w:val="21"/>
        </w:rPr>
      </w:pPr>
      <w:r>
        <w:rPr>
          <w:rFonts w:hint="eastAsia"/>
          <w:b/>
          <w:bCs/>
          <w:szCs w:val="21"/>
        </w:rPr>
        <w:t xml:space="preserve">4 </w:t>
      </w:r>
      <w:r>
        <w:rPr>
          <w:rFonts w:hint="eastAsia"/>
          <w:bCs/>
          <w:szCs w:val="21"/>
        </w:rPr>
        <w:t xml:space="preserve"> 主要使用功能的抽查结果应符合相关专业验收规范的规定；</w:t>
      </w:r>
    </w:p>
    <w:p>
      <w:pPr>
        <w:spacing w:line="240" w:lineRule="auto"/>
        <w:ind w:firstLine="421" w:firstLineChars="200"/>
        <w:rPr>
          <w:bCs/>
          <w:szCs w:val="21"/>
        </w:rPr>
      </w:pPr>
      <w:r>
        <w:rPr>
          <w:rFonts w:hint="eastAsia"/>
          <w:b/>
          <w:bCs/>
          <w:szCs w:val="21"/>
        </w:rPr>
        <w:t xml:space="preserve">5 </w:t>
      </w:r>
      <w:r>
        <w:rPr>
          <w:rFonts w:hint="eastAsia"/>
          <w:bCs/>
          <w:szCs w:val="21"/>
        </w:rPr>
        <w:t xml:space="preserve"> 观感质量应符合要求。</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44" w:name="_Toc118357474"/>
      <w:r>
        <w:rPr>
          <w:rFonts w:hint="eastAsia"/>
          <w:sz w:val="28"/>
          <w:szCs w:val="21"/>
        </w:rPr>
        <w:t xml:space="preserve">10  </w:t>
      </w:r>
      <w:r>
        <w:rPr>
          <w:rFonts w:hint="eastAsia" w:ascii="宋体" w:hAnsi="宋体"/>
          <w:b/>
          <w:bCs/>
          <w:sz w:val="28"/>
          <w:szCs w:val="21"/>
        </w:rPr>
        <w:t>智能建造与信息化应用</w:t>
      </w:r>
      <w:bookmarkEnd w:id="44"/>
    </w:p>
    <w:p>
      <w:pPr>
        <w:pStyle w:val="4"/>
        <w:spacing w:before="240" w:after="240" w:line="240" w:lineRule="auto"/>
        <w:jc w:val="center"/>
        <w:rPr>
          <w:rFonts w:ascii="Times New Roman" w:hAnsi="Times New Roman"/>
          <w:sz w:val="21"/>
          <w:szCs w:val="21"/>
        </w:rPr>
      </w:pPr>
      <w:bookmarkStart w:id="45" w:name="_Toc118357475"/>
      <w:r>
        <w:rPr>
          <w:rFonts w:hint="eastAsia" w:ascii="Times New Roman" w:hAnsi="Times New Roman"/>
          <w:sz w:val="21"/>
          <w:szCs w:val="21"/>
        </w:rPr>
        <w:t>10</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45"/>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 xml:space="preserve"> 钢结构装配式住宅的设计与建造宜采用信息化管理平台技术，并宜实现设计、制造、施工、运维全过程数字化管理。</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 xml:space="preserve"> 钢结构装配式住宅智能建造宜通过建筑信息化模型技术（BIM）轻量化模型将各项业务数据进行关联，可通过结合VR、AR、全景、三维渲染技术全方位展示建筑项目的全过程。</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rFonts w:hint="eastAsia"/>
          <w:bCs/>
          <w:szCs w:val="21"/>
        </w:rPr>
        <w:t xml:space="preserve"> 钢结构装配式住宅数字化与信息化应用应涵盖规划、设计、生产、施工、运维的全产业链条，通过互联网平台结合大数据分析将数据、权限、业务三者进行关联，以BIM轻量化模型为数据载体进行各环节的信息互联互通。</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rFonts w:hint="eastAsia"/>
          <w:bCs/>
          <w:szCs w:val="21"/>
        </w:rPr>
        <w:t xml:space="preserve"> 信息化管理平台的数据应长期保存，并应具备可追溯性，设计、制造、施工、运维等各子系统数据应互联互通，数据存储方式宜采用区块链技术实现。</w:t>
      </w:r>
    </w:p>
    <w:p>
      <w:pPr>
        <w:pStyle w:val="4"/>
        <w:spacing w:before="240" w:after="240" w:line="240" w:lineRule="auto"/>
        <w:jc w:val="center"/>
        <w:rPr>
          <w:rFonts w:ascii="Times New Roman" w:hAnsi="Times New Roman"/>
          <w:sz w:val="21"/>
          <w:szCs w:val="21"/>
        </w:rPr>
      </w:pPr>
      <w:bookmarkStart w:id="46" w:name="_Toc118357476"/>
      <w:r>
        <w:rPr>
          <w:rFonts w:hint="eastAsia" w:ascii="Times New Roman" w:hAnsi="Times New Roman"/>
          <w:sz w:val="21"/>
          <w:szCs w:val="21"/>
        </w:rPr>
        <w:t>10</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数字化设计</w:t>
      </w:r>
      <w:bookmarkEnd w:id="46"/>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rFonts w:hint="eastAsia"/>
          <w:bCs/>
          <w:szCs w:val="21"/>
        </w:rPr>
        <w:t>钢结构装配式住宅宜采用正向 BIM 设计技术，进行各阶段设计和深化设计，宜将完整的BIM模型进行轻量化处理，便于在各个终端流畅应用。</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rFonts w:hint="eastAsia"/>
          <w:bCs/>
          <w:szCs w:val="21"/>
        </w:rPr>
        <w:t xml:space="preserve"> 可利用BIM模型进行碰撞、工期、成本、低碳计算分析，BIM模型宜满足以下要求：</w:t>
      </w:r>
    </w:p>
    <w:p>
      <w:pPr>
        <w:spacing w:line="240" w:lineRule="auto"/>
        <w:ind w:firstLine="421" w:firstLineChars="200"/>
        <w:rPr>
          <w:bCs/>
          <w:szCs w:val="21"/>
        </w:rPr>
      </w:pPr>
      <w:r>
        <w:rPr>
          <w:rFonts w:hint="eastAsia"/>
          <w:b/>
          <w:bCs/>
          <w:szCs w:val="21"/>
        </w:rPr>
        <w:t xml:space="preserve">1 </w:t>
      </w:r>
      <w:r>
        <w:rPr>
          <w:rFonts w:hint="eastAsia"/>
          <w:bCs/>
          <w:szCs w:val="21"/>
        </w:rPr>
        <w:t xml:space="preserve"> BIM模型中三维管线综合应精确定位，结合工序交叉、衔接配合情况进行碰撞分析检查。</w:t>
      </w:r>
    </w:p>
    <w:p>
      <w:pPr>
        <w:spacing w:line="240" w:lineRule="auto"/>
        <w:ind w:firstLine="421" w:firstLineChars="200"/>
        <w:rPr>
          <w:bCs/>
          <w:szCs w:val="21"/>
        </w:rPr>
      </w:pPr>
      <w:r>
        <w:rPr>
          <w:rFonts w:hint="eastAsia"/>
          <w:b/>
          <w:bCs/>
          <w:szCs w:val="21"/>
        </w:rPr>
        <w:t xml:space="preserve">2 </w:t>
      </w:r>
      <w:r>
        <w:rPr>
          <w:rFonts w:hint="eastAsia"/>
          <w:bCs/>
          <w:szCs w:val="21"/>
        </w:rPr>
        <w:t xml:space="preserve"> BIM模型施工模拟应包括装配式构件安装模拟和施工进度计划模拟。</w:t>
      </w:r>
    </w:p>
    <w:p>
      <w:pPr>
        <w:spacing w:line="240" w:lineRule="auto"/>
        <w:ind w:firstLine="421" w:firstLineChars="200"/>
        <w:rPr>
          <w:bCs/>
          <w:szCs w:val="21"/>
        </w:rPr>
      </w:pPr>
      <w:r>
        <w:rPr>
          <w:rFonts w:hint="eastAsia"/>
          <w:b/>
          <w:bCs/>
          <w:szCs w:val="21"/>
        </w:rPr>
        <w:t xml:space="preserve">3 </w:t>
      </w:r>
      <w:r>
        <w:rPr>
          <w:rFonts w:hint="eastAsia"/>
          <w:bCs/>
          <w:szCs w:val="21"/>
        </w:rPr>
        <w:t xml:space="preserve"> BIM模型非几何信息宜包含建筑材料产品的成本造价和碳排放因子相关信息。</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基于BIM轻量化模型，宜使用二维码生成技术，使项目现场施工与管理人员利用移动端APP对构件部品部（构）件生产的不同阶段进行扫码，记录该构件从设计、生产、验收、吊装的全过程信息，实现对构件产品的全生命周期追溯。</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rFonts w:hint="eastAsia"/>
          <w:bCs/>
          <w:szCs w:val="21"/>
        </w:rPr>
        <w:t xml:space="preserve"> 建设全过程BIM数据互联互通，钢结构装配式住宅项目宜建立自己的标准构件库，以及部品部件库，深化设计时关联技术参数、施工图与深化图纸等数据，并与工厂加工生产数据库进行匹配，便于对接到工厂系统，指导后续生产。基于工厂制造条件、现场施工条件，考虑运输要求、吊装能力和安装因素对构件单元进行合理优化。</w:t>
      </w:r>
    </w:p>
    <w:p>
      <w:pPr>
        <w:pStyle w:val="4"/>
        <w:spacing w:before="240" w:after="240" w:line="240" w:lineRule="auto"/>
        <w:jc w:val="center"/>
        <w:rPr>
          <w:rFonts w:ascii="Times New Roman" w:hAnsi="Times New Roman"/>
          <w:sz w:val="21"/>
          <w:szCs w:val="21"/>
        </w:rPr>
      </w:pPr>
      <w:bookmarkStart w:id="47" w:name="_Toc118357477"/>
      <w:r>
        <w:rPr>
          <w:rFonts w:hint="eastAsia" w:ascii="Times New Roman" w:hAnsi="Times New Roman"/>
          <w:sz w:val="21"/>
          <w:szCs w:val="21"/>
        </w:rPr>
        <w:t>10</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智能化生产与施工</w:t>
      </w:r>
      <w:bookmarkEnd w:id="47"/>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rFonts w:hint="eastAsia"/>
          <w:bCs/>
          <w:szCs w:val="21"/>
        </w:rPr>
        <w:t xml:space="preserve"> 部品部（构）件工厂宜使用智能化生产管理系统，可将设计环节完成的部品部（构）件加工数据导入系统，按照生产需要将数据分类统计进行排产和生产准备，实现部品部（构）件高效自动化生产。</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工厂宜使用视频监控系统监测生产情况，并对生产过程进行自动识别、智能检测和记录，实时监控工厂中可能存在的问题和隐患并及时预防，提升安全防范的智能化程度，实现产品从设计、排产、品控、物流、验收全过程质量可追溯。</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rFonts w:hint="eastAsia"/>
          <w:bCs/>
          <w:szCs w:val="21"/>
        </w:rPr>
        <w:t xml:space="preserve"> 施工现场人员可基于BIM轻量化模型，通过二维码系统，实现对项目部品部（构）件生产进度和关键生产因素的管控。</w:t>
      </w:r>
    </w:p>
    <w:p>
      <w:pPr>
        <w:spacing w:line="240" w:lineRule="auto"/>
        <w:rPr>
          <w:bCs/>
          <w:szCs w:val="21"/>
        </w:rPr>
      </w:pPr>
      <w:r>
        <w:rPr>
          <w:b/>
          <w:bCs/>
          <w:szCs w:val="21"/>
        </w:rPr>
        <w:t>10</w:t>
      </w:r>
      <w:r>
        <w:rPr>
          <w:rFonts w:ascii="宋体" w:hAnsi="宋体"/>
          <w:b/>
          <w:bCs/>
          <w:szCs w:val="21"/>
        </w:rPr>
        <w:t>.</w:t>
      </w:r>
      <w:r>
        <w:rPr>
          <w:b/>
          <w:bCs/>
          <w:szCs w:val="21"/>
        </w:rPr>
        <w:t>3</w:t>
      </w:r>
      <w:r>
        <w:rPr>
          <w:rFonts w:ascii="宋体" w:hAnsi="宋体"/>
          <w:b/>
          <w:bCs/>
          <w:szCs w:val="21"/>
        </w:rPr>
        <w:t>.</w:t>
      </w:r>
      <w:r>
        <w:rPr>
          <w:b/>
          <w:bCs/>
          <w:szCs w:val="21"/>
        </w:rPr>
        <w:t xml:space="preserve">4 </w:t>
      </w:r>
      <w:r>
        <w:rPr>
          <w:bCs/>
          <w:szCs w:val="21"/>
        </w:rPr>
        <w:t xml:space="preserve"> </w:t>
      </w:r>
      <w:r>
        <w:rPr>
          <w:rFonts w:hint="eastAsia"/>
          <w:bCs/>
          <w:szCs w:val="21"/>
        </w:rPr>
        <w:t>施工现场智能化宜从人员管理、进度质量、施工安全、应急处置等方面构建工地现场智能监控体系，完善应用场景。</w:t>
      </w:r>
      <w:r>
        <w:rPr>
          <w:bCs/>
          <w:szCs w:val="21"/>
        </w:rPr>
        <w:t> </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48" w:name="_Toc118357478"/>
      <w:r>
        <w:rPr>
          <w:rFonts w:hint="eastAsia"/>
          <w:sz w:val="28"/>
          <w:szCs w:val="21"/>
        </w:rPr>
        <w:t xml:space="preserve">11  </w:t>
      </w:r>
      <w:r>
        <w:rPr>
          <w:rFonts w:hint="eastAsia" w:ascii="宋体" w:hAnsi="宋体"/>
          <w:b/>
          <w:bCs/>
          <w:sz w:val="28"/>
          <w:szCs w:val="21"/>
        </w:rPr>
        <w:t>使用与维护管理</w:t>
      </w:r>
      <w:bookmarkEnd w:id="48"/>
    </w:p>
    <w:p>
      <w:pPr>
        <w:pStyle w:val="4"/>
        <w:spacing w:before="240" w:after="240" w:line="240" w:lineRule="auto"/>
        <w:jc w:val="center"/>
        <w:rPr>
          <w:rFonts w:ascii="Times New Roman" w:hAnsi="Times New Roman"/>
          <w:sz w:val="21"/>
          <w:szCs w:val="21"/>
        </w:rPr>
      </w:pPr>
      <w:bookmarkStart w:id="49" w:name="_Toc118357479"/>
      <w:r>
        <w:rPr>
          <w:rFonts w:hint="eastAsia" w:ascii="Times New Roman" w:hAnsi="Times New Roman"/>
          <w:sz w:val="21"/>
          <w:szCs w:val="21"/>
        </w:rPr>
        <w:t>11</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49"/>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rFonts w:hint="eastAsia"/>
          <w:bCs/>
          <w:szCs w:val="21"/>
        </w:rPr>
        <w:t>钢结构装配式住宅建筑的建设单位应根据规定和住宅设计文件注明的设计条件、使用性质及使用环境制定“住宅使用说明书”。</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rFonts w:hint="eastAsia"/>
          <w:bCs/>
          <w:szCs w:val="21"/>
        </w:rPr>
        <w:t xml:space="preserve"> 钢结构装配式住宅建筑的建设单位向用户销售、交付时，应按国家有关规定的要求提供“住宅质量保证书”和“住宅使用说明书”。建设单位应按规定向物业服务企业移交相关资料。</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3</w:t>
      </w:r>
      <w:r>
        <w:rPr>
          <w:rFonts w:hint="eastAsia"/>
          <w:bCs/>
          <w:szCs w:val="21"/>
        </w:rPr>
        <w:t xml:space="preserve">  “住宅使用说明书”除应符合现行国家相关规定外，尚应包含下列内容：</w:t>
      </w:r>
    </w:p>
    <w:p>
      <w:pPr>
        <w:spacing w:line="240" w:lineRule="auto"/>
        <w:ind w:firstLine="421" w:firstLineChars="200"/>
        <w:rPr>
          <w:bCs/>
          <w:szCs w:val="21"/>
        </w:rPr>
      </w:pPr>
      <w:r>
        <w:rPr>
          <w:rFonts w:hint="eastAsia"/>
          <w:b/>
          <w:bCs/>
          <w:szCs w:val="21"/>
        </w:rPr>
        <w:t xml:space="preserve">1 </w:t>
      </w:r>
      <w:r>
        <w:rPr>
          <w:rFonts w:hint="eastAsia"/>
          <w:bCs/>
          <w:szCs w:val="21"/>
        </w:rPr>
        <w:t xml:space="preserve"> 主体结构系统、外围护系统、设备管线系统和内装系统的构成、功能以及使用、检查和维护要求；</w:t>
      </w:r>
    </w:p>
    <w:p>
      <w:pPr>
        <w:spacing w:line="240" w:lineRule="auto"/>
        <w:ind w:firstLine="421" w:firstLineChars="200"/>
        <w:rPr>
          <w:bCs/>
          <w:szCs w:val="21"/>
        </w:rPr>
      </w:pPr>
      <w:r>
        <w:rPr>
          <w:rFonts w:hint="eastAsia"/>
          <w:b/>
          <w:bCs/>
          <w:szCs w:val="21"/>
        </w:rPr>
        <w:t xml:space="preserve">2 </w:t>
      </w:r>
      <w:r>
        <w:rPr>
          <w:rFonts w:hint="eastAsia"/>
          <w:bCs/>
          <w:szCs w:val="21"/>
        </w:rPr>
        <w:t xml:space="preserve"> 装修和装饰注意事项应包含允许业主或用户自行变更的部分与相关禁止行为；</w:t>
      </w:r>
    </w:p>
    <w:p>
      <w:pPr>
        <w:spacing w:line="240" w:lineRule="auto"/>
        <w:ind w:firstLine="421" w:firstLineChars="200"/>
        <w:rPr>
          <w:bCs/>
          <w:szCs w:val="21"/>
        </w:rPr>
      </w:pPr>
      <w:r>
        <w:rPr>
          <w:rFonts w:hint="eastAsia"/>
          <w:b/>
          <w:bCs/>
          <w:szCs w:val="21"/>
        </w:rPr>
        <w:t xml:space="preserve">3 </w:t>
      </w:r>
      <w:r>
        <w:rPr>
          <w:rFonts w:hint="eastAsia"/>
          <w:bCs/>
          <w:szCs w:val="21"/>
        </w:rPr>
        <w:t xml:space="preserve"> 部品部（构）件生产厂、供应商提供的产品使用维护说明书，主要部品部件宜注明检查与使用维护年限。</w:t>
      </w:r>
    </w:p>
    <w:p>
      <w:pPr>
        <w:pStyle w:val="4"/>
        <w:spacing w:before="240" w:after="240" w:line="240" w:lineRule="auto"/>
        <w:jc w:val="center"/>
        <w:rPr>
          <w:rFonts w:ascii="Times New Roman" w:hAnsi="Times New Roman"/>
          <w:sz w:val="21"/>
          <w:szCs w:val="21"/>
        </w:rPr>
      </w:pPr>
      <w:bookmarkStart w:id="50" w:name="_Toc118357480"/>
      <w:r>
        <w:rPr>
          <w:rFonts w:hint="eastAsia" w:ascii="Times New Roman" w:hAnsi="Times New Roman"/>
          <w:sz w:val="21"/>
          <w:szCs w:val="21"/>
        </w:rPr>
        <w:t>11</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使用、维护</w:t>
      </w:r>
      <w:bookmarkEnd w:id="50"/>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w:t>
      </w:r>
      <w:r>
        <w:rPr>
          <w:rFonts w:hint="eastAsia"/>
          <w:bCs/>
          <w:szCs w:val="21"/>
        </w:rPr>
        <w:t xml:space="preserve">  设计方应提出钢结构的维养要求；使用方应按相关规范及设计方的要求对钢结构进行定期维养。</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2</w:t>
      </w:r>
      <w:r>
        <w:rPr>
          <w:rFonts w:hint="eastAsia"/>
          <w:bCs/>
          <w:szCs w:val="21"/>
        </w:rPr>
        <w:t xml:space="preserve">  钢结构装配式住宅建筑的业主或用户不得改变原设计文件中规定的使用条件、使用性质及使用环境。</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rFonts w:hint="eastAsia"/>
          <w:bCs/>
          <w:szCs w:val="21"/>
        </w:rPr>
        <w:t xml:space="preserve"> 进行室内装饰装修及使用过程中，严禁损伤主体结构和外围护结构系统。装修和使用中发生下列情况之一时，应由原设计单位或者具有相应资质的设计单位提出技术方案，并应按设计规定的技术要求进行施工及验收：</w:t>
      </w:r>
    </w:p>
    <w:p>
      <w:pPr>
        <w:spacing w:line="240" w:lineRule="auto"/>
        <w:ind w:firstLine="421" w:firstLineChars="200"/>
        <w:rPr>
          <w:bCs/>
          <w:szCs w:val="21"/>
        </w:rPr>
      </w:pPr>
      <w:r>
        <w:rPr>
          <w:rFonts w:hint="eastAsia"/>
          <w:b/>
          <w:bCs/>
          <w:szCs w:val="21"/>
        </w:rPr>
        <w:t xml:space="preserve">1 </w:t>
      </w:r>
      <w:r>
        <w:rPr>
          <w:rFonts w:hint="eastAsia"/>
          <w:bCs/>
          <w:szCs w:val="21"/>
        </w:rPr>
        <w:t xml:space="preserve"> 装修和使用过程中出现超过设计文件规定的楼面装修荷载或使用荷载；</w:t>
      </w:r>
    </w:p>
    <w:p>
      <w:pPr>
        <w:spacing w:line="240" w:lineRule="auto"/>
        <w:ind w:firstLine="421" w:firstLineChars="200"/>
        <w:rPr>
          <w:bCs/>
          <w:szCs w:val="21"/>
        </w:rPr>
      </w:pPr>
      <w:r>
        <w:rPr>
          <w:rFonts w:hint="eastAsia"/>
          <w:b/>
          <w:bCs/>
          <w:szCs w:val="21"/>
        </w:rPr>
        <w:t xml:space="preserve">2 </w:t>
      </w:r>
      <w:r>
        <w:rPr>
          <w:rFonts w:hint="eastAsia"/>
          <w:bCs/>
          <w:szCs w:val="21"/>
        </w:rPr>
        <w:t xml:space="preserve"> 装修和使用过程中改变或损坏钢结构防火、防腐蚀保护层及构造措施；</w:t>
      </w:r>
    </w:p>
    <w:p>
      <w:pPr>
        <w:spacing w:line="240" w:lineRule="auto"/>
        <w:ind w:firstLine="421" w:firstLineChars="200"/>
        <w:rPr>
          <w:bCs/>
          <w:szCs w:val="21"/>
        </w:rPr>
      </w:pPr>
      <w:r>
        <w:rPr>
          <w:rFonts w:hint="eastAsia"/>
          <w:b/>
          <w:bCs/>
          <w:szCs w:val="21"/>
        </w:rPr>
        <w:t xml:space="preserve">3 </w:t>
      </w:r>
      <w:r>
        <w:rPr>
          <w:rFonts w:hint="eastAsia"/>
          <w:bCs/>
          <w:szCs w:val="21"/>
        </w:rPr>
        <w:t xml:space="preserve"> 装修和使用过程中改变或损坏建筑节能保温、外墙及屋面防水相关构造措施；</w:t>
      </w:r>
    </w:p>
    <w:p>
      <w:pPr>
        <w:spacing w:line="240" w:lineRule="auto"/>
        <w:ind w:firstLine="421" w:firstLineChars="200"/>
        <w:rPr>
          <w:bCs/>
          <w:szCs w:val="21"/>
        </w:rPr>
      </w:pPr>
      <w:r>
        <w:rPr>
          <w:rFonts w:hint="eastAsia"/>
          <w:b/>
          <w:bCs/>
          <w:szCs w:val="21"/>
        </w:rPr>
        <w:t xml:space="preserve">4 </w:t>
      </w:r>
      <w:r>
        <w:rPr>
          <w:rFonts w:hint="eastAsia"/>
          <w:bCs/>
          <w:szCs w:val="21"/>
        </w:rPr>
        <w:t xml:space="preserve"> 装修和使用过程中改变或损坏承重构件。</w:t>
      </w:r>
    </w:p>
    <w:p>
      <w:pPr>
        <w:pStyle w:val="4"/>
        <w:spacing w:before="240" w:after="240" w:line="240" w:lineRule="auto"/>
        <w:jc w:val="center"/>
        <w:rPr>
          <w:rFonts w:ascii="Times New Roman" w:hAnsi="Times New Roman"/>
          <w:sz w:val="21"/>
          <w:szCs w:val="21"/>
        </w:rPr>
      </w:pPr>
      <w:bookmarkStart w:id="51" w:name="_Toc118357481"/>
      <w:r>
        <w:rPr>
          <w:rFonts w:hint="eastAsia" w:ascii="Times New Roman" w:hAnsi="Times New Roman"/>
          <w:sz w:val="21"/>
          <w:szCs w:val="21"/>
        </w:rPr>
        <w:t>11</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物 业 服 务</w:t>
      </w:r>
      <w:bookmarkEnd w:id="51"/>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rFonts w:hint="eastAsia"/>
          <w:bCs/>
          <w:szCs w:val="21"/>
        </w:rPr>
        <w:t xml:space="preserve"> 钢结构装配式住宅建筑的物业服务单位宜做到下列服务：</w:t>
      </w:r>
    </w:p>
    <w:p>
      <w:pPr>
        <w:spacing w:line="240" w:lineRule="auto"/>
        <w:ind w:firstLine="421" w:firstLineChars="200"/>
        <w:rPr>
          <w:bCs/>
          <w:szCs w:val="21"/>
        </w:rPr>
      </w:pPr>
      <w:r>
        <w:rPr>
          <w:rFonts w:hint="eastAsia"/>
          <w:b/>
          <w:bCs/>
          <w:szCs w:val="21"/>
        </w:rPr>
        <w:t>1</w:t>
      </w:r>
      <w:r>
        <w:rPr>
          <w:rFonts w:hint="eastAsia"/>
          <w:bCs/>
          <w:szCs w:val="21"/>
        </w:rPr>
        <w:t xml:space="preserve">  应与业主共同制订“物业检查与维护更新计划”；</w:t>
      </w:r>
    </w:p>
    <w:p>
      <w:pPr>
        <w:spacing w:line="240" w:lineRule="auto"/>
        <w:ind w:firstLine="421" w:firstLineChars="200"/>
        <w:rPr>
          <w:bCs/>
          <w:szCs w:val="21"/>
        </w:rPr>
      </w:pPr>
      <w:r>
        <w:rPr>
          <w:rFonts w:hint="eastAsia"/>
          <w:b/>
          <w:bCs/>
          <w:szCs w:val="21"/>
        </w:rPr>
        <w:t>2</w:t>
      </w:r>
      <w:r>
        <w:rPr>
          <w:rFonts w:hint="eastAsia"/>
          <w:bCs/>
          <w:szCs w:val="21"/>
        </w:rPr>
        <w:t xml:space="preserve">  应建立对主体结构系统、外围护系统、内装系统和设备管线系统的检查与维护制度；</w:t>
      </w:r>
    </w:p>
    <w:p>
      <w:pPr>
        <w:spacing w:line="240" w:lineRule="auto"/>
        <w:ind w:firstLine="421" w:firstLineChars="200"/>
        <w:rPr>
          <w:bCs/>
          <w:szCs w:val="21"/>
        </w:rPr>
      </w:pPr>
      <w:r>
        <w:rPr>
          <w:rFonts w:hint="eastAsia"/>
          <w:b/>
          <w:bCs/>
          <w:szCs w:val="21"/>
        </w:rPr>
        <w:t>3</w:t>
      </w:r>
      <w:r>
        <w:rPr>
          <w:rFonts w:hint="eastAsia"/>
          <w:bCs/>
          <w:szCs w:val="21"/>
        </w:rPr>
        <w:t xml:space="preserve">  应明确定期检查时间与部位，并应形成检查与维护记录。</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 xml:space="preserve"> 物业服务单位应将钢结构住宅装饰装修和使用中的禁止行为和注意事项告知业主或用户，并应在室内装饰装修过程中进行检查督促。</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rFonts w:hint="eastAsia"/>
          <w:bCs/>
          <w:szCs w:val="21"/>
        </w:rPr>
        <w:t>物业服务宜采用信息化手段，宜建立建筑、部品部(构）件、设备与管线等的管理档案。</w:t>
      </w:r>
    </w:p>
    <w:p>
      <w:pPr>
        <w:widowControl/>
        <w:spacing w:line="240" w:lineRule="auto"/>
        <w:jc w:val="left"/>
        <w:rPr>
          <w:rFonts w:ascii="黑体" w:hAnsi="黑体" w:eastAsia="黑体"/>
          <w:sz w:val="30"/>
          <w:szCs w:val="30"/>
        </w:rPr>
      </w:pPr>
      <w:r>
        <w:rPr>
          <w:rFonts w:ascii="黑体" w:hAnsi="黑体" w:eastAsia="黑体"/>
          <w:sz w:val="30"/>
          <w:szCs w:val="30"/>
        </w:rPr>
        <w:br w:type="page"/>
      </w:r>
    </w:p>
    <w:p>
      <w:pPr>
        <w:keepNext/>
        <w:keepLines/>
        <w:spacing w:before="360" w:after="360" w:line="240" w:lineRule="auto"/>
        <w:jc w:val="center"/>
        <w:outlineLvl w:val="0"/>
        <w:rPr>
          <w:rFonts w:ascii="宋体" w:hAnsi="宋体"/>
          <w:b/>
          <w:bCs/>
          <w:sz w:val="28"/>
          <w:szCs w:val="28"/>
        </w:rPr>
      </w:pPr>
      <w:bookmarkStart w:id="52" w:name="_Toc118357482"/>
      <w:bookmarkStart w:id="53" w:name="_Toc19755"/>
      <w:bookmarkStart w:id="54" w:name="_Toc93998976"/>
      <w:bookmarkStart w:id="55" w:name="_Toc93999737"/>
      <w:bookmarkStart w:id="56" w:name="_Toc24663"/>
      <w:bookmarkStart w:id="57" w:name="_Toc82523981"/>
      <w:r>
        <w:rPr>
          <w:rFonts w:hint="eastAsia" w:ascii="宋体" w:hAnsi="宋体"/>
          <w:b/>
          <w:bCs/>
          <w:sz w:val="28"/>
          <w:szCs w:val="28"/>
        </w:rPr>
        <w:t>本标准用词说明</w:t>
      </w:r>
      <w:bookmarkEnd w:id="52"/>
      <w:bookmarkEnd w:id="53"/>
      <w:bookmarkEnd w:id="54"/>
      <w:bookmarkEnd w:id="55"/>
      <w:bookmarkEnd w:id="56"/>
      <w:bookmarkEnd w:id="57"/>
    </w:p>
    <w:p>
      <w:pPr>
        <w:spacing w:line="240" w:lineRule="auto"/>
        <w:ind w:firstLine="421" w:firstLineChars="200"/>
        <w:jc w:val="left"/>
        <w:rPr>
          <w:bCs/>
          <w:szCs w:val="21"/>
        </w:rPr>
      </w:pPr>
      <w:r>
        <w:rPr>
          <w:rFonts w:hint="eastAsia"/>
          <w:b/>
          <w:szCs w:val="21"/>
        </w:rPr>
        <w:t>1</w:t>
      </w:r>
      <w:r>
        <w:rPr>
          <w:rFonts w:hint="eastAsia"/>
          <w:bCs/>
          <w:szCs w:val="21"/>
        </w:rPr>
        <w:t xml:space="preserve"> </w:t>
      </w:r>
      <w:r>
        <w:rPr>
          <w:bCs/>
          <w:szCs w:val="21"/>
        </w:rPr>
        <w:t xml:space="preserve"> </w:t>
      </w:r>
      <w:r>
        <w:rPr>
          <w:rFonts w:hint="eastAsia"/>
          <w:bCs/>
          <w:szCs w:val="21"/>
        </w:rPr>
        <w:t>为了便于在执行本标准条文时区别对待，对要求严格程度不同的用词说明如下：</w:t>
      </w:r>
    </w:p>
    <w:p>
      <w:pPr>
        <w:spacing w:line="240" w:lineRule="auto"/>
        <w:ind w:firstLine="632" w:firstLineChars="300"/>
        <w:jc w:val="left"/>
        <w:rPr>
          <w:rFonts w:cs="宋体"/>
          <w:bCs/>
          <w:szCs w:val="21"/>
        </w:rPr>
      </w:pPr>
      <w:r>
        <w:rPr>
          <w:rFonts w:hint="eastAsia" w:cs="宋体"/>
          <w:b/>
          <w:szCs w:val="21"/>
        </w:rPr>
        <w:t>1</w:t>
      </w:r>
      <w:r>
        <w:rPr>
          <w:rFonts w:hint="eastAsia" w:cs="宋体"/>
          <w:bCs/>
          <w:szCs w:val="21"/>
        </w:rPr>
        <w:t>）表示很严格，非这样做不可的用词：</w:t>
      </w:r>
    </w:p>
    <w:p>
      <w:pPr>
        <w:spacing w:line="240" w:lineRule="auto"/>
        <w:ind w:firstLine="945" w:firstLineChars="450"/>
        <w:jc w:val="left"/>
        <w:outlineLvl w:val="3"/>
        <w:rPr>
          <w:rFonts w:cs="宋体"/>
          <w:szCs w:val="21"/>
        </w:rPr>
      </w:pPr>
      <w:r>
        <w:rPr>
          <w:rFonts w:hint="eastAsia" w:cs="宋体"/>
          <w:szCs w:val="21"/>
        </w:rPr>
        <w:t>正面词采用“必须”，反面词采用“严禁”；</w:t>
      </w:r>
    </w:p>
    <w:p>
      <w:pPr>
        <w:spacing w:line="240" w:lineRule="auto"/>
        <w:ind w:firstLine="632" w:firstLineChars="300"/>
        <w:jc w:val="left"/>
        <w:outlineLvl w:val="3"/>
        <w:rPr>
          <w:rFonts w:eastAsia="黑体" w:cs="黑体"/>
          <w:szCs w:val="21"/>
        </w:rPr>
      </w:pPr>
      <w:r>
        <w:rPr>
          <w:rFonts w:hint="eastAsia" w:eastAsia="黑体"/>
          <w:b/>
          <w:bCs/>
          <w:szCs w:val="21"/>
        </w:rPr>
        <w:t>2</w:t>
      </w:r>
      <w:r>
        <w:rPr>
          <w:rFonts w:hint="eastAsia" w:eastAsia="黑体"/>
          <w:bCs/>
          <w:szCs w:val="21"/>
        </w:rPr>
        <w:t>）</w:t>
      </w:r>
      <w:r>
        <w:rPr>
          <w:rFonts w:hint="eastAsia" w:cs="宋体"/>
          <w:szCs w:val="21"/>
        </w:rPr>
        <w:t>表示严格，在正常情况下均应这样做的用词：</w:t>
      </w:r>
    </w:p>
    <w:p>
      <w:pPr>
        <w:spacing w:line="240" w:lineRule="auto"/>
        <w:ind w:firstLine="945" w:firstLineChars="450"/>
        <w:jc w:val="left"/>
        <w:rPr>
          <w:rFonts w:cs="宋体"/>
          <w:szCs w:val="21"/>
        </w:rPr>
      </w:pPr>
      <w:r>
        <w:rPr>
          <w:rFonts w:hint="eastAsia" w:cs="宋体"/>
          <w:szCs w:val="21"/>
        </w:rPr>
        <w:t>正面词采用“应”，反面词采用“不应”或“不得”；</w:t>
      </w:r>
    </w:p>
    <w:p>
      <w:pPr>
        <w:spacing w:line="240" w:lineRule="auto"/>
        <w:ind w:firstLine="632" w:firstLineChars="300"/>
        <w:jc w:val="left"/>
        <w:outlineLvl w:val="3"/>
        <w:rPr>
          <w:rFonts w:eastAsia="黑体" w:cs="黑体"/>
          <w:szCs w:val="21"/>
        </w:rPr>
      </w:pPr>
      <w:r>
        <w:rPr>
          <w:rFonts w:hint="eastAsia" w:eastAsia="黑体"/>
          <w:b/>
          <w:bCs/>
          <w:szCs w:val="21"/>
        </w:rPr>
        <w:t>3</w:t>
      </w:r>
      <w:r>
        <w:rPr>
          <w:rFonts w:hint="eastAsia" w:eastAsia="黑体"/>
          <w:bCs/>
          <w:szCs w:val="21"/>
        </w:rPr>
        <w:t>）</w:t>
      </w:r>
      <w:r>
        <w:rPr>
          <w:rFonts w:hint="eastAsia" w:cs="宋体"/>
          <w:szCs w:val="21"/>
        </w:rPr>
        <w:t>表示允许稍有选择，在条件许可时首先应这样做的用词：</w:t>
      </w:r>
    </w:p>
    <w:p>
      <w:pPr>
        <w:spacing w:line="240" w:lineRule="auto"/>
        <w:ind w:firstLine="945" w:firstLineChars="450"/>
        <w:jc w:val="left"/>
        <w:rPr>
          <w:rFonts w:cs="宋体"/>
          <w:szCs w:val="21"/>
        </w:rPr>
      </w:pPr>
      <w:r>
        <w:rPr>
          <w:rFonts w:hint="eastAsia" w:cs="宋体"/>
          <w:szCs w:val="21"/>
        </w:rPr>
        <w:t>正面词采用“宜”，反面词采用“不宜”；</w:t>
      </w:r>
    </w:p>
    <w:p>
      <w:pPr>
        <w:spacing w:line="240" w:lineRule="auto"/>
        <w:ind w:firstLine="632" w:firstLineChars="300"/>
        <w:jc w:val="left"/>
        <w:outlineLvl w:val="3"/>
        <w:rPr>
          <w:rFonts w:cs="宋体"/>
          <w:szCs w:val="21"/>
        </w:rPr>
      </w:pPr>
      <w:r>
        <w:rPr>
          <w:rFonts w:hint="eastAsia" w:eastAsia="黑体"/>
          <w:b/>
          <w:bCs/>
          <w:szCs w:val="21"/>
        </w:rPr>
        <w:t>4</w:t>
      </w:r>
      <w:r>
        <w:rPr>
          <w:rFonts w:hint="eastAsia" w:eastAsia="黑体"/>
          <w:bCs/>
          <w:szCs w:val="21"/>
        </w:rPr>
        <w:t>）</w:t>
      </w:r>
      <w:r>
        <w:rPr>
          <w:rFonts w:hint="eastAsia" w:cs="宋体"/>
          <w:szCs w:val="21"/>
        </w:rPr>
        <w:t>表示有选择，在一定条件下可以这样做的用词，采用“可”。</w:t>
      </w:r>
    </w:p>
    <w:p>
      <w:pPr>
        <w:spacing w:line="240" w:lineRule="auto"/>
        <w:ind w:firstLine="421" w:firstLineChars="200"/>
        <w:jc w:val="left"/>
        <w:rPr>
          <w:rFonts w:cs="宋体"/>
          <w:szCs w:val="21"/>
        </w:rPr>
      </w:pPr>
      <w:r>
        <w:rPr>
          <w:rFonts w:hint="eastAsia" w:eastAsia="黑体"/>
          <w:b/>
          <w:bCs/>
          <w:szCs w:val="21"/>
        </w:rPr>
        <w:t>2</w:t>
      </w:r>
      <w:r>
        <w:rPr>
          <w:rFonts w:hint="eastAsia" w:cs="宋体"/>
          <w:szCs w:val="21"/>
        </w:rPr>
        <w:t xml:space="preserve"> </w:t>
      </w:r>
      <w:r>
        <w:rPr>
          <w:rFonts w:cs="宋体"/>
          <w:szCs w:val="21"/>
        </w:rPr>
        <w:t xml:space="preserve"> </w:t>
      </w:r>
      <w:r>
        <w:rPr>
          <w:rFonts w:hint="eastAsia" w:cs="宋体"/>
          <w:szCs w:val="21"/>
        </w:rPr>
        <w:t>条文中指明应按其他有关的标准执行的写法为“应符合……的规定”或“应按……执行”。</w:t>
      </w:r>
    </w:p>
    <w:p>
      <w:pPr>
        <w:keepNext/>
        <w:keepLines/>
        <w:spacing w:before="360" w:after="360" w:line="240" w:lineRule="auto"/>
        <w:jc w:val="center"/>
        <w:outlineLvl w:val="0"/>
        <w:rPr>
          <w:rFonts w:cs="宋体"/>
          <w:bCs/>
          <w:sz w:val="28"/>
          <w:szCs w:val="28"/>
        </w:rPr>
      </w:pPr>
      <w:r>
        <w:rPr>
          <w:szCs w:val="21"/>
        </w:rPr>
        <w:br w:type="page"/>
      </w:r>
      <w:bookmarkStart w:id="58" w:name="_Toc25092"/>
      <w:bookmarkStart w:id="59" w:name="_Toc118357483"/>
      <w:bookmarkStart w:id="60" w:name="_Toc93998977"/>
      <w:bookmarkStart w:id="61" w:name="_Toc4925"/>
      <w:bookmarkStart w:id="62" w:name="_Toc31437"/>
      <w:bookmarkStart w:id="63" w:name="_Toc82523982"/>
      <w:bookmarkStart w:id="64" w:name="_Toc93999738"/>
      <w:r>
        <w:rPr>
          <w:rFonts w:hint="eastAsia" w:cs="宋体"/>
          <w:bCs/>
          <w:sz w:val="28"/>
          <w:szCs w:val="28"/>
        </w:rPr>
        <w:t>引用标准名录</w:t>
      </w:r>
      <w:bookmarkEnd w:id="58"/>
      <w:bookmarkEnd w:id="59"/>
      <w:bookmarkEnd w:id="60"/>
      <w:bookmarkEnd w:id="61"/>
      <w:bookmarkEnd w:id="62"/>
      <w:bookmarkEnd w:id="63"/>
      <w:bookmarkEnd w:id="64"/>
    </w:p>
    <w:p>
      <w:pPr>
        <w:spacing w:line="240" w:lineRule="auto"/>
        <w:ind w:firstLine="421" w:firstLineChars="200"/>
        <w:jc w:val="left"/>
        <w:rPr>
          <w:rFonts w:cs="宋体"/>
          <w:szCs w:val="21"/>
        </w:rPr>
      </w:pPr>
      <w:r>
        <w:rPr>
          <w:rFonts w:hint="eastAsia" w:cs="宋体"/>
          <w:b/>
          <w:szCs w:val="21"/>
        </w:rPr>
        <w:t xml:space="preserve">1 </w:t>
      </w:r>
      <w:r>
        <w:rPr>
          <w:rFonts w:cs="宋体"/>
          <w:b/>
          <w:szCs w:val="21"/>
        </w:rPr>
        <w:t xml:space="preserve"> </w:t>
      </w:r>
      <w:r>
        <w:rPr>
          <w:rFonts w:hint="eastAsia" w:cs="宋体"/>
          <w:szCs w:val="21"/>
        </w:rPr>
        <w:t>《建筑模数协调标准》GB/T</w:t>
      </w:r>
      <w:r>
        <w:rPr>
          <w:rFonts w:cs="宋体"/>
          <w:szCs w:val="21"/>
        </w:rPr>
        <w:t xml:space="preserve"> </w:t>
      </w:r>
      <w:r>
        <w:rPr>
          <w:rFonts w:hint="eastAsia" w:cs="宋体"/>
          <w:szCs w:val="21"/>
        </w:rPr>
        <w:t>50002</w:t>
      </w:r>
    </w:p>
    <w:p>
      <w:pPr>
        <w:spacing w:line="240" w:lineRule="auto"/>
        <w:ind w:firstLine="421" w:firstLineChars="200"/>
        <w:jc w:val="left"/>
        <w:rPr>
          <w:rFonts w:cs="宋体"/>
          <w:szCs w:val="21"/>
        </w:rPr>
      </w:pPr>
      <w:r>
        <w:rPr>
          <w:rFonts w:hint="eastAsia" w:cs="宋体"/>
          <w:b/>
          <w:szCs w:val="21"/>
        </w:rPr>
        <w:t xml:space="preserve">2 </w:t>
      </w:r>
      <w:r>
        <w:rPr>
          <w:rFonts w:cs="宋体"/>
          <w:b/>
          <w:szCs w:val="21"/>
        </w:rPr>
        <w:t xml:space="preserve"> </w:t>
      </w:r>
      <w:r>
        <w:rPr>
          <w:rFonts w:hint="eastAsia" w:cs="宋体"/>
          <w:szCs w:val="21"/>
        </w:rPr>
        <w:t>《建筑结构荷载规范》GB</w:t>
      </w:r>
      <w:r>
        <w:rPr>
          <w:rFonts w:cs="宋体"/>
          <w:szCs w:val="21"/>
        </w:rPr>
        <w:t xml:space="preserve"> </w:t>
      </w:r>
      <w:r>
        <w:rPr>
          <w:rFonts w:hint="eastAsia" w:cs="宋体"/>
          <w:szCs w:val="21"/>
        </w:rPr>
        <w:t>50009</w:t>
      </w:r>
    </w:p>
    <w:p>
      <w:pPr>
        <w:spacing w:line="240" w:lineRule="auto"/>
        <w:ind w:firstLine="421" w:firstLineChars="200"/>
        <w:jc w:val="left"/>
        <w:rPr>
          <w:rFonts w:cs="宋体"/>
          <w:szCs w:val="21"/>
        </w:rPr>
      </w:pPr>
      <w:r>
        <w:rPr>
          <w:rFonts w:hint="eastAsia" w:cs="宋体"/>
          <w:b/>
          <w:szCs w:val="21"/>
        </w:rPr>
        <w:t>3</w:t>
      </w:r>
      <w:r>
        <w:rPr>
          <w:rFonts w:cs="宋体"/>
          <w:b/>
          <w:szCs w:val="21"/>
        </w:rPr>
        <w:t xml:space="preserve"> </w:t>
      </w:r>
      <w:r>
        <w:rPr>
          <w:rFonts w:hint="eastAsia" w:cs="宋体"/>
          <w:b/>
          <w:szCs w:val="21"/>
        </w:rPr>
        <w:t xml:space="preserve"> </w:t>
      </w:r>
      <w:r>
        <w:rPr>
          <w:rFonts w:hint="eastAsia" w:cs="宋体"/>
          <w:szCs w:val="21"/>
        </w:rPr>
        <w:t>《建筑抗震设计规范》GB</w:t>
      </w:r>
      <w:r>
        <w:rPr>
          <w:rFonts w:cs="宋体"/>
          <w:szCs w:val="21"/>
        </w:rPr>
        <w:t xml:space="preserve"> </w:t>
      </w:r>
      <w:r>
        <w:rPr>
          <w:rFonts w:hint="eastAsia" w:cs="宋体"/>
          <w:szCs w:val="21"/>
        </w:rPr>
        <w:t>50011</w:t>
      </w:r>
    </w:p>
    <w:p>
      <w:pPr>
        <w:spacing w:line="240" w:lineRule="auto"/>
        <w:ind w:firstLine="421" w:firstLineChars="200"/>
        <w:jc w:val="left"/>
        <w:rPr>
          <w:rFonts w:cs="宋体"/>
          <w:szCs w:val="21"/>
        </w:rPr>
      </w:pPr>
      <w:r>
        <w:rPr>
          <w:rFonts w:hint="eastAsia" w:cs="宋体"/>
          <w:b/>
          <w:szCs w:val="21"/>
        </w:rPr>
        <w:t xml:space="preserve">4 </w:t>
      </w:r>
      <w:r>
        <w:rPr>
          <w:rFonts w:cs="宋体"/>
          <w:b/>
          <w:szCs w:val="21"/>
        </w:rPr>
        <w:t xml:space="preserve"> </w:t>
      </w:r>
      <w:r>
        <w:rPr>
          <w:rFonts w:hint="eastAsia" w:cs="宋体"/>
          <w:szCs w:val="21"/>
        </w:rPr>
        <w:t>《建筑设计防火规范》GB</w:t>
      </w:r>
      <w:r>
        <w:rPr>
          <w:rFonts w:cs="宋体"/>
          <w:szCs w:val="21"/>
        </w:rPr>
        <w:t xml:space="preserve"> </w:t>
      </w:r>
      <w:r>
        <w:rPr>
          <w:rFonts w:hint="eastAsia" w:cs="宋体"/>
          <w:szCs w:val="21"/>
        </w:rPr>
        <w:t>50016</w:t>
      </w:r>
    </w:p>
    <w:p>
      <w:pPr>
        <w:spacing w:line="240" w:lineRule="auto"/>
        <w:ind w:firstLine="421" w:firstLineChars="200"/>
        <w:jc w:val="left"/>
        <w:rPr>
          <w:rFonts w:cs="宋体"/>
          <w:szCs w:val="21"/>
        </w:rPr>
      </w:pPr>
      <w:r>
        <w:rPr>
          <w:rFonts w:hint="eastAsia" w:cs="宋体"/>
          <w:b/>
          <w:szCs w:val="21"/>
        </w:rPr>
        <w:t xml:space="preserve">5 </w:t>
      </w:r>
      <w:r>
        <w:rPr>
          <w:rFonts w:cs="宋体"/>
          <w:b/>
          <w:szCs w:val="21"/>
        </w:rPr>
        <w:t xml:space="preserve"> </w:t>
      </w:r>
      <w:r>
        <w:rPr>
          <w:rFonts w:hint="eastAsia" w:cs="宋体"/>
          <w:szCs w:val="21"/>
        </w:rPr>
        <w:t>《钢结构设计标准》GB</w:t>
      </w:r>
      <w:r>
        <w:rPr>
          <w:rFonts w:cs="宋体"/>
          <w:szCs w:val="21"/>
        </w:rPr>
        <w:t xml:space="preserve"> </w:t>
      </w:r>
      <w:r>
        <w:rPr>
          <w:rFonts w:hint="eastAsia" w:cs="宋体"/>
          <w:szCs w:val="21"/>
        </w:rPr>
        <w:t>50017</w:t>
      </w:r>
    </w:p>
    <w:p>
      <w:pPr>
        <w:spacing w:line="240" w:lineRule="auto"/>
        <w:ind w:firstLine="421" w:firstLineChars="200"/>
        <w:jc w:val="left"/>
        <w:rPr>
          <w:rFonts w:cs="宋体"/>
          <w:szCs w:val="21"/>
        </w:rPr>
      </w:pPr>
      <w:r>
        <w:rPr>
          <w:rFonts w:hint="eastAsia" w:cs="宋体"/>
          <w:b/>
          <w:szCs w:val="21"/>
        </w:rPr>
        <w:t>6</w:t>
      </w:r>
      <w:r>
        <w:rPr>
          <w:rFonts w:cs="宋体"/>
          <w:b/>
          <w:szCs w:val="21"/>
        </w:rPr>
        <w:t xml:space="preserve"> </w:t>
      </w:r>
      <w:r>
        <w:rPr>
          <w:rFonts w:hint="eastAsia" w:cs="宋体"/>
          <w:b/>
          <w:szCs w:val="21"/>
        </w:rPr>
        <w:t xml:space="preserve"> </w:t>
      </w:r>
      <w:r>
        <w:rPr>
          <w:rFonts w:hint="eastAsia" w:cs="宋体"/>
          <w:szCs w:val="21"/>
        </w:rPr>
        <w:t>《城镇燃气设计规范》GB</w:t>
      </w:r>
      <w:r>
        <w:rPr>
          <w:rFonts w:cs="宋体"/>
          <w:szCs w:val="21"/>
        </w:rPr>
        <w:t xml:space="preserve"> </w:t>
      </w:r>
      <w:r>
        <w:rPr>
          <w:rFonts w:hint="eastAsia" w:cs="宋体"/>
          <w:szCs w:val="21"/>
        </w:rPr>
        <w:t>50028</w:t>
      </w:r>
    </w:p>
    <w:p>
      <w:pPr>
        <w:spacing w:line="240" w:lineRule="auto"/>
        <w:ind w:firstLine="421" w:firstLineChars="200"/>
        <w:jc w:val="left"/>
        <w:rPr>
          <w:rFonts w:cs="宋体"/>
          <w:szCs w:val="21"/>
        </w:rPr>
      </w:pPr>
      <w:r>
        <w:rPr>
          <w:rFonts w:hint="eastAsia" w:cs="宋体"/>
          <w:b/>
          <w:szCs w:val="21"/>
        </w:rPr>
        <w:t xml:space="preserve">7 </w:t>
      </w:r>
      <w:r>
        <w:rPr>
          <w:rFonts w:cs="宋体"/>
          <w:b/>
          <w:szCs w:val="21"/>
        </w:rPr>
        <w:t xml:space="preserve"> </w:t>
      </w:r>
      <w:r>
        <w:rPr>
          <w:rFonts w:hint="eastAsia" w:cs="宋体"/>
          <w:szCs w:val="21"/>
        </w:rPr>
        <w:t>《建筑物防雷设计规范》GB</w:t>
      </w:r>
      <w:r>
        <w:rPr>
          <w:rFonts w:cs="宋体"/>
          <w:szCs w:val="21"/>
        </w:rPr>
        <w:t xml:space="preserve"> </w:t>
      </w:r>
      <w:r>
        <w:rPr>
          <w:rFonts w:hint="eastAsia" w:cs="宋体"/>
          <w:szCs w:val="21"/>
        </w:rPr>
        <w:t>50057</w:t>
      </w:r>
    </w:p>
    <w:p>
      <w:pPr>
        <w:spacing w:line="240" w:lineRule="auto"/>
        <w:ind w:firstLine="421" w:firstLineChars="200"/>
        <w:jc w:val="left"/>
        <w:rPr>
          <w:rFonts w:cs="宋体"/>
          <w:szCs w:val="21"/>
        </w:rPr>
      </w:pPr>
      <w:r>
        <w:rPr>
          <w:rFonts w:hint="eastAsia" w:cs="宋体"/>
          <w:b/>
          <w:szCs w:val="21"/>
        </w:rPr>
        <w:t xml:space="preserve">8 </w:t>
      </w:r>
      <w:r>
        <w:rPr>
          <w:rFonts w:cs="宋体"/>
          <w:b/>
          <w:szCs w:val="21"/>
        </w:rPr>
        <w:t xml:space="preserve"> </w:t>
      </w:r>
      <w:r>
        <w:rPr>
          <w:rFonts w:hint="eastAsia" w:cs="宋体"/>
          <w:szCs w:val="21"/>
        </w:rPr>
        <w:t>《住宅设计规范》GB</w:t>
      </w:r>
      <w:r>
        <w:rPr>
          <w:rFonts w:cs="宋体"/>
          <w:szCs w:val="21"/>
        </w:rPr>
        <w:t xml:space="preserve"> </w:t>
      </w:r>
      <w:r>
        <w:rPr>
          <w:rFonts w:hint="eastAsia" w:cs="宋体"/>
          <w:szCs w:val="21"/>
        </w:rPr>
        <w:t>50096</w:t>
      </w:r>
    </w:p>
    <w:p>
      <w:pPr>
        <w:spacing w:line="240" w:lineRule="auto"/>
        <w:ind w:firstLine="421" w:firstLineChars="200"/>
        <w:jc w:val="left"/>
        <w:rPr>
          <w:rFonts w:cs="宋体"/>
          <w:szCs w:val="21"/>
        </w:rPr>
      </w:pPr>
      <w:r>
        <w:rPr>
          <w:rFonts w:hint="eastAsia" w:cs="宋体"/>
          <w:b/>
          <w:szCs w:val="21"/>
        </w:rPr>
        <w:t xml:space="preserve">9 </w:t>
      </w:r>
      <w:r>
        <w:rPr>
          <w:rFonts w:cs="宋体"/>
          <w:b/>
          <w:szCs w:val="21"/>
        </w:rPr>
        <w:t xml:space="preserve"> </w:t>
      </w:r>
      <w:r>
        <w:rPr>
          <w:rFonts w:hint="eastAsia" w:cs="宋体"/>
          <w:szCs w:val="21"/>
        </w:rPr>
        <w:t>《民用建筑隔声设计规范》GB</w:t>
      </w:r>
      <w:r>
        <w:rPr>
          <w:rFonts w:cs="宋体"/>
          <w:szCs w:val="21"/>
        </w:rPr>
        <w:t xml:space="preserve"> </w:t>
      </w:r>
      <w:r>
        <w:rPr>
          <w:rFonts w:hint="eastAsia" w:cs="宋体"/>
          <w:szCs w:val="21"/>
        </w:rPr>
        <w:t>50118</w:t>
      </w:r>
    </w:p>
    <w:p>
      <w:pPr>
        <w:spacing w:line="240" w:lineRule="auto"/>
        <w:ind w:firstLine="421" w:firstLineChars="200"/>
        <w:jc w:val="left"/>
        <w:rPr>
          <w:rFonts w:cs="宋体"/>
          <w:szCs w:val="21"/>
        </w:rPr>
      </w:pPr>
      <w:r>
        <w:rPr>
          <w:rFonts w:hint="eastAsia" w:cs="宋体"/>
          <w:b/>
          <w:szCs w:val="21"/>
        </w:rPr>
        <w:t>10</w:t>
      </w:r>
      <w:r>
        <w:rPr>
          <w:rFonts w:cs="宋体"/>
          <w:b/>
          <w:szCs w:val="21"/>
        </w:rPr>
        <w:t xml:space="preserve"> </w:t>
      </w:r>
      <w:r>
        <w:rPr>
          <w:rFonts w:hint="eastAsia" w:cs="宋体"/>
          <w:szCs w:val="21"/>
        </w:rPr>
        <w:t xml:space="preserve"> 《工程结构可靠性设统一标准》GB</w:t>
      </w:r>
      <w:r>
        <w:rPr>
          <w:rFonts w:cs="宋体"/>
          <w:szCs w:val="21"/>
        </w:rPr>
        <w:t xml:space="preserve"> </w:t>
      </w:r>
      <w:r>
        <w:rPr>
          <w:rFonts w:hint="eastAsia" w:cs="宋体"/>
          <w:szCs w:val="21"/>
        </w:rPr>
        <w:t>50153</w:t>
      </w:r>
    </w:p>
    <w:p>
      <w:pPr>
        <w:spacing w:line="240" w:lineRule="auto"/>
        <w:ind w:firstLine="421" w:firstLineChars="200"/>
        <w:jc w:val="left"/>
        <w:rPr>
          <w:rFonts w:cs="宋体"/>
          <w:szCs w:val="21"/>
        </w:rPr>
      </w:pPr>
      <w:r>
        <w:rPr>
          <w:rFonts w:hint="eastAsia" w:cs="宋体"/>
          <w:b/>
          <w:szCs w:val="21"/>
        </w:rPr>
        <w:t xml:space="preserve">11 </w:t>
      </w:r>
      <w:r>
        <w:rPr>
          <w:rFonts w:cs="宋体"/>
          <w:szCs w:val="21"/>
        </w:rPr>
        <w:t xml:space="preserve"> </w:t>
      </w:r>
      <w:r>
        <w:rPr>
          <w:rFonts w:hint="eastAsia" w:cs="宋体"/>
          <w:szCs w:val="21"/>
        </w:rPr>
        <w:t>《民用建筑热工设计规范》GB</w:t>
      </w:r>
      <w:r>
        <w:rPr>
          <w:rFonts w:cs="宋体"/>
          <w:szCs w:val="21"/>
        </w:rPr>
        <w:t xml:space="preserve"> </w:t>
      </w:r>
      <w:r>
        <w:rPr>
          <w:rFonts w:hint="eastAsia" w:cs="宋体"/>
          <w:szCs w:val="21"/>
        </w:rPr>
        <w:t>50176</w:t>
      </w:r>
    </w:p>
    <w:p>
      <w:pPr>
        <w:spacing w:line="240" w:lineRule="auto"/>
        <w:ind w:firstLine="421" w:firstLineChars="200"/>
        <w:jc w:val="left"/>
        <w:rPr>
          <w:rFonts w:cs="宋体"/>
          <w:szCs w:val="21"/>
        </w:rPr>
      </w:pPr>
      <w:r>
        <w:rPr>
          <w:rFonts w:hint="eastAsia" w:cs="宋体"/>
          <w:b/>
          <w:szCs w:val="21"/>
        </w:rPr>
        <w:t xml:space="preserve">12 </w:t>
      </w:r>
      <w:r>
        <w:rPr>
          <w:rFonts w:cs="宋体"/>
          <w:szCs w:val="21"/>
        </w:rPr>
        <w:t xml:space="preserve"> </w:t>
      </w:r>
      <w:r>
        <w:rPr>
          <w:rFonts w:hint="eastAsia" w:cs="宋体"/>
          <w:szCs w:val="21"/>
        </w:rPr>
        <w:t>《建筑地基工程施工质量验收标准》GB</w:t>
      </w:r>
      <w:r>
        <w:rPr>
          <w:rFonts w:cs="宋体"/>
          <w:szCs w:val="21"/>
        </w:rPr>
        <w:t xml:space="preserve"> </w:t>
      </w:r>
      <w:r>
        <w:rPr>
          <w:rFonts w:hint="eastAsia" w:cs="宋体"/>
          <w:szCs w:val="21"/>
        </w:rPr>
        <w:t>50202</w:t>
      </w:r>
    </w:p>
    <w:p>
      <w:pPr>
        <w:spacing w:line="240" w:lineRule="auto"/>
        <w:ind w:firstLine="421" w:firstLineChars="200"/>
        <w:jc w:val="left"/>
        <w:rPr>
          <w:rFonts w:cs="宋体"/>
          <w:szCs w:val="21"/>
        </w:rPr>
      </w:pPr>
      <w:r>
        <w:rPr>
          <w:rFonts w:hint="eastAsia" w:cs="宋体"/>
          <w:b/>
          <w:szCs w:val="21"/>
        </w:rPr>
        <w:t xml:space="preserve">13 </w:t>
      </w:r>
      <w:r>
        <w:rPr>
          <w:rFonts w:cs="宋体"/>
          <w:szCs w:val="21"/>
        </w:rPr>
        <w:t xml:space="preserve"> </w:t>
      </w:r>
      <w:r>
        <w:rPr>
          <w:rFonts w:hint="eastAsia" w:cs="宋体"/>
          <w:szCs w:val="21"/>
        </w:rPr>
        <w:t>《混凝土结构工程施工质量验收规范》GB</w:t>
      </w:r>
      <w:r>
        <w:rPr>
          <w:rFonts w:cs="宋体"/>
          <w:szCs w:val="21"/>
        </w:rPr>
        <w:t xml:space="preserve"> </w:t>
      </w:r>
      <w:r>
        <w:rPr>
          <w:rFonts w:hint="eastAsia" w:cs="宋体"/>
          <w:szCs w:val="21"/>
        </w:rPr>
        <w:t>50204</w:t>
      </w:r>
    </w:p>
    <w:p>
      <w:pPr>
        <w:spacing w:line="240" w:lineRule="auto"/>
        <w:ind w:firstLine="421" w:firstLineChars="200"/>
        <w:jc w:val="left"/>
        <w:rPr>
          <w:rFonts w:cs="宋体"/>
          <w:szCs w:val="21"/>
        </w:rPr>
      </w:pPr>
      <w:r>
        <w:rPr>
          <w:rFonts w:hint="eastAsia" w:cs="宋体"/>
          <w:b/>
          <w:szCs w:val="21"/>
        </w:rPr>
        <w:t xml:space="preserve">14 </w:t>
      </w:r>
      <w:r>
        <w:rPr>
          <w:rFonts w:cs="宋体"/>
          <w:szCs w:val="21"/>
        </w:rPr>
        <w:t xml:space="preserve"> </w:t>
      </w:r>
      <w:r>
        <w:rPr>
          <w:rFonts w:hint="eastAsia" w:cs="宋体"/>
          <w:szCs w:val="21"/>
        </w:rPr>
        <w:t>《钢结构工程施工质量验收标准》GB</w:t>
      </w:r>
      <w:r>
        <w:rPr>
          <w:rFonts w:cs="宋体"/>
          <w:szCs w:val="21"/>
        </w:rPr>
        <w:t xml:space="preserve"> </w:t>
      </w:r>
      <w:r>
        <w:rPr>
          <w:rFonts w:hint="eastAsia" w:cs="宋体"/>
          <w:szCs w:val="21"/>
        </w:rPr>
        <w:t>50205</w:t>
      </w:r>
    </w:p>
    <w:p>
      <w:pPr>
        <w:spacing w:line="240" w:lineRule="auto"/>
        <w:ind w:firstLine="421" w:firstLineChars="200"/>
        <w:jc w:val="left"/>
        <w:rPr>
          <w:rFonts w:cs="宋体"/>
          <w:szCs w:val="21"/>
        </w:rPr>
      </w:pPr>
      <w:r>
        <w:rPr>
          <w:rFonts w:hint="eastAsia" w:cs="宋体"/>
          <w:b/>
          <w:szCs w:val="21"/>
        </w:rPr>
        <w:t xml:space="preserve">15 </w:t>
      </w:r>
      <w:r>
        <w:rPr>
          <w:rFonts w:cs="宋体"/>
          <w:szCs w:val="21"/>
        </w:rPr>
        <w:t xml:space="preserve"> </w:t>
      </w:r>
      <w:r>
        <w:rPr>
          <w:rFonts w:hint="eastAsia" w:cs="宋体"/>
          <w:szCs w:val="21"/>
        </w:rPr>
        <w:t>《屋面工程质量验收标准》GB</w:t>
      </w:r>
      <w:r>
        <w:rPr>
          <w:rFonts w:cs="宋体"/>
          <w:szCs w:val="21"/>
        </w:rPr>
        <w:t xml:space="preserve"> </w:t>
      </w:r>
      <w:r>
        <w:rPr>
          <w:rFonts w:hint="eastAsia" w:cs="宋体"/>
          <w:szCs w:val="21"/>
        </w:rPr>
        <w:t>50207</w:t>
      </w:r>
    </w:p>
    <w:p>
      <w:pPr>
        <w:spacing w:line="240" w:lineRule="auto"/>
        <w:ind w:firstLine="421" w:firstLineChars="200"/>
        <w:jc w:val="left"/>
        <w:rPr>
          <w:rFonts w:cs="宋体"/>
          <w:szCs w:val="21"/>
        </w:rPr>
      </w:pPr>
      <w:r>
        <w:rPr>
          <w:rFonts w:hint="eastAsia" w:cs="宋体"/>
          <w:b/>
          <w:szCs w:val="21"/>
        </w:rPr>
        <w:t xml:space="preserve">16 </w:t>
      </w:r>
      <w:r>
        <w:rPr>
          <w:rFonts w:cs="宋体"/>
          <w:szCs w:val="21"/>
        </w:rPr>
        <w:t xml:space="preserve"> </w:t>
      </w:r>
      <w:r>
        <w:rPr>
          <w:rFonts w:hint="eastAsia" w:cs="宋体"/>
          <w:szCs w:val="21"/>
        </w:rPr>
        <w:t>《建筑装饰装修工程质量验收标准》GB</w:t>
      </w:r>
      <w:r>
        <w:rPr>
          <w:rFonts w:cs="宋体"/>
          <w:szCs w:val="21"/>
        </w:rPr>
        <w:t xml:space="preserve"> </w:t>
      </w:r>
      <w:r>
        <w:rPr>
          <w:rFonts w:hint="eastAsia" w:cs="宋体"/>
          <w:szCs w:val="21"/>
        </w:rPr>
        <w:t>50210</w:t>
      </w:r>
    </w:p>
    <w:p>
      <w:pPr>
        <w:spacing w:line="240" w:lineRule="auto"/>
        <w:ind w:firstLine="421" w:firstLineChars="200"/>
        <w:jc w:val="left"/>
        <w:rPr>
          <w:rFonts w:cs="宋体"/>
          <w:szCs w:val="21"/>
        </w:rPr>
      </w:pPr>
      <w:r>
        <w:rPr>
          <w:rFonts w:hint="eastAsia" w:cs="宋体"/>
          <w:b/>
          <w:szCs w:val="21"/>
        </w:rPr>
        <w:t>17</w:t>
      </w:r>
      <w:r>
        <w:rPr>
          <w:rFonts w:cs="宋体"/>
          <w:b/>
          <w:szCs w:val="21"/>
        </w:rPr>
        <w:t xml:space="preserve"> </w:t>
      </w:r>
      <w:r>
        <w:rPr>
          <w:rFonts w:hint="eastAsia" w:cs="宋体"/>
          <w:szCs w:val="21"/>
        </w:rPr>
        <w:t xml:space="preserve"> 《建筑内部装修设计防火规范》GB</w:t>
      </w:r>
      <w:r>
        <w:rPr>
          <w:rFonts w:cs="宋体"/>
          <w:szCs w:val="21"/>
        </w:rPr>
        <w:t xml:space="preserve"> </w:t>
      </w:r>
      <w:r>
        <w:rPr>
          <w:rFonts w:hint="eastAsia" w:cs="宋体"/>
          <w:szCs w:val="21"/>
        </w:rPr>
        <w:t>50222</w:t>
      </w:r>
    </w:p>
    <w:p>
      <w:pPr>
        <w:spacing w:line="240" w:lineRule="auto"/>
        <w:ind w:firstLine="421" w:firstLineChars="200"/>
        <w:jc w:val="left"/>
        <w:rPr>
          <w:rFonts w:cs="宋体"/>
          <w:szCs w:val="21"/>
        </w:rPr>
      </w:pPr>
      <w:r>
        <w:rPr>
          <w:rFonts w:hint="eastAsia" w:cs="宋体"/>
          <w:b/>
          <w:szCs w:val="21"/>
        </w:rPr>
        <w:t xml:space="preserve">18 </w:t>
      </w:r>
      <w:r>
        <w:rPr>
          <w:rFonts w:cs="宋体"/>
          <w:szCs w:val="21"/>
        </w:rPr>
        <w:t xml:space="preserve"> </w:t>
      </w:r>
      <w:r>
        <w:rPr>
          <w:rFonts w:hint="eastAsia" w:cs="宋体"/>
          <w:szCs w:val="21"/>
        </w:rPr>
        <w:t>《建筑工程抗震设防分类标准》GB 50223-2008</w:t>
      </w:r>
    </w:p>
    <w:p>
      <w:pPr>
        <w:spacing w:line="240" w:lineRule="auto"/>
        <w:ind w:firstLine="421" w:firstLineChars="200"/>
        <w:jc w:val="left"/>
        <w:rPr>
          <w:rFonts w:cs="宋体"/>
          <w:szCs w:val="21"/>
        </w:rPr>
      </w:pPr>
      <w:r>
        <w:rPr>
          <w:rFonts w:hint="eastAsia" w:cs="宋体"/>
          <w:b/>
          <w:szCs w:val="21"/>
        </w:rPr>
        <w:t xml:space="preserve">19 </w:t>
      </w:r>
      <w:r>
        <w:rPr>
          <w:rFonts w:cs="宋体"/>
          <w:szCs w:val="21"/>
        </w:rPr>
        <w:t xml:space="preserve"> </w:t>
      </w:r>
      <w:r>
        <w:rPr>
          <w:rFonts w:hint="eastAsia" w:cs="宋体"/>
          <w:szCs w:val="21"/>
        </w:rPr>
        <w:t>《建筑给水排水及采暖工程施工质量验收规范》G</w:t>
      </w:r>
      <w:r>
        <w:rPr>
          <w:rFonts w:cs="宋体"/>
          <w:szCs w:val="21"/>
        </w:rPr>
        <w:t xml:space="preserve">B </w:t>
      </w:r>
      <w:r>
        <w:rPr>
          <w:rFonts w:hint="eastAsia" w:cs="宋体"/>
          <w:szCs w:val="21"/>
        </w:rPr>
        <w:t>50242</w:t>
      </w:r>
    </w:p>
    <w:p>
      <w:pPr>
        <w:spacing w:line="240" w:lineRule="auto"/>
        <w:ind w:firstLine="421" w:firstLineChars="200"/>
        <w:jc w:val="left"/>
        <w:rPr>
          <w:rFonts w:cs="宋体"/>
          <w:szCs w:val="21"/>
        </w:rPr>
      </w:pPr>
      <w:r>
        <w:rPr>
          <w:rFonts w:hint="eastAsia" w:cs="宋体"/>
          <w:b/>
          <w:szCs w:val="21"/>
        </w:rPr>
        <w:t xml:space="preserve">20 </w:t>
      </w:r>
      <w:r>
        <w:rPr>
          <w:rFonts w:cs="宋体"/>
          <w:szCs w:val="21"/>
        </w:rPr>
        <w:t xml:space="preserve"> </w:t>
      </w:r>
      <w:r>
        <w:rPr>
          <w:rFonts w:hint="eastAsia" w:cs="宋体"/>
          <w:szCs w:val="21"/>
        </w:rPr>
        <w:t>《通风与空调工程施工质量验收规范》GB</w:t>
      </w:r>
      <w:r>
        <w:rPr>
          <w:rFonts w:cs="宋体"/>
          <w:szCs w:val="21"/>
        </w:rPr>
        <w:t xml:space="preserve"> </w:t>
      </w:r>
      <w:r>
        <w:rPr>
          <w:rFonts w:hint="eastAsia" w:cs="宋体"/>
          <w:szCs w:val="21"/>
        </w:rPr>
        <w:t>50243</w:t>
      </w:r>
    </w:p>
    <w:p>
      <w:pPr>
        <w:spacing w:line="240" w:lineRule="auto"/>
        <w:ind w:firstLine="421" w:firstLineChars="200"/>
        <w:jc w:val="left"/>
        <w:rPr>
          <w:rFonts w:cs="宋体"/>
          <w:szCs w:val="21"/>
        </w:rPr>
      </w:pPr>
      <w:r>
        <w:rPr>
          <w:rFonts w:hint="eastAsia" w:cs="宋体"/>
          <w:b/>
          <w:szCs w:val="21"/>
        </w:rPr>
        <w:t xml:space="preserve">21 </w:t>
      </w:r>
      <w:r>
        <w:rPr>
          <w:rFonts w:cs="宋体"/>
          <w:szCs w:val="21"/>
        </w:rPr>
        <w:t xml:space="preserve"> </w:t>
      </w:r>
      <w:r>
        <w:rPr>
          <w:rFonts w:hint="eastAsia" w:cs="宋体"/>
          <w:szCs w:val="21"/>
        </w:rPr>
        <w:t>《建筑工程施工质量验收统一标准》GB</w:t>
      </w:r>
      <w:r>
        <w:rPr>
          <w:rFonts w:cs="宋体"/>
          <w:szCs w:val="21"/>
        </w:rPr>
        <w:t xml:space="preserve"> </w:t>
      </w:r>
      <w:r>
        <w:rPr>
          <w:rFonts w:hint="eastAsia" w:cs="宋体"/>
          <w:szCs w:val="21"/>
        </w:rPr>
        <w:t>50300</w:t>
      </w:r>
    </w:p>
    <w:p>
      <w:pPr>
        <w:spacing w:line="240" w:lineRule="auto"/>
        <w:ind w:firstLine="421" w:firstLineChars="200"/>
        <w:jc w:val="left"/>
        <w:rPr>
          <w:rFonts w:cs="宋体"/>
          <w:szCs w:val="21"/>
        </w:rPr>
      </w:pPr>
      <w:r>
        <w:rPr>
          <w:rFonts w:hint="eastAsia" w:cs="宋体"/>
          <w:b/>
          <w:szCs w:val="21"/>
        </w:rPr>
        <w:t xml:space="preserve">22 </w:t>
      </w:r>
      <w:r>
        <w:rPr>
          <w:rFonts w:hint="eastAsia" w:cs="宋体"/>
          <w:szCs w:val="21"/>
        </w:rPr>
        <w:t>《建筑电气工程施工质量验收规范》GB</w:t>
      </w:r>
      <w:r>
        <w:rPr>
          <w:rFonts w:cs="宋体"/>
          <w:szCs w:val="21"/>
        </w:rPr>
        <w:t xml:space="preserve"> </w:t>
      </w:r>
      <w:r>
        <w:rPr>
          <w:rFonts w:hint="eastAsia" w:cs="宋体"/>
          <w:szCs w:val="21"/>
        </w:rPr>
        <w:t>50303</w:t>
      </w:r>
    </w:p>
    <w:p>
      <w:pPr>
        <w:spacing w:line="240" w:lineRule="auto"/>
        <w:ind w:firstLine="421" w:firstLineChars="200"/>
        <w:jc w:val="left"/>
        <w:rPr>
          <w:rFonts w:cs="宋体"/>
          <w:szCs w:val="21"/>
        </w:rPr>
      </w:pPr>
      <w:r>
        <w:rPr>
          <w:rFonts w:hint="eastAsia" w:cs="宋体"/>
          <w:b/>
          <w:szCs w:val="21"/>
        </w:rPr>
        <w:t>23</w:t>
      </w:r>
      <w:r>
        <w:rPr>
          <w:rFonts w:cs="宋体"/>
          <w:b/>
          <w:szCs w:val="21"/>
        </w:rPr>
        <w:t xml:space="preserve"> </w:t>
      </w:r>
      <w:r>
        <w:rPr>
          <w:rFonts w:hint="eastAsia" w:cs="宋体"/>
          <w:szCs w:val="21"/>
        </w:rPr>
        <w:t xml:space="preserve"> 《电梯工程施工质量验收规范》GB</w:t>
      </w:r>
      <w:r>
        <w:rPr>
          <w:rFonts w:cs="宋体"/>
          <w:szCs w:val="21"/>
        </w:rPr>
        <w:t xml:space="preserve"> </w:t>
      </w:r>
      <w:r>
        <w:rPr>
          <w:rFonts w:hint="eastAsia" w:cs="宋体"/>
          <w:szCs w:val="21"/>
        </w:rPr>
        <w:t>50310</w:t>
      </w:r>
    </w:p>
    <w:p>
      <w:pPr>
        <w:spacing w:line="240" w:lineRule="auto"/>
        <w:ind w:firstLine="421" w:firstLineChars="200"/>
        <w:jc w:val="left"/>
        <w:rPr>
          <w:rFonts w:cs="宋体"/>
          <w:szCs w:val="21"/>
        </w:rPr>
      </w:pPr>
      <w:r>
        <w:rPr>
          <w:rFonts w:hint="eastAsia" w:cs="宋体"/>
          <w:b/>
          <w:szCs w:val="21"/>
        </w:rPr>
        <w:t xml:space="preserve">24 </w:t>
      </w:r>
      <w:r>
        <w:rPr>
          <w:rFonts w:cs="宋体"/>
          <w:szCs w:val="21"/>
        </w:rPr>
        <w:t xml:space="preserve"> </w:t>
      </w:r>
      <w:r>
        <w:rPr>
          <w:rFonts w:hint="eastAsia" w:cs="宋体"/>
          <w:szCs w:val="21"/>
        </w:rPr>
        <w:t>《民用建筑工程室内环境污染控制规范》GB</w:t>
      </w:r>
      <w:r>
        <w:rPr>
          <w:rFonts w:cs="宋体"/>
          <w:szCs w:val="21"/>
        </w:rPr>
        <w:t xml:space="preserve"> </w:t>
      </w:r>
      <w:r>
        <w:rPr>
          <w:rFonts w:hint="eastAsia" w:cs="宋体"/>
          <w:szCs w:val="21"/>
        </w:rPr>
        <w:t>50325</w:t>
      </w:r>
    </w:p>
    <w:p>
      <w:pPr>
        <w:spacing w:line="240" w:lineRule="auto"/>
        <w:ind w:firstLine="421" w:firstLineChars="200"/>
        <w:jc w:val="left"/>
        <w:rPr>
          <w:rFonts w:cs="宋体"/>
          <w:szCs w:val="21"/>
        </w:rPr>
      </w:pPr>
      <w:r>
        <w:rPr>
          <w:rFonts w:hint="eastAsia" w:cs="宋体"/>
          <w:b/>
          <w:szCs w:val="21"/>
        </w:rPr>
        <w:t xml:space="preserve">25 </w:t>
      </w:r>
      <w:r>
        <w:rPr>
          <w:rFonts w:cs="宋体"/>
          <w:szCs w:val="21"/>
        </w:rPr>
        <w:t xml:space="preserve"> </w:t>
      </w:r>
      <w:r>
        <w:rPr>
          <w:rFonts w:hint="eastAsia" w:cs="宋体"/>
          <w:szCs w:val="21"/>
        </w:rPr>
        <w:t>《智能建筑工程质量验收规范》GB</w:t>
      </w:r>
      <w:r>
        <w:rPr>
          <w:rFonts w:cs="宋体"/>
          <w:szCs w:val="21"/>
        </w:rPr>
        <w:t xml:space="preserve"> </w:t>
      </w:r>
      <w:r>
        <w:rPr>
          <w:rFonts w:hint="eastAsia" w:cs="宋体"/>
          <w:szCs w:val="21"/>
        </w:rPr>
        <w:t>50339</w:t>
      </w:r>
    </w:p>
    <w:p>
      <w:pPr>
        <w:spacing w:line="240" w:lineRule="auto"/>
        <w:ind w:firstLine="421" w:firstLineChars="200"/>
        <w:jc w:val="left"/>
        <w:rPr>
          <w:rFonts w:cs="宋体"/>
          <w:szCs w:val="21"/>
        </w:rPr>
      </w:pPr>
      <w:r>
        <w:rPr>
          <w:rFonts w:hint="eastAsia" w:cs="宋体"/>
          <w:b/>
          <w:szCs w:val="21"/>
        </w:rPr>
        <w:t>26</w:t>
      </w:r>
      <w:r>
        <w:rPr>
          <w:rFonts w:cs="宋体"/>
          <w:b/>
          <w:szCs w:val="21"/>
        </w:rPr>
        <w:t xml:space="preserve"> </w:t>
      </w:r>
      <w:r>
        <w:rPr>
          <w:rFonts w:hint="eastAsia" w:cs="宋体"/>
          <w:szCs w:val="21"/>
        </w:rPr>
        <w:t xml:space="preserve"> 《建筑物电子信息系统防雷技术规范》GB</w:t>
      </w:r>
      <w:r>
        <w:rPr>
          <w:rFonts w:cs="宋体"/>
          <w:szCs w:val="21"/>
        </w:rPr>
        <w:t xml:space="preserve"> </w:t>
      </w:r>
      <w:r>
        <w:rPr>
          <w:rFonts w:hint="eastAsia" w:cs="宋体"/>
          <w:szCs w:val="21"/>
        </w:rPr>
        <w:t>50343</w:t>
      </w:r>
    </w:p>
    <w:p>
      <w:pPr>
        <w:spacing w:line="240" w:lineRule="auto"/>
        <w:ind w:firstLine="421" w:firstLineChars="200"/>
        <w:jc w:val="left"/>
        <w:rPr>
          <w:rFonts w:cs="宋体"/>
          <w:szCs w:val="21"/>
        </w:rPr>
      </w:pPr>
      <w:r>
        <w:rPr>
          <w:rFonts w:hint="eastAsia" w:cs="宋体"/>
          <w:b/>
          <w:szCs w:val="21"/>
        </w:rPr>
        <w:t xml:space="preserve">27 </w:t>
      </w:r>
      <w:r>
        <w:rPr>
          <w:rFonts w:cs="宋体"/>
          <w:szCs w:val="21"/>
        </w:rPr>
        <w:t xml:space="preserve"> </w:t>
      </w:r>
      <w:r>
        <w:rPr>
          <w:rFonts w:hint="eastAsia" w:cs="宋体"/>
          <w:szCs w:val="21"/>
        </w:rPr>
        <w:t>《屋面工程技术规范》GB</w:t>
      </w:r>
      <w:r>
        <w:rPr>
          <w:rFonts w:cs="宋体"/>
          <w:szCs w:val="21"/>
        </w:rPr>
        <w:t xml:space="preserve"> </w:t>
      </w:r>
      <w:r>
        <w:rPr>
          <w:rFonts w:hint="eastAsia" w:cs="宋体"/>
          <w:szCs w:val="21"/>
        </w:rPr>
        <w:t>50345</w:t>
      </w:r>
    </w:p>
    <w:p>
      <w:pPr>
        <w:spacing w:line="240" w:lineRule="auto"/>
        <w:ind w:firstLine="421" w:firstLineChars="200"/>
        <w:jc w:val="left"/>
        <w:rPr>
          <w:rFonts w:cs="宋体"/>
          <w:szCs w:val="21"/>
        </w:rPr>
      </w:pPr>
      <w:r>
        <w:rPr>
          <w:rFonts w:hint="eastAsia" w:cs="宋体"/>
          <w:b/>
          <w:szCs w:val="21"/>
        </w:rPr>
        <w:t xml:space="preserve">28 </w:t>
      </w:r>
      <w:r>
        <w:rPr>
          <w:rFonts w:cs="宋体"/>
          <w:szCs w:val="21"/>
        </w:rPr>
        <w:t xml:space="preserve"> </w:t>
      </w:r>
      <w:r>
        <w:rPr>
          <w:rFonts w:hint="eastAsia" w:cs="宋体"/>
          <w:szCs w:val="21"/>
        </w:rPr>
        <w:t>《住宅建筑规范》GB</w:t>
      </w:r>
      <w:r>
        <w:rPr>
          <w:rFonts w:cs="宋体"/>
          <w:szCs w:val="21"/>
        </w:rPr>
        <w:t xml:space="preserve"> </w:t>
      </w:r>
      <w:r>
        <w:rPr>
          <w:rFonts w:hint="eastAsia" w:cs="宋体"/>
          <w:szCs w:val="21"/>
        </w:rPr>
        <w:t>50368</w:t>
      </w:r>
    </w:p>
    <w:p>
      <w:pPr>
        <w:spacing w:line="240" w:lineRule="auto"/>
        <w:ind w:firstLine="421" w:firstLineChars="200"/>
        <w:jc w:val="left"/>
        <w:rPr>
          <w:rFonts w:cs="宋体"/>
          <w:szCs w:val="21"/>
        </w:rPr>
      </w:pPr>
      <w:r>
        <w:rPr>
          <w:rFonts w:hint="eastAsia" w:cs="宋体"/>
          <w:b/>
          <w:szCs w:val="21"/>
        </w:rPr>
        <w:t xml:space="preserve">29 </w:t>
      </w:r>
      <w:r>
        <w:rPr>
          <w:rFonts w:cs="宋体"/>
          <w:szCs w:val="21"/>
        </w:rPr>
        <w:t xml:space="preserve"> </w:t>
      </w:r>
      <w:r>
        <w:rPr>
          <w:rFonts w:hint="eastAsia" w:cs="宋体"/>
          <w:szCs w:val="21"/>
        </w:rPr>
        <w:t>《建筑节能工程施工质量验收标准》GB</w:t>
      </w:r>
      <w:r>
        <w:rPr>
          <w:rFonts w:cs="宋体"/>
          <w:szCs w:val="21"/>
        </w:rPr>
        <w:t xml:space="preserve"> </w:t>
      </w:r>
      <w:r>
        <w:rPr>
          <w:rFonts w:hint="eastAsia" w:cs="宋体"/>
          <w:szCs w:val="21"/>
        </w:rPr>
        <w:t>50411</w:t>
      </w:r>
    </w:p>
    <w:p>
      <w:pPr>
        <w:spacing w:line="240" w:lineRule="auto"/>
        <w:ind w:firstLine="421" w:firstLineChars="200"/>
        <w:jc w:val="left"/>
        <w:rPr>
          <w:rFonts w:cs="宋体"/>
          <w:szCs w:val="21"/>
        </w:rPr>
      </w:pPr>
      <w:r>
        <w:rPr>
          <w:rFonts w:hint="eastAsia" w:cs="宋体"/>
          <w:b/>
          <w:szCs w:val="21"/>
        </w:rPr>
        <w:t xml:space="preserve">30 </w:t>
      </w:r>
      <w:r>
        <w:rPr>
          <w:rFonts w:cs="宋体"/>
          <w:szCs w:val="21"/>
        </w:rPr>
        <w:t xml:space="preserve"> </w:t>
      </w:r>
      <w:r>
        <w:rPr>
          <w:rFonts w:hint="eastAsia" w:cs="宋体"/>
          <w:szCs w:val="21"/>
        </w:rPr>
        <w:t>《民用建筑节水设计标准》GB</w:t>
      </w:r>
      <w:r>
        <w:rPr>
          <w:rFonts w:cs="宋体"/>
          <w:szCs w:val="21"/>
        </w:rPr>
        <w:t xml:space="preserve"> </w:t>
      </w:r>
      <w:r>
        <w:rPr>
          <w:rFonts w:hint="eastAsia" w:cs="宋体"/>
          <w:szCs w:val="21"/>
        </w:rPr>
        <w:t>50555</w:t>
      </w:r>
    </w:p>
    <w:p>
      <w:pPr>
        <w:spacing w:line="240" w:lineRule="auto"/>
        <w:ind w:firstLine="421" w:firstLineChars="200"/>
        <w:jc w:val="left"/>
        <w:rPr>
          <w:rFonts w:cs="宋体"/>
          <w:szCs w:val="21"/>
        </w:rPr>
      </w:pPr>
      <w:r>
        <w:rPr>
          <w:rFonts w:hint="eastAsia" w:cs="宋体"/>
          <w:b/>
          <w:szCs w:val="21"/>
        </w:rPr>
        <w:t>31</w:t>
      </w:r>
      <w:r>
        <w:rPr>
          <w:rFonts w:cs="宋体"/>
          <w:b/>
          <w:szCs w:val="21"/>
        </w:rPr>
        <w:t xml:space="preserve"> </w:t>
      </w:r>
      <w:r>
        <w:rPr>
          <w:rFonts w:hint="eastAsia" w:cs="宋体"/>
          <w:szCs w:val="21"/>
        </w:rPr>
        <w:t xml:space="preserve"> 《墙体材料应用统一技术规范》GB</w:t>
      </w:r>
      <w:r>
        <w:rPr>
          <w:rFonts w:cs="宋体"/>
          <w:szCs w:val="21"/>
        </w:rPr>
        <w:t xml:space="preserve"> </w:t>
      </w:r>
      <w:r>
        <w:rPr>
          <w:rFonts w:hint="eastAsia" w:cs="宋体"/>
          <w:szCs w:val="21"/>
        </w:rPr>
        <w:t>50574</w:t>
      </w:r>
    </w:p>
    <w:p>
      <w:pPr>
        <w:spacing w:line="240" w:lineRule="auto"/>
        <w:ind w:firstLine="421" w:firstLineChars="200"/>
        <w:jc w:val="left"/>
        <w:rPr>
          <w:rFonts w:cs="宋体"/>
          <w:szCs w:val="21"/>
        </w:rPr>
      </w:pPr>
      <w:r>
        <w:rPr>
          <w:rFonts w:hint="eastAsia" w:cs="宋体"/>
          <w:b/>
          <w:szCs w:val="21"/>
        </w:rPr>
        <w:t xml:space="preserve">32 </w:t>
      </w:r>
      <w:r>
        <w:rPr>
          <w:rFonts w:cs="宋体"/>
          <w:szCs w:val="21"/>
        </w:rPr>
        <w:t xml:space="preserve"> </w:t>
      </w:r>
      <w:r>
        <w:rPr>
          <w:rFonts w:hint="eastAsia" w:cs="宋体"/>
          <w:szCs w:val="21"/>
        </w:rPr>
        <w:t>《住宅区和住宅建筑内通信设施工程设计规范》GB/T</w:t>
      </w:r>
      <w:r>
        <w:rPr>
          <w:rFonts w:cs="宋体"/>
          <w:szCs w:val="21"/>
        </w:rPr>
        <w:t xml:space="preserve"> </w:t>
      </w:r>
      <w:r>
        <w:rPr>
          <w:rFonts w:hint="eastAsia" w:cs="宋体"/>
          <w:szCs w:val="21"/>
        </w:rPr>
        <w:t>50605</w:t>
      </w:r>
    </w:p>
    <w:p>
      <w:pPr>
        <w:spacing w:line="240" w:lineRule="auto"/>
        <w:ind w:firstLine="421" w:firstLineChars="200"/>
        <w:jc w:val="left"/>
        <w:rPr>
          <w:rFonts w:cs="宋体"/>
          <w:szCs w:val="21"/>
        </w:rPr>
      </w:pPr>
      <w:r>
        <w:rPr>
          <w:rFonts w:hint="eastAsia" w:cs="宋体"/>
          <w:b/>
          <w:szCs w:val="21"/>
        </w:rPr>
        <w:t xml:space="preserve">33 </w:t>
      </w:r>
      <w:r>
        <w:rPr>
          <w:rFonts w:cs="宋体"/>
          <w:szCs w:val="21"/>
        </w:rPr>
        <w:t xml:space="preserve"> </w:t>
      </w:r>
      <w:r>
        <w:rPr>
          <w:rFonts w:hint="eastAsia" w:cs="宋体"/>
          <w:szCs w:val="21"/>
        </w:rPr>
        <w:t>《钢管混凝土工程施工质量验收规范》GB</w:t>
      </w:r>
      <w:r>
        <w:rPr>
          <w:rFonts w:cs="宋体"/>
          <w:szCs w:val="21"/>
        </w:rPr>
        <w:t xml:space="preserve"> </w:t>
      </w:r>
      <w:r>
        <w:rPr>
          <w:rFonts w:hint="eastAsia" w:cs="宋体"/>
          <w:szCs w:val="21"/>
        </w:rPr>
        <w:t>50628</w:t>
      </w:r>
    </w:p>
    <w:p>
      <w:pPr>
        <w:spacing w:line="240" w:lineRule="auto"/>
        <w:ind w:firstLine="421" w:firstLineChars="200"/>
        <w:jc w:val="left"/>
        <w:rPr>
          <w:rFonts w:cs="宋体"/>
          <w:szCs w:val="21"/>
        </w:rPr>
      </w:pPr>
      <w:r>
        <w:rPr>
          <w:rFonts w:hint="eastAsia" w:cs="宋体"/>
          <w:b/>
          <w:szCs w:val="21"/>
        </w:rPr>
        <w:t xml:space="preserve">34 </w:t>
      </w:r>
      <w:r>
        <w:rPr>
          <w:rFonts w:cs="宋体"/>
          <w:szCs w:val="21"/>
        </w:rPr>
        <w:t xml:space="preserve"> </w:t>
      </w:r>
      <w:r>
        <w:rPr>
          <w:rFonts w:hint="eastAsia" w:cs="宋体"/>
          <w:szCs w:val="21"/>
        </w:rPr>
        <w:t>《坡屋面工程技术规范》GB</w:t>
      </w:r>
      <w:r>
        <w:rPr>
          <w:rFonts w:cs="宋体"/>
          <w:szCs w:val="21"/>
        </w:rPr>
        <w:t xml:space="preserve"> </w:t>
      </w:r>
      <w:r>
        <w:rPr>
          <w:rFonts w:hint="eastAsia" w:cs="宋体"/>
          <w:szCs w:val="21"/>
        </w:rPr>
        <w:t>50693</w:t>
      </w:r>
    </w:p>
    <w:p>
      <w:pPr>
        <w:spacing w:line="240" w:lineRule="auto"/>
        <w:ind w:firstLine="421" w:firstLineChars="200"/>
        <w:jc w:val="left"/>
        <w:rPr>
          <w:rFonts w:cs="宋体"/>
          <w:szCs w:val="21"/>
        </w:rPr>
      </w:pPr>
      <w:r>
        <w:rPr>
          <w:rFonts w:hint="eastAsia" w:cs="宋体"/>
          <w:b/>
          <w:szCs w:val="21"/>
        </w:rPr>
        <w:t xml:space="preserve">35 </w:t>
      </w:r>
      <w:r>
        <w:rPr>
          <w:rFonts w:cs="宋体"/>
          <w:szCs w:val="21"/>
        </w:rPr>
        <w:t xml:space="preserve"> </w:t>
      </w:r>
      <w:r>
        <w:rPr>
          <w:rFonts w:hint="eastAsia" w:cs="宋体"/>
          <w:szCs w:val="21"/>
        </w:rPr>
        <w:t>《民用建筑供暖通风与空气调节设计范》GB</w:t>
      </w:r>
      <w:r>
        <w:rPr>
          <w:rFonts w:cs="宋体"/>
          <w:szCs w:val="21"/>
        </w:rPr>
        <w:t xml:space="preserve"> </w:t>
      </w:r>
      <w:r>
        <w:rPr>
          <w:rFonts w:hint="eastAsia" w:cs="宋体"/>
          <w:szCs w:val="21"/>
        </w:rPr>
        <w:t>50736</w:t>
      </w:r>
    </w:p>
    <w:p>
      <w:pPr>
        <w:spacing w:line="240" w:lineRule="auto"/>
        <w:ind w:firstLine="421" w:firstLineChars="200"/>
        <w:jc w:val="left"/>
        <w:rPr>
          <w:rFonts w:cs="宋体"/>
          <w:szCs w:val="21"/>
        </w:rPr>
      </w:pPr>
      <w:r>
        <w:rPr>
          <w:rFonts w:hint="eastAsia" w:cs="宋体"/>
          <w:b/>
          <w:szCs w:val="21"/>
        </w:rPr>
        <w:t xml:space="preserve">36 </w:t>
      </w:r>
      <w:r>
        <w:rPr>
          <w:rFonts w:cs="宋体"/>
          <w:szCs w:val="21"/>
        </w:rPr>
        <w:t xml:space="preserve"> </w:t>
      </w:r>
      <w:r>
        <w:rPr>
          <w:rFonts w:hint="eastAsia" w:cs="宋体"/>
          <w:szCs w:val="21"/>
        </w:rPr>
        <w:t>《住宅区和住宅建筑内光纤到通信设施工程设计规范》GB</w:t>
      </w:r>
      <w:r>
        <w:rPr>
          <w:rFonts w:cs="宋体"/>
          <w:szCs w:val="21"/>
        </w:rPr>
        <w:t xml:space="preserve"> </w:t>
      </w:r>
      <w:r>
        <w:rPr>
          <w:rFonts w:hint="eastAsia" w:cs="宋体"/>
          <w:szCs w:val="21"/>
        </w:rPr>
        <w:t>50846</w:t>
      </w:r>
    </w:p>
    <w:p>
      <w:pPr>
        <w:spacing w:line="240" w:lineRule="auto"/>
        <w:ind w:firstLine="421" w:firstLineChars="200"/>
        <w:jc w:val="left"/>
        <w:rPr>
          <w:rFonts w:cs="宋体"/>
          <w:szCs w:val="21"/>
        </w:rPr>
      </w:pPr>
      <w:r>
        <w:rPr>
          <w:rFonts w:hint="eastAsia" w:cs="宋体"/>
          <w:b/>
          <w:szCs w:val="21"/>
        </w:rPr>
        <w:t xml:space="preserve">37 </w:t>
      </w:r>
      <w:r>
        <w:rPr>
          <w:rFonts w:cs="宋体"/>
          <w:szCs w:val="21"/>
        </w:rPr>
        <w:t xml:space="preserve"> </w:t>
      </w:r>
      <w:r>
        <w:rPr>
          <w:rFonts w:hint="eastAsia" w:cs="宋体"/>
          <w:szCs w:val="21"/>
        </w:rPr>
        <w:t>《建筑机电工程抗震设计规范》GB</w:t>
      </w:r>
      <w:r>
        <w:rPr>
          <w:rFonts w:cs="宋体"/>
          <w:szCs w:val="21"/>
        </w:rPr>
        <w:t xml:space="preserve"> </w:t>
      </w:r>
      <w:r>
        <w:rPr>
          <w:rFonts w:hint="eastAsia" w:cs="宋体"/>
          <w:szCs w:val="21"/>
        </w:rPr>
        <w:t>50981</w:t>
      </w:r>
    </w:p>
    <w:p>
      <w:pPr>
        <w:spacing w:line="240" w:lineRule="auto"/>
        <w:ind w:firstLine="421" w:firstLineChars="200"/>
        <w:jc w:val="left"/>
        <w:rPr>
          <w:rFonts w:cs="宋体"/>
          <w:szCs w:val="21"/>
        </w:rPr>
      </w:pPr>
      <w:r>
        <w:rPr>
          <w:rFonts w:hint="eastAsia" w:cs="宋体"/>
          <w:b/>
          <w:szCs w:val="21"/>
        </w:rPr>
        <w:t xml:space="preserve">38 </w:t>
      </w:r>
      <w:r>
        <w:rPr>
          <w:rFonts w:cs="宋体"/>
          <w:szCs w:val="21"/>
        </w:rPr>
        <w:t xml:space="preserve"> </w:t>
      </w:r>
      <w:r>
        <w:rPr>
          <w:rFonts w:hint="eastAsia" w:cs="宋体"/>
          <w:szCs w:val="21"/>
        </w:rPr>
        <w:t>《装配式钢结建筑技术标准》GB/T</w:t>
      </w:r>
      <w:r>
        <w:rPr>
          <w:rFonts w:cs="宋体"/>
          <w:szCs w:val="21"/>
        </w:rPr>
        <w:t xml:space="preserve"> </w:t>
      </w:r>
      <w:r>
        <w:rPr>
          <w:rFonts w:hint="eastAsia" w:cs="宋体"/>
          <w:szCs w:val="21"/>
        </w:rPr>
        <w:t>51232</w:t>
      </w:r>
    </w:p>
    <w:p>
      <w:pPr>
        <w:spacing w:line="240" w:lineRule="auto"/>
        <w:ind w:firstLine="421" w:firstLineChars="200"/>
        <w:jc w:val="left"/>
        <w:rPr>
          <w:rFonts w:cs="宋体"/>
          <w:szCs w:val="21"/>
        </w:rPr>
      </w:pPr>
      <w:r>
        <w:rPr>
          <w:rFonts w:hint="eastAsia" w:cs="宋体"/>
          <w:b/>
          <w:szCs w:val="21"/>
        </w:rPr>
        <w:t xml:space="preserve">39 </w:t>
      </w:r>
      <w:r>
        <w:rPr>
          <w:rFonts w:cs="宋体"/>
          <w:szCs w:val="21"/>
        </w:rPr>
        <w:t xml:space="preserve"> </w:t>
      </w:r>
      <w:r>
        <w:rPr>
          <w:rFonts w:hint="eastAsia" w:cs="宋体"/>
          <w:szCs w:val="21"/>
        </w:rPr>
        <w:t>《建筑钢结构防火技术规范》GB</w:t>
      </w:r>
      <w:r>
        <w:rPr>
          <w:rFonts w:cs="宋体"/>
          <w:szCs w:val="21"/>
        </w:rPr>
        <w:t xml:space="preserve"> </w:t>
      </w:r>
      <w:r>
        <w:rPr>
          <w:rFonts w:hint="eastAsia" w:cs="宋体"/>
          <w:szCs w:val="21"/>
        </w:rPr>
        <w:t>51249</w:t>
      </w:r>
    </w:p>
    <w:p>
      <w:pPr>
        <w:spacing w:line="240" w:lineRule="auto"/>
        <w:ind w:firstLine="421" w:firstLineChars="200"/>
        <w:jc w:val="left"/>
        <w:rPr>
          <w:rFonts w:cs="宋体"/>
          <w:szCs w:val="21"/>
        </w:rPr>
      </w:pPr>
      <w:r>
        <w:rPr>
          <w:rFonts w:hint="eastAsia" w:cs="宋体"/>
          <w:b/>
          <w:szCs w:val="21"/>
        </w:rPr>
        <w:t xml:space="preserve">40 </w:t>
      </w:r>
      <w:r>
        <w:rPr>
          <w:rFonts w:cs="宋体"/>
          <w:szCs w:val="21"/>
        </w:rPr>
        <w:t xml:space="preserve"> </w:t>
      </w:r>
      <w:r>
        <w:rPr>
          <w:rFonts w:hint="eastAsia" w:cs="宋体"/>
          <w:szCs w:val="21"/>
        </w:rPr>
        <w:t>《工程结构通用规范》GB</w:t>
      </w:r>
      <w:r>
        <w:rPr>
          <w:rFonts w:cs="宋体"/>
          <w:szCs w:val="21"/>
        </w:rPr>
        <w:t xml:space="preserve"> </w:t>
      </w:r>
      <w:r>
        <w:rPr>
          <w:rFonts w:hint="eastAsia" w:cs="宋体"/>
          <w:szCs w:val="21"/>
        </w:rPr>
        <w:t>55001</w:t>
      </w:r>
    </w:p>
    <w:p>
      <w:pPr>
        <w:spacing w:line="240" w:lineRule="auto"/>
        <w:ind w:firstLine="421" w:firstLineChars="200"/>
        <w:jc w:val="left"/>
        <w:rPr>
          <w:rFonts w:cs="宋体"/>
          <w:szCs w:val="21"/>
        </w:rPr>
      </w:pPr>
      <w:r>
        <w:rPr>
          <w:rFonts w:hint="eastAsia" w:cs="宋体"/>
          <w:b/>
          <w:szCs w:val="21"/>
        </w:rPr>
        <w:t xml:space="preserve">41 </w:t>
      </w:r>
      <w:r>
        <w:rPr>
          <w:rFonts w:cs="宋体"/>
          <w:szCs w:val="21"/>
        </w:rPr>
        <w:t xml:space="preserve"> </w:t>
      </w:r>
      <w:r>
        <w:rPr>
          <w:rFonts w:hint="eastAsia" w:cs="宋体"/>
          <w:szCs w:val="21"/>
        </w:rPr>
        <w:t>《建筑与市政工程抗震通用规范》GB</w:t>
      </w:r>
      <w:r>
        <w:rPr>
          <w:rFonts w:cs="宋体"/>
          <w:szCs w:val="21"/>
        </w:rPr>
        <w:t xml:space="preserve"> </w:t>
      </w:r>
      <w:r>
        <w:rPr>
          <w:rFonts w:hint="eastAsia" w:cs="宋体"/>
          <w:szCs w:val="21"/>
        </w:rPr>
        <w:t>55002</w:t>
      </w:r>
    </w:p>
    <w:p>
      <w:pPr>
        <w:spacing w:line="240" w:lineRule="auto"/>
        <w:ind w:firstLine="421" w:firstLineChars="200"/>
        <w:jc w:val="left"/>
        <w:rPr>
          <w:rFonts w:cs="宋体"/>
          <w:szCs w:val="21"/>
        </w:rPr>
      </w:pPr>
      <w:r>
        <w:rPr>
          <w:rFonts w:hint="eastAsia" w:cs="宋体"/>
          <w:b/>
          <w:szCs w:val="21"/>
        </w:rPr>
        <w:t xml:space="preserve">42 </w:t>
      </w:r>
      <w:r>
        <w:rPr>
          <w:rFonts w:cs="宋体"/>
          <w:szCs w:val="21"/>
        </w:rPr>
        <w:t xml:space="preserve"> </w:t>
      </w:r>
      <w:r>
        <w:rPr>
          <w:rFonts w:hint="eastAsia" w:cs="宋体"/>
          <w:szCs w:val="21"/>
        </w:rPr>
        <w:t>《组合结构通用规范》GB</w:t>
      </w:r>
      <w:r>
        <w:rPr>
          <w:rFonts w:cs="宋体"/>
          <w:szCs w:val="21"/>
        </w:rPr>
        <w:t xml:space="preserve"> </w:t>
      </w:r>
      <w:r>
        <w:rPr>
          <w:rFonts w:hint="eastAsia" w:cs="宋体"/>
          <w:szCs w:val="21"/>
        </w:rPr>
        <w:t>55004</w:t>
      </w:r>
    </w:p>
    <w:p>
      <w:pPr>
        <w:spacing w:line="240" w:lineRule="auto"/>
        <w:ind w:firstLine="421" w:firstLineChars="200"/>
        <w:jc w:val="left"/>
        <w:rPr>
          <w:rFonts w:cs="宋体"/>
          <w:szCs w:val="21"/>
        </w:rPr>
      </w:pPr>
      <w:r>
        <w:rPr>
          <w:rFonts w:hint="eastAsia" w:cs="宋体"/>
          <w:b/>
          <w:szCs w:val="21"/>
        </w:rPr>
        <w:t xml:space="preserve">43 </w:t>
      </w:r>
      <w:r>
        <w:rPr>
          <w:rFonts w:cs="宋体"/>
          <w:szCs w:val="21"/>
        </w:rPr>
        <w:t xml:space="preserve"> </w:t>
      </w:r>
      <w:r>
        <w:rPr>
          <w:rFonts w:hint="eastAsia" w:cs="宋体"/>
          <w:szCs w:val="21"/>
        </w:rPr>
        <w:t>《钢结构通用规范》GB</w:t>
      </w:r>
      <w:r>
        <w:rPr>
          <w:rFonts w:cs="宋体"/>
          <w:szCs w:val="21"/>
        </w:rPr>
        <w:t xml:space="preserve"> </w:t>
      </w:r>
      <w:r>
        <w:rPr>
          <w:rFonts w:hint="eastAsia" w:cs="宋体"/>
          <w:szCs w:val="21"/>
        </w:rPr>
        <w:t>55006</w:t>
      </w:r>
    </w:p>
    <w:p>
      <w:pPr>
        <w:spacing w:line="240" w:lineRule="auto"/>
        <w:ind w:firstLine="421" w:firstLineChars="200"/>
        <w:jc w:val="left"/>
        <w:rPr>
          <w:rFonts w:cs="宋体"/>
          <w:szCs w:val="21"/>
        </w:rPr>
      </w:pPr>
      <w:r>
        <w:rPr>
          <w:rFonts w:hint="eastAsia" w:cs="宋体"/>
          <w:b/>
          <w:szCs w:val="21"/>
        </w:rPr>
        <w:t xml:space="preserve">44 </w:t>
      </w:r>
      <w:r>
        <w:rPr>
          <w:rFonts w:cs="宋体"/>
          <w:szCs w:val="21"/>
        </w:rPr>
        <w:t xml:space="preserve"> </w:t>
      </w:r>
      <w:r>
        <w:rPr>
          <w:rFonts w:hint="eastAsia" w:cs="宋体"/>
          <w:szCs w:val="21"/>
        </w:rPr>
        <w:t>《建筑材料放射性核素限量》GB</w:t>
      </w:r>
      <w:r>
        <w:rPr>
          <w:rFonts w:cs="宋体"/>
          <w:szCs w:val="21"/>
        </w:rPr>
        <w:t xml:space="preserve"> </w:t>
      </w:r>
      <w:r>
        <w:rPr>
          <w:rFonts w:hint="eastAsia" w:cs="宋体"/>
          <w:szCs w:val="21"/>
        </w:rPr>
        <w:t>6566</w:t>
      </w:r>
    </w:p>
    <w:p>
      <w:pPr>
        <w:spacing w:line="240" w:lineRule="auto"/>
        <w:ind w:firstLine="421" w:firstLineChars="200"/>
        <w:jc w:val="left"/>
        <w:rPr>
          <w:rFonts w:cs="宋体"/>
          <w:szCs w:val="21"/>
        </w:rPr>
      </w:pPr>
      <w:r>
        <w:rPr>
          <w:rFonts w:hint="eastAsia" w:cs="宋体"/>
          <w:b/>
          <w:szCs w:val="21"/>
        </w:rPr>
        <w:t xml:space="preserve">45 </w:t>
      </w:r>
      <w:r>
        <w:rPr>
          <w:rFonts w:cs="宋体"/>
          <w:szCs w:val="21"/>
        </w:rPr>
        <w:t xml:space="preserve"> </w:t>
      </w:r>
      <w:r>
        <w:rPr>
          <w:rFonts w:hint="eastAsia" w:cs="宋体"/>
          <w:szCs w:val="21"/>
        </w:rPr>
        <w:t>《硅酮和改性硅酮建筑密封胶》GB/T</w:t>
      </w:r>
      <w:r>
        <w:rPr>
          <w:rFonts w:cs="宋体"/>
          <w:szCs w:val="21"/>
        </w:rPr>
        <w:t xml:space="preserve"> </w:t>
      </w:r>
      <w:r>
        <w:rPr>
          <w:rFonts w:hint="eastAsia" w:cs="宋体"/>
          <w:szCs w:val="21"/>
        </w:rPr>
        <w:t>14683</w:t>
      </w:r>
    </w:p>
    <w:p>
      <w:pPr>
        <w:spacing w:line="240" w:lineRule="auto"/>
        <w:ind w:firstLine="421" w:firstLineChars="200"/>
        <w:jc w:val="left"/>
        <w:rPr>
          <w:rFonts w:cs="宋体"/>
          <w:szCs w:val="21"/>
        </w:rPr>
      </w:pPr>
      <w:r>
        <w:rPr>
          <w:rFonts w:hint="eastAsia" w:cs="宋体"/>
          <w:b/>
          <w:szCs w:val="21"/>
        </w:rPr>
        <w:t xml:space="preserve">46 </w:t>
      </w:r>
      <w:r>
        <w:rPr>
          <w:rFonts w:cs="宋体"/>
          <w:szCs w:val="21"/>
        </w:rPr>
        <w:t xml:space="preserve"> </w:t>
      </w:r>
      <w:r>
        <w:rPr>
          <w:rFonts w:hint="eastAsia" w:cs="宋体"/>
          <w:szCs w:val="21"/>
        </w:rPr>
        <w:t>《建筑用硅酮结构密封胶》GB</w:t>
      </w:r>
      <w:r>
        <w:rPr>
          <w:rFonts w:cs="宋体"/>
          <w:szCs w:val="21"/>
        </w:rPr>
        <w:t xml:space="preserve"> </w:t>
      </w:r>
      <w:r>
        <w:rPr>
          <w:rFonts w:hint="eastAsia" w:cs="宋体"/>
          <w:szCs w:val="21"/>
        </w:rPr>
        <w:t>16776</w:t>
      </w:r>
    </w:p>
    <w:p>
      <w:pPr>
        <w:spacing w:line="240" w:lineRule="auto"/>
        <w:ind w:firstLine="421" w:firstLineChars="200"/>
        <w:jc w:val="left"/>
        <w:rPr>
          <w:rFonts w:cs="宋体"/>
          <w:szCs w:val="21"/>
        </w:rPr>
      </w:pPr>
      <w:r>
        <w:rPr>
          <w:rFonts w:hint="eastAsia" w:cs="宋体"/>
          <w:b/>
          <w:szCs w:val="21"/>
        </w:rPr>
        <w:t xml:space="preserve">47 </w:t>
      </w:r>
      <w:r>
        <w:rPr>
          <w:rFonts w:cs="宋体"/>
          <w:szCs w:val="21"/>
        </w:rPr>
        <w:t xml:space="preserve"> </w:t>
      </w:r>
      <w:r>
        <w:rPr>
          <w:rFonts w:hint="eastAsia" w:cs="宋体"/>
          <w:szCs w:val="21"/>
        </w:rPr>
        <w:t>《室内装饰装修材料内墙涂料中有害物质限量》GB</w:t>
      </w:r>
      <w:r>
        <w:rPr>
          <w:rFonts w:cs="宋体"/>
          <w:szCs w:val="21"/>
        </w:rPr>
        <w:t xml:space="preserve"> </w:t>
      </w:r>
      <w:r>
        <w:rPr>
          <w:rFonts w:hint="eastAsia" w:cs="宋体"/>
          <w:szCs w:val="21"/>
        </w:rPr>
        <w:t>18582</w:t>
      </w:r>
    </w:p>
    <w:p>
      <w:pPr>
        <w:spacing w:line="240" w:lineRule="auto"/>
        <w:ind w:firstLine="421" w:firstLineChars="200"/>
        <w:jc w:val="left"/>
        <w:rPr>
          <w:rFonts w:cs="宋体"/>
          <w:szCs w:val="21"/>
        </w:rPr>
      </w:pPr>
      <w:r>
        <w:rPr>
          <w:rFonts w:hint="eastAsia" w:cs="宋体"/>
          <w:b/>
          <w:szCs w:val="21"/>
        </w:rPr>
        <w:t xml:space="preserve">48 </w:t>
      </w:r>
      <w:r>
        <w:rPr>
          <w:rFonts w:cs="宋体"/>
          <w:szCs w:val="21"/>
        </w:rPr>
        <w:t xml:space="preserve"> </w:t>
      </w:r>
      <w:r>
        <w:rPr>
          <w:rFonts w:hint="eastAsia" w:cs="宋体"/>
          <w:szCs w:val="21"/>
        </w:rPr>
        <w:t>《建筑密封胶分级和要求》GB/T</w:t>
      </w:r>
      <w:r>
        <w:rPr>
          <w:rFonts w:cs="宋体"/>
          <w:szCs w:val="21"/>
        </w:rPr>
        <w:t xml:space="preserve"> </w:t>
      </w:r>
      <w:r>
        <w:rPr>
          <w:rFonts w:hint="eastAsia" w:cs="宋体"/>
          <w:szCs w:val="21"/>
        </w:rPr>
        <w:t>22083</w:t>
      </w:r>
    </w:p>
    <w:p>
      <w:pPr>
        <w:spacing w:line="240" w:lineRule="auto"/>
        <w:ind w:firstLine="421" w:firstLineChars="200"/>
        <w:jc w:val="left"/>
        <w:rPr>
          <w:rFonts w:cs="宋体"/>
          <w:szCs w:val="21"/>
        </w:rPr>
      </w:pPr>
      <w:r>
        <w:rPr>
          <w:rFonts w:hint="eastAsia" w:cs="宋体"/>
          <w:b/>
          <w:szCs w:val="21"/>
        </w:rPr>
        <w:t xml:space="preserve">49 </w:t>
      </w:r>
      <w:r>
        <w:rPr>
          <w:rFonts w:cs="宋体"/>
          <w:szCs w:val="21"/>
        </w:rPr>
        <w:t xml:space="preserve"> </w:t>
      </w:r>
      <w:r>
        <w:rPr>
          <w:rFonts w:hint="eastAsia" w:cs="宋体"/>
          <w:szCs w:val="21"/>
        </w:rPr>
        <w:t>《建筑幕墙、门窗通用技术条件》GB/T</w:t>
      </w:r>
      <w:r>
        <w:rPr>
          <w:rFonts w:cs="宋体"/>
          <w:szCs w:val="21"/>
        </w:rPr>
        <w:t xml:space="preserve"> </w:t>
      </w:r>
      <w:r>
        <w:rPr>
          <w:rFonts w:hint="eastAsia" w:cs="宋体"/>
          <w:szCs w:val="21"/>
        </w:rPr>
        <w:t>31433</w:t>
      </w:r>
    </w:p>
    <w:p>
      <w:pPr>
        <w:spacing w:line="240" w:lineRule="auto"/>
        <w:ind w:firstLine="421" w:firstLineChars="200"/>
        <w:jc w:val="left"/>
        <w:rPr>
          <w:rFonts w:cs="宋体"/>
          <w:szCs w:val="21"/>
        </w:rPr>
      </w:pPr>
      <w:r>
        <w:rPr>
          <w:rFonts w:hint="eastAsia" w:cs="宋体"/>
          <w:b/>
          <w:szCs w:val="21"/>
        </w:rPr>
        <w:t xml:space="preserve">50 </w:t>
      </w:r>
      <w:r>
        <w:rPr>
          <w:rFonts w:cs="宋体"/>
          <w:szCs w:val="21"/>
        </w:rPr>
        <w:t xml:space="preserve"> </w:t>
      </w:r>
      <w:r>
        <w:rPr>
          <w:rFonts w:hint="eastAsia" w:cs="宋体"/>
          <w:szCs w:val="21"/>
        </w:rPr>
        <w:t>《高层建筑混凝土结构技术规程》JGJ</w:t>
      </w:r>
      <w:r>
        <w:rPr>
          <w:rFonts w:cs="宋体"/>
          <w:szCs w:val="21"/>
        </w:rPr>
        <w:t xml:space="preserve"> </w:t>
      </w:r>
      <w:r>
        <w:rPr>
          <w:rFonts w:hint="eastAsia" w:cs="宋体"/>
          <w:szCs w:val="21"/>
        </w:rPr>
        <w:t>3</w:t>
      </w:r>
    </w:p>
    <w:p>
      <w:pPr>
        <w:spacing w:line="240" w:lineRule="auto"/>
        <w:ind w:firstLine="421" w:firstLineChars="200"/>
        <w:jc w:val="left"/>
        <w:rPr>
          <w:rFonts w:cs="宋体"/>
          <w:szCs w:val="21"/>
        </w:rPr>
      </w:pPr>
      <w:r>
        <w:rPr>
          <w:rFonts w:hint="eastAsia" w:cs="宋体"/>
          <w:b/>
          <w:szCs w:val="21"/>
        </w:rPr>
        <w:t xml:space="preserve">51 </w:t>
      </w:r>
      <w:r>
        <w:rPr>
          <w:rFonts w:cs="宋体"/>
          <w:szCs w:val="21"/>
        </w:rPr>
        <w:t xml:space="preserve"> </w:t>
      </w:r>
      <w:r>
        <w:rPr>
          <w:rFonts w:hint="eastAsia" w:cs="宋体"/>
          <w:szCs w:val="21"/>
        </w:rPr>
        <w:t>《高层民用建筑钢结构技术规程》JGJ</w:t>
      </w:r>
      <w:r>
        <w:rPr>
          <w:rFonts w:cs="宋体"/>
          <w:szCs w:val="21"/>
        </w:rPr>
        <w:t xml:space="preserve"> </w:t>
      </w:r>
      <w:r>
        <w:rPr>
          <w:rFonts w:hint="eastAsia" w:cs="宋体"/>
          <w:szCs w:val="21"/>
        </w:rPr>
        <w:t>99</w:t>
      </w:r>
    </w:p>
    <w:p>
      <w:pPr>
        <w:spacing w:line="240" w:lineRule="auto"/>
        <w:ind w:firstLine="421" w:firstLineChars="200"/>
        <w:jc w:val="left"/>
        <w:rPr>
          <w:rFonts w:cs="宋体"/>
          <w:szCs w:val="21"/>
        </w:rPr>
      </w:pPr>
      <w:r>
        <w:rPr>
          <w:rFonts w:hint="eastAsia" w:cs="宋体"/>
          <w:b/>
          <w:szCs w:val="21"/>
        </w:rPr>
        <w:t xml:space="preserve">52 </w:t>
      </w:r>
      <w:r>
        <w:rPr>
          <w:rFonts w:cs="宋体"/>
          <w:szCs w:val="21"/>
        </w:rPr>
        <w:t xml:space="preserve"> </w:t>
      </w:r>
      <w:r>
        <w:rPr>
          <w:rFonts w:hint="eastAsia" w:cs="宋体"/>
          <w:szCs w:val="21"/>
        </w:rPr>
        <w:t>《建筑玻璃应用技术规程》JGJ</w:t>
      </w:r>
      <w:r>
        <w:rPr>
          <w:rFonts w:cs="宋体"/>
          <w:szCs w:val="21"/>
        </w:rPr>
        <w:t xml:space="preserve"> </w:t>
      </w:r>
      <w:r>
        <w:rPr>
          <w:rFonts w:hint="eastAsia" w:cs="宋体"/>
          <w:szCs w:val="21"/>
        </w:rPr>
        <w:t>113</w:t>
      </w:r>
    </w:p>
    <w:p>
      <w:pPr>
        <w:spacing w:line="240" w:lineRule="auto"/>
        <w:ind w:firstLine="421" w:firstLineChars="200"/>
        <w:jc w:val="left"/>
        <w:rPr>
          <w:rFonts w:cs="宋体"/>
          <w:szCs w:val="21"/>
        </w:rPr>
      </w:pPr>
      <w:r>
        <w:rPr>
          <w:rFonts w:hint="eastAsia" w:cs="宋体"/>
          <w:b/>
          <w:szCs w:val="21"/>
        </w:rPr>
        <w:t>53</w:t>
      </w:r>
      <w:r>
        <w:rPr>
          <w:rFonts w:cs="宋体"/>
          <w:b/>
          <w:szCs w:val="21"/>
        </w:rPr>
        <w:t xml:space="preserve"> </w:t>
      </w:r>
      <w:r>
        <w:rPr>
          <w:rFonts w:cs="宋体"/>
          <w:szCs w:val="21"/>
        </w:rPr>
        <w:t xml:space="preserve"> </w:t>
      </w:r>
      <w:r>
        <w:rPr>
          <w:rFonts w:hint="eastAsia" w:cs="宋体"/>
          <w:szCs w:val="21"/>
        </w:rPr>
        <w:t>《组合结构设计规范》JGJ 138</w:t>
      </w:r>
    </w:p>
    <w:p>
      <w:pPr>
        <w:spacing w:line="240" w:lineRule="auto"/>
        <w:ind w:firstLine="421" w:firstLineChars="200"/>
        <w:jc w:val="left"/>
        <w:rPr>
          <w:rFonts w:cs="宋体"/>
          <w:szCs w:val="21"/>
        </w:rPr>
      </w:pPr>
      <w:r>
        <w:rPr>
          <w:rFonts w:hint="eastAsia" w:cs="宋体"/>
          <w:b/>
          <w:szCs w:val="21"/>
        </w:rPr>
        <w:t xml:space="preserve">54 </w:t>
      </w:r>
      <w:r>
        <w:rPr>
          <w:rFonts w:cs="宋体"/>
          <w:szCs w:val="21"/>
        </w:rPr>
        <w:t xml:space="preserve"> </w:t>
      </w:r>
      <w:r>
        <w:rPr>
          <w:rFonts w:hint="eastAsia" w:cs="宋体"/>
          <w:szCs w:val="21"/>
        </w:rPr>
        <w:t>《种植屋面工程技术规程》JG</w:t>
      </w:r>
      <w:r>
        <w:rPr>
          <w:rFonts w:cs="宋体"/>
          <w:szCs w:val="21"/>
        </w:rPr>
        <w:t xml:space="preserve"> </w:t>
      </w:r>
      <w:r>
        <w:rPr>
          <w:rFonts w:hint="eastAsia" w:cs="宋体"/>
          <w:szCs w:val="21"/>
        </w:rPr>
        <w:t>155</w:t>
      </w:r>
    </w:p>
    <w:p>
      <w:pPr>
        <w:spacing w:line="240" w:lineRule="auto"/>
        <w:ind w:firstLine="421" w:firstLineChars="200"/>
        <w:jc w:val="left"/>
        <w:rPr>
          <w:rFonts w:cs="宋体"/>
          <w:szCs w:val="21"/>
        </w:rPr>
      </w:pPr>
      <w:r>
        <w:rPr>
          <w:rFonts w:hint="eastAsia" w:cs="宋体"/>
          <w:b/>
          <w:szCs w:val="21"/>
        </w:rPr>
        <w:t xml:space="preserve">55 </w:t>
      </w:r>
      <w:r>
        <w:rPr>
          <w:rFonts w:cs="宋体"/>
          <w:szCs w:val="21"/>
        </w:rPr>
        <w:t xml:space="preserve"> </w:t>
      </w:r>
      <w:r>
        <w:rPr>
          <w:rFonts w:hint="eastAsia" w:cs="宋体"/>
          <w:szCs w:val="21"/>
        </w:rPr>
        <w:t>《建筑外墙防水工程技术规程》JGJ/T</w:t>
      </w:r>
      <w:r>
        <w:rPr>
          <w:rFonts w:cs="宋体"/>
          <w:szCs w:val="21"/>
        </w:rPr>
        <w:t xml:space="preserve"> </w:t>
      </w:r>
      <w:r>
        <w:rPr>
          <w:rFonts w:hint="eastAsia" w:cs="宋体"/>
          <w:szCs w:val="21"/>
        </w:rPr>
        <w:t>235</w:t>
      </w:r>
    </w:p>
    <w:p>
      <w:pPr>
        <w:spacing w:line="240" w:lineRule="auto"/>
        <w:ind w:firstLine="421" w:firstLineChars="200"/>
        <w:jc w:val="left"/>
        <w:rPr>
          <w:rFonts w:cs="宋体"/>
          <w:szCs w:val="21"/>
        </w:rPr>
      </w:pPr>
      <w:r>
        <w:rPr>
          <w:rFonts w:hint="eastAsia" w:cs="宋体"/>
          <w:b/>
          <w:szCs w:val="21"/>
        </w:rPr>
        <w:t xml:space="preserve">56 </w:t>
      </w:r>
      <w:r>
        <w:rPr>
          <w:rFonts w:cs="宋体"/>
          <w:szCs w:val="21"/>
        </w:rPr>
        <w:t xml:space="preserve"> </w:t>
      </w:r>
      <w:r>
        <w:rPr>
          <w:rFonts w:hint="eastAsia" w:cs="宋体"/>
          <w:szCs w:val="21"/>
        </w:rPr>
        <w:t>《住宅建筑电气设计规范》JGJ</w:t>
      </w:r>
      <w:r>
        <w:rPr>
          <w:rFonts w:cs="宋体"/>
          <w:szCs w:val="21"/>
        </w:rPr>
        <w:t xml:space="preserve"> </w:t>
      </w:r>
      <w:r>
        <w:rPr>
          <w:rFonts w:hint="eastAsia" w:cs="宋体"/>
          <w:szCs w:val="21"/>
        </w:rPr>
        <w:t>242</w:t>
      </w:r>
    </w:p>
    <w:p>
      <w:pPr>
        <w:spacing w:line="240" w:lineRule="auto"/>
        <w:ind w:firstLine="421" w:firstLineChars="200"/>
        <w:jc w:val="left"/>
        <w:rPr>
          <w:rFonts w:cs="宋体"/>
          <w:szCs w:val="21"/>
        </w:rPr>
      </w:pPr>
      <w:r>
        <w:rPr>
          <w:rFonts w:hint="eastAsia" w:cs="宋体"/>
          <w:b/>
          <w:szCs w:val="21"/>
        </w:rPr>
        <w:t xml:space="preserve">57 </w:t>
      </w:r>
      <w:r>
        <w:rPr>
          <w:rFonts w:cs="宋体"/>
          <w:szCs w:val="21"/>
        </w:rPr>
        <w:t xml:space="preserve"> </w:t>
      </w:r>
      <w:r>
        <w:rPr>
          <w:rFonts w:hint="eastAsia" w:cs="宋体"/>
          <w:szCs w:val="21"/>
        </w:rPr>
        <w:t>《建筑钢结构防腐蚀技术规程》JGJ/T</w:t>
      </w:r>
      <w:r>
        <w:rPr>
          <w:rFonts w:cs="宋体"/>
          <w:szCs w:val="21"/>
        </w:rPr>
        <w:t xml:space="preserve"> </w:t>
      </w:r>
      <w:r>
        <w:rPr>
          <w:rFonts w:hint="eastAsia" w:cs="宋体"/>
          <w:szCs w:val="21"/>
        </w:rPr>
        <w:t>251</w:t>
      </w:r>
    </w:p>
    <w:p>
      <w:pPr>
        <w:spacing w:line="240" w:lineRule="auto"/>
        <w:ind w:firstLine="421" w:firstLineChars="200"/>
        <w:jc w:val="left"/>
        <w:rPr>
          <w:rFonts w:cs="宋体"/>
          <w:szCs w:val="21"/>
        </w:rPr>
      </w:pPr>
      <w:r>
        <w:rPr>
          <w:rFonts w:hint="eastAsia" w:cs="宋体"/>
          <w:b/>
          <w:szCs w:val="21"/>
        </w:rPr>
        <w:t xml:space="preserve">58 </w:t>
      </w:r>
      <w:r>
        <w:rPr>
          <w:rFonts w:cs="宋体"/>
          <w:szCs w:val="21"/>
        </w:rPr>
        <w:t xml:space="preserve"> </w:t>
      </w:r>
      <w:r>
        <w:rPr>
          <w:rFonts w:hint="eastAsia" w:cs="宋体"/>
          <w:szCs w:val="21"/>
        </w:rPr>
        <w:t>《住宅厨房模数协调标准》JGJ/T</w:t>
      </w:r>
      <w:r>
        <w:rPr>
          <w:rFonts w:cs="宋体"/>
          <w:szCs w:val="21"/>
        </w:rPr>
        <w:t xml:space="preserve"> </w:t>
      </w:r>
      <w:r>
        <w:rPr>
          <w:rFonts w:hint="eastAsia" w:cs="宋体"/>
          <w:szCs w:val="21"/>
        </w:rPr>
        <w:t>262</w:t>
      </w:r>
    </w:p>
    <w:p>
      <w:pPr>
        <w:spacing w:line="240" w:lineRule="auto"/>
        <w:ind w:firstLine="421" w:firstLineChars="200"/>
        <w:jc w:val="left"/>
        <w:rPr>
          <w:rFonts w:cs="宋体"/>
          <w:szCs w:val="21"/>
        </w:rPr>
      </w:pPr>
      <w:r>
        <w:rPr>
          <w:rFonts w:hint="eastAsia" w:cs="宋体"/>
          <w:b/>
          <w:szCs w:val="21"/>
        </w:rPr>
        <w:t xml:space="preserve">59 </w:t>
      </w:r>
      <w:r>
        <w:rPr>
          <w:rFonts w:cs="宋体"/>
          <w:szCs w:val="21"/>
        </w:rPr>
        <w:t xml:space="preserve"> </w:t>
      </w:r>
      <w:r>
        <w:rPr>
          <w:rFonts w:hint="eastAsia" w:cs="宋体"/>
          <w:szCs w:val="21"/>
        </w:rPr>
        <w:t>《住宅卫生间模数协调标准》JGJ/T</w:t>
      </w:r>
      <w:r>
        <w:rPr>
          <w:rFonts w:cs="宋体"/>
          <w:szCs w:val="21"/>
        </w:rPr>
        <w:t xml:space="preserve"> </w:t>
      </w:r>
      <w:r>
        <w:rPr>
          <w:rFonts w:hint="eastAsia" w:cs="宋体"/>
          <w:szCs w:val="21"/>
        </w:rPr>
        <w:t>263</w:t>
      </w:r>
    </w:p>
    <w:p>
      <w:pPr>
        <w:spacing w:line="240" w:lineRule="auto"/>
        <w:ind w:firstLine="421" w:firstLineChars="200"/>
        <w:jc w:val="left"/>
        <w:rPr>
          <w:rFonts w:cs="宋体"/>
          <w:szCs w:val="21"/>
        </w:rPr>
      </w:pPr>
      <w:r>
        <w:rPr>
          <w:rFonts w:hint="eastAsia" w:cs="宋体"/>
          <w:b/>
          <w:szCs w:val="21"/>
        </w:rPr>
        <w:t xml:space="preserve">60 </w:t>
      </w:r>
      <w:r>
        <w:rPr>
          <w:rFonts w:cs="宋体"/>
          <w:szCs w:val="21"/>
        </w:rPr>
        <w:t xml:space="preserve"> </w:t>
      </w:r>
      <w:r>
        <w:rPr>
          <w:rFonts w:hint="eastAsia" w:cs="宋体"/>
          <w:szCs w:val="21"/>
        </w:rPr>
        <w:t>《保温装饰板外墙外保温系统材料》JGJ/T</w:t>
      </w:r>
      <w:r>
        <w:rPr>
          <w:rFonts w:cs="宋体"/>
          <w:szCs w:val="21"/>
        </w:rPr>
        <w:t xml:space="preserve"> </w:t>
      </w:r>
      <w:r>
        <w:rPr>
          <w:rFonts w:hint="eastAsia" w:cs="宋体"/>
          <w:szCs w:val="21"/>
        </w:rPr>
        <w:t>287</w:t>
      </w:r>
    </w:p>
    <w:p>
      <w:pPr>
        <w:spacing w:line="240" w:lineRule="auto"/>
        <w:ind w:firstLine="421" w:firstLineChars="200"/>
        <w:jc w:val="left"/>
        <w:rPr>
          <w:rFonts w:cs="宋体"/>
          <w:szCs w:val="21"/>
        </w:rPr>
      </w:pPr>
      <w:r>
        <w:rPr>
          <w:rFonts w:hint="eastAsia" w:cs="宋体"/>
          <w:b/>
          <w:szCs w:val="21"/>
        </w:rPr>
        <w:t>61</w:t>
      </w:r>
      <w:r>
        <w:rPr>
          <w:rFonts w:cs="宋体"/>
          <w:b/>
          <w:szCs w:val="21"/>
        </w:rPr>
        <w:t xml:space="preserve"> </w:t>
      </w:r>
      <w:r>
        <w:rPr>
          <w:rFonts w:hint="eastAsia" w:cs="宋体"/>
          <w:szCs w:val="21"/>
        </w:rPr>
        <w:t xml:space="preserve"> 《住宅室内装饰装修工程质量验收规范》JGJ/T</w:t>
      </w:r>
      <w:r>
        <w:rPr>
          <w:rFonts w:cs="宋体"/>
          <w:szCs w:val="21"/>
        </w:rPr>
        <w:t xml:space="preserve"> </w:t>
      </w:r>
      <w:r>
        <w:rPr>
          <w:rFonts w:hint="eastAsia" w:cs="宋体"/>
          <w:szCs w:val="21"/>
        </w:rPr>
        <w:t>304</w:t>
      </w:r>
    </w:p>
    <w:p>
      <w:pPr>
        <w:spacing w:line="240" w:lineRule="auto"/>
        <w:ind w:firstLine="421" w:firstLineChars="200"/>
        <w:jc w:val="left"/>
        <w:rPr>
          <w:rFonts w:cs="宋体"/>
          <w:szCs w:val="21"/>
        </w:rPr>
      </w:pPr>
      <w:r>
        <w:rPr>
          <w:rFonts w:hint="eastAsia" w:cs="宋体"/>
          <w:b/>
          <w:szCs w:val="21"/>
        </w:rPr>
        <w:t xml:space="preserve">62 </w:t>
      </w:r>
      <w:r>
        <w:rPr>
          <w:rFonts w:cs="宋体"/>
          <w:szCs w:val="21"/>
        </w:rPr>
        <w:t xml:space="preserve"> </w:t>
      </w:r>
      <w:r>
        <w:rPr>
          <w:rFonts w:hint="eastAsia" w:cs="宋体"/>
          <w:szCs w:val="21"/>
        </w:rPr>
        <w:t>《非结构构件抗震设计规范》JGJ</w:t>
      </w:r>
      <w:r>
        <w:rPr>
          <w:rFonts w:cs="宋体"/>
          <w:szCs w:val="21"/>
        </w:rPr>
        <w:t xml:space="preserve"> </w:t>
      </w:r>
      <w:r>
        <w:rPr>
          <w:rFonts w:hint="eastAsia" w:cs="宋体"/>
          <w:szCs w:val="21"/>
        </w:rPr>
        <w:t>339</w:t>
      </w:r>
    </w:p>
    <w:p>
      <w:pPr>
        <w:spacing w:line="240" w:lineRule="auto"/>
        <w:ind w:firstLine="421" w:firstLineChars="200"/>
        <w:jc w:val="left"/>
        <w:rPr>
          <w:rFonts w:cs="宋体"/>
          <w:szCs w:val="21"/>
        </w:rPr>
      </w:pPr>
      <w:r>
        <w:rPr>
          <w:rFonts w:hint="eastAsia" w:cs="宋体"/>
          <w:b/>
          <w:szCs w:val="21"/>
        </w:rPr>
        <w:t xml:space="preserve">63 </w:t>
      </w:r>
      <w:r>
        <w:rPr>
          <w:rFonts w:cs="宋体"/>
          <w:szCs w:val="21"/>
        </w:rPr>
        <w:t xml:space="preserve"> </w:t>
      </w:r>
      <w:r>
        <w:rPr>
          <w:rFonts w:hint="eastAsia" w:cs="宋体"/>
          <w:szCs w:val="21"/>
        </w:rPr>
        <w:t>《住宅室内装饰装修设计规程》JGJ</w:t>
      </w:r>
      <w:r>
        <w:rPr>
          <w:rFonts w:cs="宋体"/>
          <w:szCs w:val="21"/>
        </w:rPr>
        <w:t xml:space="preserve"> </w:t>
      </w:r>
      <w:r>
        <w:rPr>
          <w:rFonts w:hint="eastAsia" w:cs="宋体"/>
          <w:szCs w:val="21"/>
        </w:rPr>
        <w:t>367</w:t>
      </w:r>
    </w:p>
    <w:p>
      <w:pPr>
        <w:spacing w:line="240" w:lineRule="auto"/>
        <w:ind w:firstLine="421" w:firstLineChars="200"/>
        <w:jc w:val="left"/>
        <w:rPr>
          <w:rFonts w:cs="宋体"/>
          <w:szCs w:val="21"/>
        </w:rPr>
      </w:pPr>
      <w:r>
        <w:rPr>
          <w:rFonts w:hint="eastAsia" w:cs="宋体"/>
          <w:b/>
          <w:szCs w:val="21"/>
        </w:rPr>
        <w:t>64</w:t>
      </w:r>
      <w:r>
        <w:rPr>
          <w:rFonts w:cs="宋体"/>
          <w:b/>
          <w:szCs w:val="21"/>
        </w:rPr>
        <w:t xml:space="preserve"> </w:t>
      </w:r>
      <w:r>
        <w:rPr>
          <w:rFonts w:hint="eastAsia" w:cs="宋体"/>
          <w:szCs w:val="21"/>
        </w:rPr>
        <w:t xml:space="preserve"> 《钢板剪力墙技术规程》JGJT 380</w:t>
      </w:r>
    </w:p>
    <w:p>
      <w:pPr>
        <w:spacing w:line="240" w:lineRule="auto"/>
        <w:ind w:firstLine="421" w:firstLineChars="200"/>
        <w:jc w:val="left"/>
        <w:rPr>
          <w:rFonts w:cs="宋体"/>
          <w:szCs w:val="21"/>
        </w:rPr>
      </w:pPr>
      <w:r>
        <w:rPr>
          <w:rFonts w:hint="eastAsia" w:cs="宋体"/>
          <w:b/>
          <w:szCs w:val="21"/>
        </w:rPr>
        <w:t xml:space="preserve">65 </w:t>
      </w:r>
      <w:r>
        <w:rPr>
          <w:rFonts w:cs="宋体"/>
          <w:szCs w:val="21"/>
        </w:rPr>
        <w:t xml:space="preserve"> </w:t>
      </w:r>
      <w:r>
        <w:rPr>
          <w:rFonts w:hint="eastAsia" w:cs="宋体"/>
          <w:szCs w:val="21"/>
        </w:rPr>
        <w:t>《装配式住宅建筑设计标准》JGJ/T</w:t>
      </w:r>
      <w:r>
        <w:rPr>
          <w:rFonts w:cs="宋体"/>
          <w:szCs w:val="21"/>
        </w:rPr>
        <w:t xml:space="preserve"> </w:t>
      </w:r>
      <w:r>
        <w:rPr>
          <w:rFonts w:hint="eastAsia" w:cs="宋体"/>
          <w:szCs w:val="21"/>
        </w:rPr>
        <w:t>398</w:t>
      </w:r>
    </w:p>
    <w:p>
      <w:pPr>
        <w:spacing w:line="240" w:lineRule="auto"/>
        <w:ind w:firstLine="421" w:firstLineChars="200"/>
        <w:jc w:val="left"/>
        <w:rPr>
          <w:rFonts w:cs="宋体"/>
          <w:szCs w:val="21"/>
        </w:rPr>
      </w:pPr>
      <w:r>
        <w:rPr>
          <w:rFonts w:hint="eastAsia" w:cs="宋体"/>
          <w:b/>
          <w:szCs w:val="21"/>
        </w:rPr>
        <w:t>66</w:t>
      </w:r>
      <w:r>
        <w:rPr>
          <w:rFonts w:cs="宋体"/>
          <w:b/>
          <w:szCs w:val="21"/>
        </w:rPr>
        <w:t xml:space="preserve"> </w:t>
      </w:r>
      <w:r>
        <w:rPr>
          <w:rFonts w:cs="宋体"/>
          <w:szCs w:val="21"/>
        </w:rPr>
        <w:t xml:space="preserve"> </w:t>
      </w:r>
      <w:r>
        <w:rPr>
          <w:rFonts w:hint="eastAsia" w:cs="宋体"/>
          <w:szCs w:val="21"/>
        </w:rPr>
        <w:t>《冷弯薄壁型钢多层住宅技术标准》JGJT 421</w:t>
      </w:r>
    </w:p>
    <w:p>
      <w:pPr>
        <w:spacing w:line="240" w:lineRule="auto"/>
        <w:ind w:firstLine="421" w:firstLineChars="200"/>
        <w:jc w:val="left"/>
        <w:rPr>
          <w:rFonts w:cs="宋体"/>
          <w:szCs w:val="21"/>
        </w:rPr>
      </w:pPr>
      <w:r>
        <w:rPr>
          <w:rFonts w:hint="eastAsia" w:cs="宋体"/>
          <w:b/>
          <w:szCs w:val="21"/>
        </w:rPr>
        <w:t xml:space="preserve">67 </w:t>
      </w:r>
      <w:r>
        <w:rPr>
          <w:rFonts w:cs="宋体"/>
          <w:szCs w:val="21"/>
        </w:rPr>
        <w:t xml:space="preserve"> </w:t>
      </w:r>
      <w:r>
        <w:rPr>
          <w:rFonts w:hint="eastAsia" w:cs="宋体"/>
          <w:szCs w:val="21"/>
        </w:rPr>
        <w:t>《工业化住宅尺寸协调标准》JGJ/T</w:t>
      </w:r>
      <w:r>
        <w:rPr>
          <w:rFonts w:cs="宋体"/>
          <w:szCs w:val="21"/>
        </w:rPr>
        <w:t xml:space="preserve"> </w:t>
      </w:r>
      <w:r>
        <w:rPr>
          <w:rFonts w:hint="eastAsia" w:cs="宋体"/>
          <w:szCs w:val="21"/>
        </w:rPr>
        <w:t>445</w:t>
      </w:r>
    </w:p>
    <w:p>
      <w:pPr>
        <w:spacing w:line="240" w:lineRule="auto"/>
        <w:ind w:firstLine="421" w:firstLineChars="200"/>
        <w:jc w:val="left"/>
        <w:rPr>
          <w:rFonts w:cs="宋体"/>
          <w:szCs w:val="21"/>
        </w:rPr>
      </w:pPr>
      <w:r>
        <w:rPr>
          <w:rFonts w:hint="eastAsia" w:cs="宋体"/>
          <w:b/>
          <w:szCs w:val="21"/>
        </w:rPr>
        <w:t xml:space="preserve">68 </w:t>
      </w:r>
      <w:r>
        <w:rPr>
          <w:rFonts w:cs="宋体"/>
          <w:szCs w:val="21"/>
        </w:rPr>
        <w:t xml:space="preserve"> </w:t>
      </w:r>
      <w:r>
        <w:rPr>
          <w:rFonts w:hint="eastAsia" w:cs="宋体"/>
          <w:szCs w:val="21"/>
        </w:rPr>
        <w:t>《装配式整体卫生间应用技术标准》JGJ/T</w:t>
      </w:r>
      <w:r>
        <w:rPr>
          <w:rFonts w:cs="宋体"/>
          <w:szCs w:val="21"/>
        </w:rPr>
        <w:t xml:space="preserve"> </w:t>
      </w:r>
      <w:r>
        <w:rPr>
          <w:rFonts w:hint="eastAsia" w:cs="宋体"/>
          <w:szCs w:val="21"/>
        </w:rPr>
        <w:t>467</w:t>
      </w:r>
    </w:p>
    <w:p>
      <w:pPr>
        <w:spacing w:line="240" w:lineRule="auto"/>
        <w:ind w:firstLine="421" w:firstLineChars="200"/>
        <w:jc w:val="left"/>
        <w:rPr>
          <w:rFonts w:cs="宋体"/>
          <w:szCs w:val="21"/>
        </w:rPr>
      </w:pPr>
      <w:r>
        <w:rPr>
          <w:rFonts w:hint="eastAsia" w:cs="宋体"/>
          <w:b/>
          <w:szCs w:val="21"/>
        </w:rPr>
        <w:t xml:space="preserve">69 </w:t>
      </w:r>
      <w:r>
        <w:rPr>
          <w:rFonts w:cs="宋体"/>
          <w:szCs w:val="21"/>
        </w:rPr>
        <w:t xml:space="preserve"> </w:t>
      </w:r>
      <w:r>
        <w:rPr>
          <w:rFonts w:hint="eastAsia" w:cs="宋体"/>
          <w:szCs w:val="21"/>
        </w:rPr>
        <w:t>《装配式钢结构住宅建筑技术标准》JGJ/T</w:t>
      </w:r>
      <w:r>
        <w:rPr>
          <w:rFonts w:cs="宋体"/>
          <w:szCs w:val="21"/>
        </w:rPr>
        <w:t xml:space="preserve"> </w:t>
      </w:r>
      <w:r>
        <w:rPr>
          <w:rFonts w:hint="eastAsia" w:cs="宋体"/>
          <w:szCs w:val="21"/>
        </w:rPr>
        <w:t>469</w:t>
      </w:r>
    </w:p>
    <w:p>
      <w:pPr>
        <w:spacing w:line="240" w:lineRule="auto"/>
        <w:ind w:firstLine="421" w:firstLineChars="200"/>
        <w:jc w:val="left"/>
        <w:rPr>
          <w:rFonts w:cs="宋体"/>
          <w:szCs w:val="21"/>
        </w:rPr>
      </w:pPr>
      <w:r>
        <w:rPr>
          <w:rFonts w:hint="eastAsia" w:cs="宋体"/>
          <w:b/>
          <w:szCs w:val="21"/>
        </w:rPr>
        <w:t>70</w:t>
      </w:r>
      <w:r>
        <w:rPr>
          <w:rFonts w:cs="宋体"/>
          <w:b/>
          <w:szCs w:val="21"/>
        </w:rPr>
        <w:t xml:space="preserve"> </w:t>
      </w:r>
      <w:r>
        <w:rPr>
          <w:rFonts w:cs="宋体"/>
          <w:szCs w:val="21"/>
        </w:rPr>
        <w:t xml:space="preserve"> </w:t>
      </w:r>
      <w:r>
        <w:rPr>
          <w:rFonts w:hint="eastAsia" w:cs="宋体"/>
          <w:szCs w:val="21"/>
        </w:rPr>
        <w:t>《建筑用钢结构防腐涂料》JG/T</w:t>
      </w:r>
      <w:r>
        <w:rPr>
          <w:rFonts w:cs="宋体"/>
          <w:szCs w:val="21"/>
        </w:rPr>
        <w:t xml:space="preserve"> </w:t>
      </w:r>
      <w:r>
        <w:rPr>
          <w:rFonts w:hint="eastAsia" w:cs="宋体"/>
          <w:szCs w:val="21"/>
        </w:rPr>
        <w:t>224</w:t>
      </w:r>
    </w:p>
    <w:p>
      <w:pPr>
        <w:spacing w:line="240" w:lineRule="auto"/>
        <w:ind w:firstLine="421" w:firstLineChars="200"/>
        <w:jc w:val="left"/>
        <w:rPr>
          <w:rFonts w:cs="宋体"/>
          <w:szCs w:val="21"/>
        </w:rPr>
      </w:pPr>
      <w:r>
        <w:rPr>
          <w:rFonts w:hint="eastAsia" w:cs="宋体"/>
          <w:b/>
          <w:szCs w:val="21"/>
        </w:rPr>
        <w:t xml:space="preserve">71 </w:t>
      </w:r>
      <w:r>
        <w:rPr>
          <w:rFonts w:cs="宋体"/>
          <w:szCs w:val="21"/>
        </w:rPr>
        <w:t xml:space="preserve"> </w:t>
      </w:r>
      <w:r>
        <w:rPr>
          <w:rFonts w:hint="eastAsia" w:cs="宋体"/>
          <w:szCs w:val="21"/>
        </w:rPr>
        <w:t>《建筑用集成吊顶》JG/T</w:t>
      </w:r>
      <w:r>
        <w:rPr>
          <w:rFonts w:cs="宋体"/>
          <w:szCs w:val="21"/>
        </w:rPr>
        <w:t xml:space="preserve"> </w:t>
      </w:r>
      <w:r>
        <w:rPr>
          <w:rFonts w:hint="eastAsia" w:cs="宋体"/>
          <w:szCs w:val="21"/>
        </w:rPr>
        <w:t>413</w:t>
      </w:r>
    </w:p>
    <w:p>
      <w:pPr>
        <w:spacing w:line="240" w:lineRule="auto"/>
        <w:ind w:firstLine="421" w:firstLineChars="200"/>
        <w:jc w:val="left"/>
        <w:rPr>
          <w:rFonts w:cs="宋体"/>
          <w:szCs w:val="21"/>
        </w:rPr>
      </w:pPr>
      <w:r>
        <w:rPr>
          <w:rFonts w:hint="eastAsia" w:cs="宋体"/>
          <w:b/>
          <w:szCs w:val="21"/>
        </w:rPr>
        <w:t xml:space="preserve">72 </w:t>
      </w:r>
      <w:r>
        <w:rPr>
          <w:rFonts w:cs="宋体"/>
          <w:szCs w:val="21"/>
        </w:rPr>
        <w:t xml:space="preserve"> </w:t>
      </w:r>
      <w:r>
        <w:rPr>
          <w:rFonts w:hint="eastAsia" w:cs="宋体"/>
          <w:szCs w:val="21"/>
        </w:rPr>
        <w:t>《外墙保温复合板通用技术要求》JGT</w:t>
      </w:r>
      <w:r>
        <w:rPr>
          <w:rFonts w:cs="宋体"/>
          <w:szCs w:val="21"/>
        </w:rPr>
        <w:t xml:space="preserve"> </w:t>
      </w:r>
      <w:r>
        <w:rPr>
          <w:rFonts w:hint="eastAsia" w:cs="宋体"/>
          <w:szCs w:val="21"/>
        </w:rPr>
        <w:t>480</w:t>
      </w:r>
    </w:p>
    <w:p>
      <w:pPr>
        <w:spacing w:line="240" w:lineRule="auto"/>
        <w:ind w:firstLine="421" w:firstLineChars="200"/>
        <w:jc w:val="left"/>
        <w:rPr>
          <w:rFonts w:cs="宋体"/>
          <w:szCs w:val="21"/>
        </w:rPr>
      </w:pPr>
      <w:r>
        <w:rPr>
          <w:rFonts w:hint="eastAsia" w:cs="宋体"/>
          <w:b/>
          <w:szCs w:val="21"/>
        </w:rPr>
        <w:t xml:space="preserve">73 </w:t>
      </w:r>
      <w:r>
        <w:rPr>
          <w:rFonts w:cs="宋体"/>
          <w:szCs w:val="21"/>
        </w:rPr>
        <w:t xml:space="preserve"> </w:t>
      </w:r>
      <w:r>
        <w:rPr>
          <w:rFonts w:hint="eastAsia" w:cs="宋体"/>
          <w:szCs w:val="21"/>
        </w:rPr>
        <w:t>《聚氨建筑密封胶》JC/T</w:t>
      </w:r>
      <w:r>
        <w:rPr>
          <w:rFonts w:cs="宋体"/>
          <w:szCs w:val="21"/>
        </w:rPr>
        <w:t xml:space="preserve"> </w:t>
      </w:r>
      <w:r>
        <w:rPr>
          <w:rFonts w:hint="eastAsia" w:cs="宋体"/>
          <w:szCs w:val="21"/>
        </w:rPr>
        <w:t>482</w:t>
      </w:r>
    </w:p>
    <w:p>
      <w:pPr>
        <w:spacing w:line="240" w:lineRule="auto"/>
        <w:ind w:firstLine="421" w:firstLineChars="200"/>
        <w:jc w:val="left"/>
        <w:rPr>
          <w:rFonts w:cs="宋体"/>
          <w:szCs w:val="21"/>
        </w:rPr>
      </w:pPr>
      <w:r>
        <w:rPr>
          <w:rFonts w:hint="eastAsia" w:cs="宋体"/>
          <w:b/>
          <w:szCs w:val="21"/>
        </w:rPr>
        <w:t>74</w:t>
      </w:r>
      <w:r>
        <w:rPr>
          <w:rFonts w:cs="宋体"/>
          <w:b/>
          <w:szCs w:val="21"/>
        </w:rPr>
        <w:t xml:space="preserve"> </w:t>
      </w:r>
      <w:r>
        <w:rPr>
          <w:rFonts w:hint="eastAsia" w:cs="宋体"/>
          <w:szCs w:val="21"/>
        </w:rPr>
        <w:t xml:space="preserve"> 《聚硫建筑密封胶》JC/T</w:t>
      </w:r>
      <w:r>
        <w:rPr>
          <w:rFonts w:cs="宋体"/>
          <w:szCs w:val="21"/>
        </w:rPr>
        <w:t xml:space="preserve"> </w:t>
      </w:r>
      <w:r>
        <w:rPr>
          <w:rFonts w:hint="eastAsia" w:cs="宋体"/>
          <w:szCs w:val="21"/>
        </w:rPr>
        <w:t>483</w:t>
      </w:r>
    </w:p>
    <w:p>
      <w:pPr>
        <w:spacing w:line="240" w:lineRule="auto"/>
        <w:ind w:firstLine="421" w:firstLineChars="200"/>
        <w:jc w:val="left"/>
        <w:rPr>
          <w:rFonts w:cs="宋体"/>
          <w:szCs w:val="21"/>
        </w:rPr>
      </w:pPr>
      <w:r>
        <w:rPr>
          <w:rFonts w:hint="eastAsia" w:cs="宋体"/>
          <w:b/>
          <w:szCs w:val="21"/>
        </w:rPr>
        <w:t>7</w:t>
      </w:r>
      <w:r>
        <w:rPr>
          <w:rFonts w:cs="宋体"/>
          <w:b/>
          <w:szCs w:val="21"/>
        </w:rPr>
        <w:t>5</w:t>
      </w:r>
      <w:r>
        <w:rPr>
          <w:rFonts w:hint="eastAsia" w:cs="宋体"/>
          <w:b/>
          <w:szCs w:val="21"/>
        </w:rPr>
        <w:t xml:space="preserve"> </w:t>
      </w:r>
      <w:r>
        <w:rPr>
          <w:rFonts w:cs="宋体"/>
          <w:szCs w:val="21"/>
        </w:rPr>
        <w:t xml:space="preserve"> </w:t>
      </w:r>
      <w:r>
        <w:rPr>
          <w:rFonts w:hint="eastAsia" w:cs="宋体"/>
          <w:szCs w:val="21"/>
        </w:rPr>
        <w:t>广东省标准《建筑结构荷载规范》DBJ</w:t>
      </w:r>
      <w:r>
        <w:rPr>
          <w:rFonts w:cs="宋体"/>
          <w:szCs w:val="21"/>
        </w:rPr>
        <w:t xml:space="preserve"> </w:t>
      </w:r>
      <w:r>
        <w:rPr>
          <w:rFonts w:hint="eastAsia" w:cs="宋体"/>
          <w:szCs w:val="21"/>
        </w:rPr>
        <w:t>15-101</w:t>
      </w:r>
    </w:p>
    <w:p>
      <w:pPr>
        <w:spacing w:line="240" w:lineRule="auto"/>
        <w:ind w:firstLine="421" w:firstLineChars="200"/>
        <w:jc w:val="left"/>
        <w:rPr>
          <w:rFonts w:cs="宋体"/>
          <w:szCs w:val="21"/>
        </w:rPr>
      </w:pPr>
      <w:r>
        <w:rPr>
          <w:rFonts w:hint="eastAsia" w:cs="宋体"/>
          <w:b/>
          <w:szCs w:val="21"/>
        </w:rPr>
        <w:t>7</w:t>
      </w:r>
      <w:r>
        <w:rPr>
          <w:rFonts w:cs="宋体"/>
          <w:b/>
          <w:szCs w:val="21"/>
        </w:rPr>
        <w:t>6</w:t>
      </w:r>
      <w:r>
        <w:rPr>
          <w:rFonts w:hint="eastAsia" w:cs="宋体"/>
          <w:b/>
          <w:szCs w:val="21"/>
        </w:rPr>
        <w:t xml:space="preserve"> </w:t>
      </w:r>
      <w:r>
        <w:rPr>
          <w:rFonts w:cs="宋体"/>
          <w:szCs w:val="21"/>
        </w:rPr>
        <w:t xml:space="preserve"> </w:t>
      </w:r>
      <w:r>
        <w:rPr>
          <w:rFonts w:hint="eastAsia" w:cs="宋体"/>
          <w:szCs w:val="21"/>
        </w:rPr>
        <w:t>广东省标准《高层建筑钢-混凝土混合结构技术规程》DBJ/T</w:t>
      </w:r>
      <w:r>
        <w:rPr>
          <w:rFonts w:cs="宋体"/>
          <w:szCs w:val="21"/>
        </w:rPr>
        <w:t xml:space="preserve"> </w:t>
      </w:r>
      <w:r>
        <w:rPr>
          <w:rFonts w:hint="eastAsia" w:cs="宋体"/>
          <w:szCs w:val="21"/>
        </w:rPr>
        <w:t>15-128</w:t>
      </w:r>
    </w:p>
    <w:p>
      <w:pPr>
        <w:spacing w:line="240" w:lineRule="auto"/>
        <w:ind w:firstLine="421" w:firstLineChars="200"/>
        <w:jc w:val="left"/>
        <w:rPr>
          <w:rFonts w:cs="宋体"/>
          <w:szCs w:val="21"/>
        </w:rPr>
      </w:pPr>
      <w:r>
        <w:rPr>
          <w:rFonts w:hint="eastAsia" w:cs="宋体"/>
          <w:b/>
          <w:szCs w:val="21"/>
        </w:rPr>
        <w:t>7</w:t>
      </w:r>
      <w:r>
        <w:rPr>
          <w:rFonts w:cs="宋体"/>
          <w:b/>
          <w:szCs w:val="21"/>
        </w:rPr>
        <w:t xml:space="preserve">7 </w:t>
      </w:r>
      <w:r>
        <w:rPr>
          <w:rFonts w:hint="eastAsia" w:cs="宋体"/>
          <w:szCs w:val="21"/>
        </w:rPr>
        <w:t xml:space="preserve"> 广东省标准《钢结构设计规程》DBJ</w:t>
      </w:r>
      <w:r>
        <w:rPr>
          <w:rFonts w:cs="宋体"/>
          <w:szCs w:val="21"/>
        </w:rPr>
        <w:t xml:space="preserve"> </w:t>
      </w:r>
      <w:r>
        <w:rPr>
          <w:rFonts w:hint="eastAsia" w:cs="宋体"/>
          <w:szCs w:val="21"/>
        </w:rPr>
        <w:t>15-102</w:t>
      </w:r>
    </w:p>
    <w:p>
      <w:pPr>
        <w:spacing w:line="240" w:lineRule="auto"/>
        <w:ind w:firstLine="421" w:firstLineChars="200"/>
        <w:jc w:val="left"/>
        <w:rPr>
          <w:rFonts w:cs="宋体"/>
          <w:szCs w:val="21"/>
        </w:rPr>
      </w:pPr>
      <w:r>
        <w:rPr>
          <w:rFonts w:cs="宋体"/>
          <w:b/>
          <w:szCs w:val="21"/>
        </w:rPr>
        <w:t>78</w:t>
      </w:r>
      <w:r>
        <w:rPr>
          <w:rFonts w:hint="eastAsia" w:cs="宋体"/>
          <w:b/>
          <w:szCs w:val="21"/>
        </w:rPr>
        <w:t xml:space="preserve"> </w:t>
      </w:r>
      <w:r>
        <w:rPr>
          <w:rFonts w:cs="宋体"/>
          <w:b/>
          <w:szCs w:val="21"/>
        </w:rPr>
        <w:t xml:space="preserve"> </w:t>
      </w:r>
      <w:r>
        <w:rPr>
          <w:rFonts w:hint="eastAsia" w:cs="宋体"/>
          <w:szCs w:val="21"/>
        </w:rPr>
        <w:t>广东省标准《高层建筑混凝土结构技术规程》 DBJ/T</w:t>
      </w:r>
      <w:r>
        <w:rPr>
          <w:rFonts w:cs="宋体"/>
          <w:szCs w:val="21"/>
        </w:rPr>
        <w:t xml:space="preserve"> </w:t>
      </w:r>
      <w:r>
        <w:rPr>
          <w:rFonts w:hint="eastAsia" w:cs="宋体"/>
          <w:szCs w:val="21"/>
        </w:rPr>
        <w:t>15-92</w:t>
      </w:r>
    </w:p>
    <w:p>
      <w:pPr>
        <w:spacing w:line="240" w:lineRule="auto"/>
        <w:ind w:firstLine="421" w:firstLineChars="200"/>
        <w:jc w:val="left"/>
        <w:rPr>
          <w:rFonts w:cs="宋体"/>
          <w:szCs w:val="21"/>
        </w:rPr>
      </w:pPr>
      <w:r>
        <w:rPr>
          <w:rFonts w:cs="宋体"/>
          <w:b/>
          <w:szCs w:val="21"/>
        </w:rPr>
        <w:t>79</w:t>
      </w:r>
      <w:r>
        <w:rPr>
          <w:rFonts w:hint="eastAsia" w:cs="宋体"/>
          <w:b/>
          <w:szCs w:val="21"/>
        </w:rPr>
        <w:t xml:space="preserve"> </w:t>
      </w:r>
      <w:r>
        <w:rPr>
          <w:rFonts w:cs="宋体"/>
          <w:szCs w:val="21"/>
        </w:rPr>
        <w:t xml:space="preserve"> </w:t>
      </w:r>
      <w:r>
        <w:rPr>
          <w:rFonts w:hint="eastAsia" w:cs="宋体"/>
          <w:szCs w:val="21"/>
        </w:rPr>
        <w:t>广东省标准《高层建筑风振舒适度评价标准及控制技术规程》DBJ/T</w:t>
      </w:r>
      <w:r>
        <w:rPr>
          <w:rFonts w:cs="宋体"/>
          <w:szCs w:val="21"/>
        </w:rPr>
        <w:t xml:space="preserve"> </w:t>
      </w:r>
      <w:r>
        <w:rPr>
          <w:rFonts w:hint="eastAsia" w:cs="宋体"/>
          <w:szCs w:val="21"/>
        </w:rPr>
        <w:t>15 -216</w:t>
      </w:r>
    </w:p>
    <w:p>
      <w:pPr>
        <w:spacing w:line="240" w:lineRule="auto"/>
        <w:ind w:firstLine="421" w:firstLineChars="200"/>
        <w:jc w:val="left"/>
        <w:rPr>
          <w:rFonts w:cs="宋体"/>
          <w:szCs w:val="21"/>
        </w:rPr>
      </w:pPr>
      <w:r>
        <w:rPr>
          <w:rFonts w:cs="宋体"/>
          <w:b/>
          <w:szCs w:val="21"/>
        </w:rPr>
        <w:t>80</w:t>
      </w:r>
      <w:r>
        <w:rPr>
          <w:rFonts w:hint="eastAsia" w:cs="宋体"/>
          <w:b/>
          <w:szCs w:val="21"/>
        </w:rPr>
        <w:t xml:space="preserve"> </w:t>
      </w:r>
      <w:r>
        <w:rPr>
          <w:rFonts w:cs="宋体"/>
          <w:szCs w:val="21"/>
        </w:rPr>
        <w:t xml:space="preserve"> </w:t>
      </w:r>
      <w:r>
        <w:rPr>
          <w:rFonts w:hint="eastAsia" w:cs="宋体"/>
          <w:szCs w:val="21"/>
        </w:rPr>
        <w:t>深圳市《居住建筑室内装配化装修技术规程》SJG</w:t>
      </w:r>
      <w:r>
        <w:rPr>
          <w:rFonts w:cs="宋体"/>
          <w:szCs w:val="21"/>
        </w:rPr>
        <w:t xml:space="preserve"> </w:t>
      </w:r>
      <w:r>
        <w:rPr>
          <w:rFonts w:hint="eastAsia" w:cs="宋体"/>
          <w:szCs w:val="21"/>
        </w:rPr>
        <w:t>96</w:t>
      </w:r>
    </w:p>
    <w:p>
      <w:pPr>
        <w:spacing w:line="240" w:lineRule="auto"/>
        <w:ind w:firstLine="421" w:firstLineChars="200"/>
        <w:jc w:val="left"/>
        <w:rPr>
          <w:rFonts w:cs="宋体"/>
          <w:szCs w:val="21"/>
        </w:rPr>
      </w:pPr>
      <w:r>
        <w:rPr>
          <w:rFonts w:cs="宋体"/>
          <w:b/>
          <w:szCs w:val="21"/>
        </w:rPr>
        <w:t>81</w:t>
      </w:r>
      <w:r>
        <w:rPr>
          <w:rFonts w:hint="eastAsia" w:cs="宋体"/>
          <w:b/>
          <w:szCs w:val="21"/>
        </w:rPr>
        <w:t xml:space="preserve"> </w:t>
      </w:r>
      <w:r>
        <w:rPr>
          <w:rFonts w:cs="宋体"/>
          <w:szCs w:val="21"/>
        </w:rPr>
        <w:t xml:space="preserve"> </w:t>
      </w:r>
      <w:r>
        <w:rPr>
          <w:rFonts w:hint="eastAsia" w:cs="宋体"/>
          <w:szCs w:val="21"/>
        </w:rPr>
        <w:t>深圳市《高层建筑结构技术规程》SJG 98</w:t>
      </w:r>
    </w:p>
    <w:p>
      <w:pPr>
        <w:widowControl/>
        <w:spacing w:line="240" w:lineRule="auto"/>
        <w:jc w:val="left"/>
        <w:rPr>
          <w:rFonts w:cs="宋体"/>
          <w:b/>
          <w:szCs w:val="21"/>
        </w:rPr>
      </w:pPr>
      <w:r>
        <w:rPr>
          <w:rFonts w:cs="宋体"/>
          <w:b/>
          <w:szCs w:val="21"/>
        </w:rPr>
        <w:br w:type="page"/>
      </w:r>
    </w:p>
    <w:p>
      <w:pPr>
        <w:widowControl/>
        <w:jc w:val="center"/>
        <w:rPr>
          <w:rFonts w:ascii="Calibri" w:hAnsi="Calibri" w:eastAsia="黑体"/>
          <w:sz w:val="32"/>
          <w:szCs w:val="32"/>
        </w:rPr>
      </w:pPr>
    </w:p>
    <w:p>
      <w:pPr>
        <w:spacing w:line="240" w:lineRule="auto"/>
        <w:ind w:right="-42" w:rightChars="-20"/>
        <w:jc w:val="center"/>
        <w:rPr>
          <w:rFonts w:eastAsia="黑体"/>
          <w:sz w:val="32"/>
          <w:szCs w:val="32"/>
        </w:rPr>
      </w:pPr>
      <w:r>
        <w:rPr>
          <w:rFonts w:hint="eastAsia" w:eastAsia="黑体"/>
          <w:sz w:val="32"/>
          <w:szCs w:val="32"/>
        </w:rPr>
        <w:t>深圳市工程建设地方标准</w:t>
      </w:r>
    </w:p>
    <w:p>
      <w:pPr>
        <w:spacing w:line="240" w:lineRule="auto"/>
        <w:jc w:val="center"/>
        <w:rPr>
          <w:sz w:val="30"/>
        </w:rPr>
      </w:pPr>
    </w:p>
    <w:p>
      <w:pPr>
        <w:spacing w:line="240" w:lineRule="auto"/>
        <w:jc w:val="center"/>
        <w:rPr>
          <w:rFonts w:ascii="宋体" w:hAnsi="宋体"/>
          <w:b/>
          <w:bCs/>
          <w:sz w:val="32"/>
          <w:szCs w:val="32"/>
        </w:rPr>
      </w:pPr>
      <w:r>
        <w:rPr>
          <w:rFonts w:hint="eastAsia" w:ascii="宋体" w:hAnsi="宋体"/>
          <w:b/>
          <w:bCs/>
          <w:sz w:val="32"/>
          <w:szCs w:val="32"/>
        </w:rPr>
        <w:t>钢结构装配式住宅技术规程</w:t>
      </w:r>
    </w:p>
    <w:p>
      <w:pPr>
        <w:spacing w:line="240" w:lineRule="auto"/>
        <w:jc w:val="center"/>
        <w:rPr>
          <w:rFonts w:ascii="宋体" w:hAnsi="宋体"/>
          <w:b/>
          <w:bCs/>
          <w:sz w:val="32"/>
          <w:szCs w:val="32"/>
        </w:rPr>
      </w:pPr>
    </w:p>
    <w:p>
      <w:pPr>
        <w:spacing w:line="240" w:lineRule="auto"/>
        <w:jc w:val="center"/>
        <w:rPr>
          <w:b/>
          <w:sz w:val="30"/>
        </w:rPr>
      </w:pPr>
      <w:r>
        <w:rPr>
          <w:b/>
          <w:sz w:val="30"/>
        </w:rPr>
        <w:t xml:space="preserve">SJG </w:t>
      </w:r>
      <w:r>
        <w:rPr>
          <w:rFonts w:eastAsia="黑体e眠副浡渀."/>
          <w:b/>
          <w:sz w:val="28"/>
          <w:szCs w:val="28"/>
        </w:rPr>
        <w:t>XXX</w:t>
      </w:r>
      <w:r>
        <w:rPr>
          <w:b/>
          <w:sz w:val="28"/>
          <w:szCs w:val="28"/>
        </w:rPr>
        <w:t xml:space="preserve"> </w:t>
      </w:r>
      <w:r>
        <w:rPr>
          <w:rFonts w:hint="eastAsia" w:ascii="宋体" w:hAnsi="宋体"/>
          <w:b/>
          <w:sz w:val="28"/>
          <w:szCs w:val="28"/>
        </w:rPr>
        <w:t>-</w:t>
      </w:r>
      <w:r>
        <w:rPr>
          <w:rFonts w:hint="eastAsia"/>
          <w:b/>
          <w:sz w:val="28"/>
          <w:szCs w:val="28"/>
        </w:rPr>
        <w:t xml:space="preserve"> </w:t>
      </w:r>
      <w:r>
        <w:rPr>
          <w:rFonts w:hint="eastAsia"/>
          <w:b/>
          <w:sz w:val="30"/>
        </w:rPr>
        <w:t>202X</w:t>
      </w:r>
    </w:p>
    <w:p>
      <w:pPr>
        <w:ind w:firstLine="480"/>
      </w:pPr>
    </w:p>
    <w:p>
      <w:pPr>
        <w:ind w:firstLine="480"/>
      </w:pPr>
    </w:p>
    <w:p>
      <w:pPr>
        <w:jc w:val="center"/>
        <w:outlineLvl w:val="0"/>
        <w:rPr>
          <w:b/>
          <w:sz w:val="36"/>
          <w:szCs w:val="36"/>
        </w:rPr>
      </w:pPr>
      <w:bookmarkStart w:id="65" w:name="_Toc80871088"/>
      <w:bookmarkStart w:id="66" w:name="_Toc48203498"/>
      <w:bookmarkStart w:id="67" w:name="_Toc93350498"/>
      <w:bookmarkStart w:id="68" w:name="_Toc49876765"/>
      <w:bookmarkStart w:id="69" w:name="_Toc93389587"/>
      <w:bookmarkStart w:id="70" w:name="_Toc49851384"/>
      <w:bookmarkStart w:id="71" w:name="_Toc118357484"/>
      <w:bookmarkStart w:id="72" w:name="_Toc92982247"/>
      <w:bookmarkStart w:id="73" w:name="_Toc48203657"/>
      <w:bookmarkStart w:id="74" w:name="_Toc80881037"/>
      <w:bookmarkStart w:id="75" w:name="_Toc48203206"/>
      <w:bookmarkStart w:id="76" w:name="_Toc49880526"/>
      <w:bookmarkStart w:id="77" w:name="_Toc93909047"/>
      <w:bookmarkStart w:id="78" w:name="_Toc93677055"/>
      <w:bookmarkStart w:id="79" w:name="_Toc93998978"/>
      <w:bookmarkStart w:id="80" w:name="_Toc49879944"/>
      <w:bookmarkStart w:id="81" w:name="_Toc93999739"/>
      <w:r>
        <w:rPr>
          <w:b/>
          <w:sz w:val="36"/>
          <w:szCs w:val="36"/>
        </w:rPr>
        <w:t>条文说明</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ind w:firstLine="723"/>
        <w:rPr>
          <w:b/>
          <w:sz w:val="36"/>
          <w:szCs w:val="36"/>
        </w:rPr>
      </w:pPr>
    </w:p>
    <w:p>
      <w:pPr>
        <w:ind w:firstLine="723"/>
        <w:rPr>
          <w:b/>
          <w:sz w:val="36"/>
          <w:szCs w:val="36"/>
        </w:rPr>
      </w:pPr>
    </w:p>
    <w:p>
      <w:pPr>
        <w:widowControl/>
        <w:jc w:val="left"/>
        <w:rPr>
          <w:szCs w:val="21"/>
        </w:rPr>
      </w:pPr>
    </w:p>
    <w:p>
      <w:pPr>
        <w:widowControl/>
        <w:spacing w:line="240" w:lineRule="auto"/>
        <w:jc w:val="center"/>
        <w:rPr>
          <w:rFonts w:ascii="宋体" w:hAnsi="宋体"/>
          <w:color w:val="FF0000"/>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widowControl/>
        <w:spacing w:line="240" w:lineRule="auto"/>
        <w:jc w:val="left"/>
        <w:rPr>
          <w:rFonts w:ascii="宋体" w:hAnsi="宋体"/>
          <w:szCs w:val="21"/>
        </w:rPr>
      </w:pPr>
      <w:r>
        <w:rPr>
          <w:rFonts w:ascii="宋体" w:hAnsi="宋体"/>
          <w:szCs w:val="21"/>
        </w:rPr>
        <w:br w:type="page"/>
      </w:r>
    </w:p>
    <w:p>
      <w:pPr>
        <w:spacing w:before="360" w:after="360" w:line="240" w:lineRule="auto"/>
        <w:jc w:val="center"/>
        <w:rPr>
          <w:rFonts w:ascii="宋体" w:hAnsi="宋体"/>
          <w:bCs/>
          <w:szCs w:val="28"/>
        </w:rPr>
      </w:pPr>
      <w:bookmarkStart w:id="82" w:name="_Toc117670744"/>
      <w:bookmarkStart w:id="83" w:name="_Toc117779343"/>
      <w:bookmarkStart w:id="84" w:name="_Toc118138595"/>
      <w:bookmarkStart w:id="85" w:name="_Toc118138441"/>
      <w:bookmarkStart w:id="86" w:name="_Toc116773019"/>
      <w:bookmarkStart w:id="87" w:name="_Toc117779473"/>
      <w:r>
        <w:rPr>
          <w:rFonts w:hint="eastAsia" w:ascii="宋体" w:hAnsi="宋体"/>
          <w:b/>
          <w:sz w:val="28"/>
          <w:szCs w:val="28"/>
        </w:rPr>
        <w:t>编</w:t>
      </w:r>
      <w:r>
        <w:rPr>
          <w:rFonts w:ascii="宋体" w:hAnsi="宋体"/>
          <w:b/>
          <w:sz w:val="28"/>
          <w:szCs w:val="28"/>
        </w:rPr>
        <w:t>制说明</w:t>
      </w:r>
      <w:bookmarkEnd w:id="82"/>
      <w:bookmarkEnd w:id="83"/>
      <w:bookmarkEnd w:id="84"/>
      <w:bookmarkEnd w:id="85"/>
      <w:bookmarkEnd w:id="86"/>
      <w:bookmarkEnd w:id="87"/>
    </w:p>
    <w:p>
      <w:pPr>
        <w:spacing w:line="240" w:lineRule="auto"/>
        <w:ind w:firstLine="420" w:firstLineChars="200"/>
        <w:rPr>
          <w:rFonts w:cs="等线"/>
        </w:rPr>
      </w:pPr>
      <w:r>
        <w:rPr>
          <w:rFonts w:cs="等线"/>
        </w:rPr>
        <w:t>深圳市</w:t>
      </w:r>
      <w:r>
        <w:rPr>
          <w:rFonts w:hint="eastAsia" w:cs="等线"/>
        </w:rPr>
        <w:t>工程建设地方标准《钢结构装配式住宅技术规程》</w:t>
      </w:r>
      <w:r>
        <w:rPr>
          <w:rFonts w:cs="等线"/>
        </w:rPr>
        <w:t>SJG XXX–2022经深圳</w:t>
      </w:r>
      <w:r>
        <w:rPr>
          <w:rFonts w:hint="eastAsia" w:cs="等线"/>
        </w:rPr>
        <w:t>市住房和建设局</w:t>
      </w:r>
      <w:r>
        <w:rPr>
          <w:rFonts w:cs="等线"/>
        </w:rPr>
        <w:t>于2022年X月X日以第X号公告批准、发布。</w:t>
      </w:r>
    </w:p>
    <w:p>
      <w:pPr>
        <w:spacing w:line="240" w:lineRule="auto"/>
        <w:ind w:firstLine="420" w:firstLineChars="200"/>
        <w:rPr>
          <w:rFonts w:cs="等线"/>
        </w:rPr>
      </w:pPr>
      <w:r>
        <w:rPr>
          <w:rFonts w:hint="eastAsia" w:cs="等线"/>
        </w:rPr>
        <w:t>本标准编制过程中，编制组进行了广泛的调查研究，总结了工程实践经验，同时，参考了国外先进技术法规、技术标准，</w:t>
      </w:r>
      <w:r>
        <w:rPr>
          <w:rFonts w:cs="等线"/>
        </w:rPr>
        <w:t>广泛征求了有关</w:t>
      </w:r>
      <w:r>
        <w:rPr>
          <w:rFonts w:hint="eastAsia" w:cs="等线"/>
        </w:rPr>
        <w:t>方</w:t>
      </w:r>
      <w:r>
        <w:rPr>
          <w:rFonts w:cs="等线"/>
        </w:rPr>
        <w:t>面的意见，</w:t>
      </w:r>
      <w:r>
        <w:rPr>
          <w:rFonts w:hint="eastAsia" w:cs="等线"/>
        </w:rPr>
        <w:t>并通过系列试验研究等取得了一系列重要技术参数，</w:t>
      </w:r>
      <w:r>
        <w:rPr>
          <w:rFonts w:cs="等线"/>
        </w:rPr>
        <w:t>对具体内容进行了反复论证和协调，同时</w:t>
      </w:r>
      <w:r>
        <w:rPr>
          <w:rFonts w:hint="eastAsia" w:cs="等线"/>
        </w:rPr>
        <w:t>有效</w:t>
      </w:r>
      <w:r>
        <w:rPr>
          <w:rFonts w:cs="等线"/>
        </w:rPr>
        <w:t>参考了现行</w:t>
      </w:r>
      <w:r>
        <w:rPr>
          <w:rFonts w:hint="eastAsia" w:cs="等线"/>
        </w:rPr>
        <w:t>钢结构装</w:t>
      </w:r>
      <w:r>
        <w:rPr>
          <w:rFonts w:cs="等线"/>
        </w:rPr>
        <w:t>配式建筑相关政</w:t>
      </w:r>
      <w:r>
        <w:rPr>
          <w:rFonts w:hint="eastAsia" w:cs="等线"/>
        </w:rPr>
        <w:t>策</w:t>
      </w:r>
      <w:r>
        <w:rPr>
          <w:rFonts w:cs="等线"/>
        </w:rPr>
        <w:t>，保证了编制质量与可实施性。</w:t>
      </w:r>
    </w:p>
    <w:p>
      <w:pPr>
        <w:spacing w:line="240" w:lineRule="auto"/>
        <w:ind w:firstLine="420" w:firstLineChars="200"/>
        <w:rPr>
          <w:rFonts w:cs="等线"/>
        </w:rPr>
      </w:pPr>
      <w:r>
        <w:rPr>
          <w:rFonts w:hint="eastAsia" w:cs="等线"/>
        </w:rPr>
        <w:t>为了便于深圳市设计、生产、施工、科研、学校等单位有关人员在使用本标准时能正确理解和执行标准条文规定，</w:t>
      </w:r>
      <w:r>
        <w:rPr>
          <w:rFonts w:cs="等线"/>
        </w:rPr>
        <w:t>深圳市</w:t>
      </w:r>
      <w:r>
        <w:rPr>
          <w:rFonts w:hint="eastAsia" w:cs="等线"/>
        </w:rPr>
        <w:t>钢结构装配式住宅技术规程</w:t>
      </w:r>
      <w:r>
        <w:rPr>
          <w:rFonts w:cs="等线"/>
        </w:rPr>
        <w:t>，</w:t>
      </w:r>
      <w:r>
        <w:rPr>
          <w:rFonts w:hint="eastAsia" w:cs="等线"/>
        </w:rPr>
        <w:t>编制</w:t>
      </w:r>
      <w:r>
        <w:rPr>
          <w:rFonts w:cs="等线"/>
        </w:rPr>
        <w:t>组</w:t>
      </w:r>
      <w:r>
        <w:rPr>
          <w:rFonts w:hint="eastAsia" w:cs="等线"/>
        </w:rPr>
        <w:t>按</w:t>
      </w:r>
      <w:r>
        <w:rPr>
          <w:rFonts w:cs="等线"/>
        </w:rPr>
        <w:t>章、</w:t>
      </w:r>
      <w:r>
        <w:rPr>
          <w:rFonts w:hint="eastAsia" w:cs="等线"/>
        </w:rPr>
        <w:t>节</w:t>
      </w:r>
      <w:r>
        <w:rPr>
          <w:rFonts w:cs="等线"/>
        </w:rPr>
        <w:t>、条顺序编制了本标准的条文说明，对条文规定的目的、依据以及执行中需要注意的事项进</w:t>
      </w:r>
      <w:r>
        <w:rPr>
          <w:rFonts w:hint="eastAsia" w:cs="等线"/>
        </w:rPr>
        <w:t>行</w:t>
      </w:r>
      <w:r>
        <w:rPr>
          <w:rFonts w:cs="等线"/>
        </w:rPr>
        <w:t>了说明。但是，本条文说明不具备与标准</w:t>
      </w:r>
      <w:r>
        <w:rPr>
          <w:rFonts w:hint="eastAsia" w:cs="等线"/>
        </w:rPr>
        <w:t>正文</w:t>
      </w:r>
      <w:r>
        <w:rPr>
          <w:rFonts w:cs="等线"/>
        </w:rPr>
        <w:t>同等的法律</w:t>
      </w:r>
      <w:r>
        <w:rPr>
          <w:rFonts w:hint="eastAsia" w:cs="等线"/>
        </w:rPr>
        <w:t>效力</w:t>
      </w:r>
      <w:r>
        <w:rPr>
          <w:rFonts w:cs="等线"/>
        </w:rPr>
        <w:t>，仅供使用者作为理解和</w:t>
      </w:r>
      <w:r>
        <w:rPr>
          <w:rFonts w:hint="eastAsia" w:cs="等线"/>
        </w:rPr>
        <w:t>把握标</w:t>
      </w:r>
      <w:r>
        <w:rPr>
          <w:rFonts w:cs="等线"/>
        </w:rPr>
        <w:t>准规定的参考。</w:t>
      </w:r>
    </w:p>
    <w:p>
      <w:pPr>
        <w:spacing w:line="240" w:lineRule="auto"/>
        <w:ind w:firstLine="420" w:firstLineChars="200"/>
        <w:rPr>
          <w:rFonts w:cs="等线"/>
        </w:rPr>
      </w:pPr>
      <w:r>
        <w:rPr>
          <w:rFonts w:hint="eastAsia" w:cs="等线"/>
        </w:rPr>
        <w:t>本标准编制的一些特点和亮点：</w:t>
      </w:r>
    </w:p>
    <w:p>
      <w:pPr>
        <w:spacing w:line="240" w:lineRule="auto"/>
        <w:ind w:firstLine="420" w:firstLineChars="200"/>
        <w:rPr>
          <w:rFonts w:cs="等线"/>
        </w:rPr>
      </w:pPr>
      <w:r>
        <w:rPr>
          <w:rFonts w:hint="eastAsia" w:cs="等线"/>
        </w:rPr>
        <w:t>1、在本规范结构设计条文编制过程中，编写组以提高建筑品质、结构性能、装配化率等为目标，收集了业内的痛点问题，在研究相关规范的基础上，优选了国内钢结构住宅结构设计的先进技术，并结合了编制人成熟的工程经验与科研成果，因此，其规范条文在理念与技术上具有较高的先进性及实用性，对深圳市钢结构住宅的结构设计具有较高的指导意义；</w:t>
      </w:r>
    </w:p>
    <w:p>
      <w:pPr>
        <w:spacing w:line="240" w:lineRule="auto"/>
        <w:ind w:firstLine="420" w:firstLineChars="200"/>
        <w:rPr>
          <w:rFonts w:cs="等线"/>
        </w:rPr>
      </w:pPr>
      <w:r>
        <w:rPr>
          <w:rFonts w:hint="eastAsia" w:cs="等线"/>
        </w:rPr>
        <w:t>2、提出了户内无柱的做法，以方便建筑灵活布置与改造；</w:t>
      </w:r>
    </w:p>
    <w:p>
      <w:pPr>
        <w:spacing w:line="240" w:lineRule="auto"/>
        <w:ind w:firstLine="420" w:firstLineChars="200"/>
        <w:rPr>
          <w:rFonts w:cs="等线"/>
        </w:rPr>
      </w:pPr>
      <w:r>
        <w:rPr>
          <w:rFonts w:hint="eastAsia" w:cs="等线"/>
        </w:rPr>
        <w:t>3、提出了钢框架-混凝土外筒结构，以提高外墙的防渗性能及减少钢结构的现场焊接量；</w:t>
      </w:r>
    </w:p>
    <w:p>
      <w:pPr>
        <w:spacing w:line="240" w:lineRule="auto"/>
        <w:ind w:firstLine="420" w:firstLineChars="200"/>
        <w:rPr>
          <w:rFonts w:cs="等线"/>
        </w:rPr>
      </w:pPr>
      <w:r>
        <w:rPr>
          <w:rFonts w:hint="eastAsia" w:cs="等线"/>
        </w:rPr>
        <w:t>4、对弯剪型钢结构，提出了二阶效应增大系数判别法，以评估结构整体稳定性及选择相应的结构分析与设计方法；</w:t>
      </w:r>
    </w:p>
    <w:p>
      <w:pPr>
        <w:spacing w:line="240" w:lineRule="auto"/>
        <w:ind w:firstLine="420" w:firstLineChars="200"/>
        <w:rPr>
          <w:rFonts w:cs="等线"/>
        </w:rPr>
      </w:pPr>
      <w:r>
        <w:rPr>
          <w:rFonts w:hint="eastAsia" w:cs="等线"/>
        </w:rPr>
        <w:t>5、对凹凸不规则程度较大的结构，提出了精细风振加速度分析方法及以合成加速度作为控制对象的做法；</w:t>
      </w:r>
    </w:p>
    <w:p>
      <w:pPr>
        <w:spacing w:line="240" w:lineRule="auto"/>
        <w:ind w:firstLine="420" w:firstLineChars="200"/>
        <w:rPr>
          <w:rFonts w:cs="等线"/>
        </w:rPr>
      </w:pPr>
      <w:r>
        <w:rPr>
          <w:rFonts w:hint="eastAsia" w:cs="等线"/>
        </w:rPr>
        <w:t>6、提出了以项目效益最大化为目标对结构布置与截面等进行优化的思想；</w:t>
      </w:r>
    </w:p>
    <w:p>
      <w:pPr>
        <w:spacing w:line="240" w:lineRule="auto"/>
        <w:ind w:firstLine="420" w:firstLineChars="200"/>
        <w:rPr>
          <w:rFonts w:cs="等线"/>
        </w:rPr>
      </w:pPr>
      <w:r>
        <w:rPr>
          <w:rFonts w:hint="eastAsia" w:cs="等线"/>
        </w:rPr>
        <w:t>7、提出了在住宅中可采用巨型钢框架结构-双钢板混凝土剪力墙（支撑）结构体系，巨型钢框架之间的次结构可以采用常用的低层和多层钢结构或其它装配式建筑体系。</w:t>
      </w:r>
    </w:p>
    <w:p>
      <w:pPr>
        <w:spacing w:line="240" w:lineRule="auto"/>
        <w:ind w:firstLine="420" w:firstLineChars="200"/>
        <w:rPr>
          <w:rFonts w:cs="等线"/>
        </w:rPr>
      </w:pPr>
      <w:r>
        <w:rPr>
          <w:rFonts w:hint="eastAsia" w:cs="等线"/>
        </w:rPr>
        <w:t>8、结构体系涵盖从低层、多层、高层到超高层的钢结构住宅体系，钢结构住宅的结构高度主要是受经济性限制，可以不受1</w:t>
      </w:r>
      <w:r>
        <w:rPr>
          <w:rFonts w:cs="等线"/>
        </w:rPr>
        <w:t>8</w:t>
      </w:r>
      <w:r>
        <w:rPr>
          <w:rFonts w:hint="eastAsia" w:cs="等线"/>
        </w:rPr>
        <w:t>0m高度限制。</w:t>
      </w:r>
    </w:p>
    <w:p>
      <w:pPr>
        <w:keepNext/>
        <w:keepLines/>
        <w:spacing w:after="360" w:line="240" w:lineRule="auto"/>
        <w:jc w:val="center"/>
        <w:outlineLvl w:val="0"/>
        <w:rPr>
          <w:sz w:val="28"/>
          <w:szCs w:val="21"/>
        </w:rPr>
        <w:sectPr>
          <w:pgSz w:w="11906" w:h="16838"/>
          <w:pgMar w:top="1610" w:right="1349" w:bottom="1213" w:left="1293" w:header="851" w:footer="992" w:gutter="0"/>
          <w:pgNumType w:start="1"/>
          <w:cols w:space="425" w:num="1"/>
          <w:docGrid w:type="lines" w:linePitch="333" w:charSpace="4423"/>
        </w:sectPr>
      </w:pPr>
    </w:p>
    <w:sdt>
      <w:sdtPr>
        <w:rPr>
          <w:rFonts w:ascii="仿宋" w:hAnsi="仿宋" w:eastAsia="仿宋" w:cs="Times New Roman"/>
          <w:sz w:val="28"/>
          <w:szCs w:val="28"/>
        </w:rPr>
        <w:id w:val="1183549752"/>
        <w:docPartObj>
          <w:docPartGallery w:val="Table of Contents"/>
          <w:docPartUnique/>
        </w:docPartObj>
      </w:sdtPr>
      <w:sdtEndPr>
        <w:rPr>
          <w:rFonts w:asciiTheme="minorHAnsi" w:hAnsiTheme="minorHAnsi" w:eastAsiaTheme="minorEastAsia" w:cstheme="minorBidi"/>
          <w:b/>
          <w:bCs/>
          <w:sz w:val="21"/>
          <w:szCs w:val="22"/>
          <w:lang w:val="zh-CN"/>
        </w:rPr>
      </w:sdtEndPr>
      <w:sdtContent>
        <w:p>
          <w:pPr>
            <w:pStyle w:val="14"/>
            <w:spacing w:before="360" w:after="360"/>
            <w:ind w:firstLine="0"/>
            <w:jc w:val="center"/>
            <w:rPr>
              <w:rFonts w:ascii="Times New Roman" w:hAnsi="Times New Roman" w:eastAsia="宋体" w:cs="Times New Roman"/>
            </w:rPr>
          </w:pPr>
          <w:bookmarkStart w:id="88" w:name="_Toc118314489"/>
          <w:r>
            <w:rPr>
              <w:rFonts w:hint="eastAsia" w:ascii="仿宋" w:hAnsi="仿宋" w:eastAsia="仿宋" w:cs="Times New Roman"/>
              <w:sz w:val="28"/>
              <w:szCs w:val="28"/>
            </w:rPr>
            <w:t xml:space="preserve">目 </w:t>
          </w:r>
          <w:r>
            <w:rPr>
              <w:rFonts w:ascii="仿宋" w:hAnsi="仿宋" w:eastAsia="仿宋" w:cs="Times New Roman"/>
              <w:sz w:val="28"/>
              <w:szCs w:val="28"/>
            </w:rPr>
            <w:t xml:space="preserve">   </w:t>
          </w:r>
          <w:r>
            <w:rPr>
              <w:rFonts w:hint="eastAsia" w:ascii="仿宋" w:hAnsi="仿宋" w:eastAsia="仿宋" w:cs="Times New Roman"/>
              <w:sz w:val="28"/>
              <w:szCs w:val="28"/>
            </w:rPr>
            <w:t>次</w:t>
          </w:r>
          <w:r>
            <w:rPr>
              <w:rFonts w:ascii="宋体" w:hAnsi="宋体" w:eastAsia="宋体" w:cs="Times New Roman"/>
            </w:rPr>
            <w:fldChar w:fldCharType="begin"/>
          </w:r>
          <w:r>
            <w:rPr>
              <w:rFonts w:ascii="宋体" w:hAnsi="宋体" w:eastAsia="宋体" w:cs="Times New Roman"/>
            </w:rPr>
            <w:instrText xml:space="preserve"> TOC \o "1-3" \h \z \u </w:instrText>
          </w:r>
          <w:r>
            <w:rPr>
              <w:rFonts w:ascii="宋体" w:hAnsi="宋体" w:eastAsia="宋体" w:cs="Times New Roman"/>
            </w:rPr>
            <w:fldChar w:fldCharType="separate"/>
          </w:r>
        </w:p>
        <w:p>
          <w:pPr>
            <w:pStyle w:val="14"/>
            <w:ind w:firstLine="0"/>
            <w:rPr>
              <w:rFonts w:ascii="Times New Roman" w:hAnsi="Times New Roman" w:eastAsia="宋体" w:cs="Times New Roman"/>
            </w:rPr>
          </w:pPr>
          <w:r>
            <w:fldChar w:fldCharType="begin"/>
          </w:r>
          <w:r>
            <w:instrText xml:space="preserve"> HYPERLINK \l "_Toc118357485" </w:instrText>
          </w:r>
          <w:r>
            <w:fldChar w:fldCharType="separate"/>
          </w:r>
          <w:r>
            <w:rPr>
              <w:rFonts w:ascii="Times New Roman" w:hAnsi="Times New Roman" w:eastAsia="宋体" w:cs="Times New Roman"/>
            </w:rPr>
            <w:t>1  总则</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_Toc118357485 \h </w:instrText>
          </w:r>
          <w:r>
            <w:rPr>
              <w:rFonts w:ascii="Times New Roman" w:hAnsi="Times New Roman" w:eastAsia="宋体" w:cs="Times New Roman"/>
            </w:rPr>
            <w:fldChar w:fldCharType="separate"/>
          </w:r>
          <w:r>
            <w:rPr>
              <w:rFonts w:ascii="Times New Roman" w:hAnsi="Times New Roman" w:eastAsia="宋体" w:cs="Times New Roman"/>
            </w:rPr>
            <w:t>48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ind w:firstLine="0"/>
            <w:rPr>
              <w:rFonts w:ascii="Times New Roman" w:hAnsi="Times New Roman" w:eastAsia="宋体" w:cs="Times New Roman"/>
            </w:rPr>
          </w:pPr>
          <w:r>
            <w:fldChar w:fldCharType="begin"/>
          </w:r>
          <w:r>
            <w:instrText xml:space="preserve"> HYPERLINK \l "_Toc118357486" </w:instrText>
          </w:r>
          <w:r>
            <w:fldChar w:fldCharType="separate"/>
          </w:r>
          <w:r>
            <w:rPr>
              <w:rFonts w:ascii="Times New Roman" w:hAnsi="Times New Roman" w:eastAsia="宋体" w:cs="Times New Roman"/>
            </w:rPr>
            <w:t>2  术语</w:t>
          </w: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_Toc118357486 \h </w:instrText>
          </w:r>
          <w:r>
            <w:rPr>
              <w:rFonts w:ascii="Times New Roman" w:hAnsi="Times New Roman" w:eastAsia="宋体" w:cs="Times New Roman"/>
            </w:rPr>
            <w:fldChar w:fldCharType="separate"/>
          </w:r>
          <w:r>
            <w:rPr>
              <w:rFonts w:ascii="Times New Roman" w:hAnsi="Times New Roman" w:eastAsia="宋体" w:cs="Times New Roman"/>
            </w:rPr>
            <w:t>49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ind w:firstLine="0"/>
            <w:rPr>
              <w:rFonts w:ascii="Times New Roman" w:hAnsi="Times New Roman" w:eastAsia="宋体" w:cs="Times New Roman"/>
            </w:rPr>
          </w:pPr>
          <w:r>
            <w:fldChar w:fldCharType="begin"/>
          </w:r>
          <w:r>
            <w:instrText xml:space="preserve"> HYPERLINK \l "_Toc118357487" </w:instrText>
          </w:r>
          <w:r>
            <w:fldChar w:fldCharType="separate"/>
          </w:r>
          <w:r>
            <w:rPr>
              <w:rFonts w:ascii="Times New Roman" w:hAnsi="Times New Roman" w:eastAsia="宋体" w:cs="Times New Roman"/>
            </w:rPr>
            <w:t>3  基本规定</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_Toc118357487 \h </w:instrText>
          </w:r>
          <w:r>
            <w:rPr>
              <w:rFonts w:ascii="Times New Roman" w:hAnsi="Times New Roman" w:eastAsia="宋体" w:cs="Times New Roman"/>
            </w:rPr>
            <w:fldChar w:fldCharType="separate"/>
          </w:r>
          <w:r>
            <w:rPr>
              <w:rFonts w:ascii="Times New Roman" w:hAnsi="Times New Roman" w:eastAsia="宋体" w:cs="Times New Roman"/>
            </w:rPr>
            <w:t>50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4"/>
            <w:ind w:firstLine="0"/>
            <w:rPr>
              <w:rFonts w:ascii="Times New Roman" w:hAnsi="Times New Roman" w:eastAsia="宋体" w:cs="Times New Roman"/>
            </w:rPr>
          </w:pPr>
          <w:r>
            <w:fldChar w:fldCharType="begin"/>
          </w:r>
          <w:r>
            <w:instrText xml:space="preserve"> HYPERLINK \l "_Toc118357488" </w:instrText>
          </w:r>
          <w:r>
            <w:fldChar w:fldCharType="separate"/>
          </w:r>
          <w:r>
            <w:rPr>
              <w:rFonts w:ascii="Times New Roman" w:hAnsi="Times New Roman" w:eastAsia="宋体" w:cs="Times New Roman"/>
            </w:rPr>
            <w:t>4  建筑设计</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_Toc118357488 \h </w:instrText>
          </w:r>
          <w:r>
            <w:rPr>
              <w:rFonts w:ascii="Times New Roman" w:hAnsi="Times New Roman" w:eastAsia="宋体" w:cs="Times New Roman"/>
            </w:rPr>
            <w:fldChar w:fldCharType="separate"/>
          </w:r>
          <w:r>
            <w:rPr>
              <w:rFonts w:ascii="Times New Roman" w:hAnsi="Times New Roman" w:eastAsia="宋体" w:cs="Times New Roman"/>
            </w:rPr>
            <w:t>51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"_Toc118357489" </w:instrText>
          </w:r>
          <w:r>
            <w:fldChar w:fldCharType="separate"/>
          </w:r>
          <w:r>
            <w:rPr>
              <w:rFonts w:ascii="Times New Roman" w:hAnsi="Times New Roman" w:eastAsia="宋体" w:cs="Times New Roman"/>
              <w:sz w:val="18"/>
              <w:szCs w:val="18"/>
            </w:rPr>
            <w:t>4.1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_Toc118357489 \h </w:instrText>
          </w:r>
          <w:r>
            <w:rPr>
              <w:rFonts w:ascii="Times New Roman" w:hAnsi="Times New Roman" w:eastAsia="宋体" w:cs="Times New Roman"/>
              <w:szCs w:val="21"/>
            </w:rPr>
            <w:fldChar w:fldCharType="separate"/>
          </w:r>
          <w:r>
            <w:rPr>
              <w:rFonts w:ascii="Times New Roman" w:hAnsi="Times New Roman" w:eastAsia="宋体" w:cs="Times New Roman"/>
              <w:szCs w:val="21"/>
            </w:rPr>
            <w:t>51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"_Toc118357490" </w:instrText>
          </w:r>
          <w:r>
            <w:fldChar w:fldCharType="separate"/>
          </w:r>
          <w:r>
            <w:rPr>
              <w:rFonts w:ascii="Times New Roman" w:hAnsi="Times New Roman" w:eastAsia="宋体" w:cs="Times New Roman"/>
              <w:sz w:val="18"/>
              <w:szCs w:val="18"/>
            </w:rPr>
            <w:t>4.2  模数、专业与公差协调</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_Toc118357490 \h </w:instrText>
          </w:r>
          <w:r>
            <w:rPr>
              <w:rFonts w:ascii="Times New Roman" w:hAnsi="Times New Roman" w:eastAsia="宋体" w:cs="Times New Roman"/>
              <w:szCs w:val="21"/>
            </w:rPr>
            <w:fldChar w:fldCharType="separate"/>
          </w:r>
          <w:r>
            <w:rPr>
              <w:rFonts w:ascii="Times New Roman" w:hAnsi="Times New Roman" w:eastAsia="宋体" w:cs="Times New Roman"/>
              <w:szCs w:val="21"/>
            </w:rPr>
            <w:t>51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"_Toc118357491" </w:instrText>
          </w:r>
          <w:r>
            <w:fldChar w:fldCharType="separate"/>
          </w:r>
          <w:r>
            <w:rPr>
              <w:rFonts w:ascii="Times New Roman" w:hAnsi="Times New Roman" w:eastAsia="宋体" w:cs="Times New Roman"/>
              <w:sz w:val="18"/>
              <w:szCs w:val="18"/>
            </w:rPr>
            <w:t>4.3  标准化设计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_Toc118357491 \h </w:instrText>
          </w:r>
          <w:r>
            <w:rPr>
              <w:rFonts w:ascii="Times New Roman" w:hAnsi="Times New Roman" w:eastAsia="宋体" w:cs="Times New Roman"/>
              <w:szCs w:val="21"/>
            </w:rPr>
            <w:fldChar w:fldCharType="separate"/>
          </w:r>
          <w:r>
            <w:rPr>
              <w:rFonts w:ascii="Times New Roman" w:hAnsi="Times New Roman" w:eastAsia="宋体" w:cs="Times New Roman"/>
              <w:szCs w:val="21"/>
            </w:rPr>
            <w:t>51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"_Toc118357492" </w:instrText>
          </w:r>
          <w:r>
            <w:fldChar w:fldCharType="separate"/>
          </w:r>
          <w:r>
            <w:rPr>
              <w:rFonts w:ascii="Times New Roman" w:hAnsi="Times New Roman" w:eastAsia="宋体" w:cs="Times New Roman"/>
              <w:sz w:val="18"/>
              <w:szCs w:val="18"/>
            </w:rPr>
            <w:t>4.4  协同设计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_Toc118357492 \h </w:instrText>
          </w:r>
          <w:r>
            <w:rPr>
              <w:rFonts w:ascii="Times New Roman" w:hAnsi="Times New Roman" w:eastAsia="宋体" w:cs="Times New Roman"/>
              <w:szCs w:val="21"/>
            </w:rPr>
            <w:fldChar w:fldCharType="separate"/>
          </w:r>
          <w:r>
            <w:rPr>
              <w:rFonts w:ascii="Times New Roman" w:hAnsi="Times New Roman" w:eastAsia="宋体" w:cs="Times New Roman"/>
              <w:szCs w:val="21"/>
            </w:rPr>
            <w:t>52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"_Toc118357493" </w:instrText>
          </w:r>
          <w:r>
            <w:fldChar w:fldCharType="separate"/>
          </w:r>
          <w:r>
            <w:rPr>
              <w:rFonts w:ascii="Times New Roman" w:hAnsi="Times New Roman" w:eastAsia="宋体" w:cs="Times New Roman"/>
              <w:sz w:val="18"/>
              <w:szCs w:val="18"/>
            </w:rPr>
            <w:t>4.5  集成设计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_Toc118357493 \h </w:instrText>
          </w:r>
          <w:r>
            <w:rPr>
              <w:rFonts w:ascii="Times New Roman" w:hAnsi="Times New Roman" w:eastAsia="宋体" w:cs="Times New Roman"/>
              <w:szCs w:val="21"/>
            </w:rPr>
            <w:fldChar w:fldCharType="separate"/>
          </w:r>
          <w:r>
            <w:rPr>
              <w:rFonts w:ascii="Times New Roman" w:hAnsi="Times New Roman" w:eastAsia="宋体" w:cs="Times New Roman"/>
              <w:szCs w:val="21"/>
            </w:rPr>
            <w:t>52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"_Toc118357494" </w:instrText>
          </w:r>
          <w:r>
            <w:fldChar w:fldCharType="separate"/>
          </w:r>
          <w:r>
            <w:rPr>
              <w:rFonts w:ascii="Times New Roman" w:hAnsi="Times New Roman" w:eastAsia="宋体" w:cs="Times New Roman"/>
              <w:sz w:val="18"/>
              <w:szCs w:val="18"/>
            </w:rPr>
            <w:t>4.6  可持续设计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_Toc118357494 \h </w:instrText>
          </w:r>
          <w:r>
            <w:rPr>
              <w:rFonts w:ascii="Times New Roman" w:hAnsi="Times New Roman" w:eastAsia="宋体" w:cs="Times New Roman"/>
              <w:szCs w:val="21"/>
            </w:rPr>
            <w:fldChar w:fldCharType="separate"/>
          </w:r>
          <w:r>
            <w:rPr>
              <w:rFonts w:ascii="Times New Roman" w:hAnsi="Times New Roman" w:eastAsia="宋体" w:cs="Times New Roman"/>
              <w:szCs w:val="21"/>
            </w:rPr>
            <w:t>52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"_Toc118357495" </w:instrText>
          </w:r>
          <w:r>
            <w:fldChar w:fldCharType="separate"/>
          </w:r>
          <w:r>
            <w:rPr>
              <w:rFonts w:ascii="Times New Roman" w:hAnsi="Times New Roman" w:eastAsia="宋体" w:cs="Times New Roman"/>
              <w:sz w:val="18"/>
              <w:szCs w:val="18"/>
            </w:rPr>
            <w:t>4.7  平面、立面与空间</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_Toc118357495 \h </w:instrText>
          </w:r>
          <w:r>
            <w:rPr>
              <w:rFonts w:ascii="Times New Roman" w:hAnsi="Times New Roman" w:eastAsia="宋体" w:cs="Times New Roman"/>
              <w:szCs w:val="21"/>
            </w:rPr>
            <w:fldChar w:fldCharType="separate"/>
          </w:r>
          <w:r>
            <w:rPr>
              <w:rFonts w:ascii="Times New Roman" w:hAnsi="Times New Roman" w:eastAsia="宋体" w:cs="Times New Roman"/>
              <w:szCs w:val="21"/>
            </w:rPr>
            <w:t>53</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"_Toc118357496" </w:instrText>
          </w:r>
          <w:r>
            <w:fldChar w:fldCharType="separate"/>
          </w:r>
          <w:r>
            <w:rPr>
              <w:rFonts w:ascii="Times New Roman" w:hAnsi="Times New Roman" w:eastAsia="宋体" w:cs="Times New Roman"/>
            </w:rPr>
            <w:t>5  结构设计</w:t>
          </w:r>
          <w:r>
            <w:rPr>
              <w:rFonts w:ascii="Times New Roman" w:hAnsi="Times New Roman" w:eastAsia="宋体" w:cs="Times New Roman"/>
            </w:rPr>
            <w:tab/>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_Toc118357496 \h </w:instrText>
          </w:r>
          <w:r>
            <w:rPr>
              <w:rFonts w:ascii="Times New Roman" w:hAnsi="Times New Roman" w:eastAsia="宋体" w:cs="Times New Roman"/>
              <w:szCs w:val="21"/>
            </w:rPr>
            <w:fldChar w:fldCharType="separate"/>
          </w:r>
          <w:r>
            <w:rPr>
              <w:rFonts w:ascii="Times New Roman" w:hAnsi="Times New Roman" w:eastAsia="宋体" w:cs="Times New Roman"/>
              <w:szCs w:val="21"/>
            </w:rPr>
            <w:t>54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"_Toc118357497" </w:instrText>
          </w:r>
          <w:r>
            <w:fldChar w:fldCharType="separate"/>
          </w:r>
          <w:r>
            <w:rPr>
              <w:rFonts w:ascii="Times New Roman" w:hAnsi="Times New Roman" w:eastAsia="宋体" w:cs="Times New Roman"/>
              <w:sz w:val="18"/>
              <w:szCs w:val="18"/>
            </w:rPr>
            <w:t>5.2  设计要求</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_Toc118357497 \h </w:instrText>
          </w:r>
          <w:r>
            <w:rPr>
              <w:rFonts w:ascii="Times New Roman" w:hAnsi="Times New Roman" w:eastAsia="宋体" w:cs="Times New Roman"/>
              <w:szCs w:val="21"/>
            </w:rPr>
            <w:fldChar w:fldCharType="separate"/>
          </w:r>
          <w:r>
            <w:rPr>
              <w:rFonts w:ascii="Times New Roman" w:hAnsi="Times New Roman" w:eastAsia="宋体" w:cs="Times New Roman"/>
              <w:szCs w:val="21"/>
            </w:rPr>
            <w:t>54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"_Toc118357498" </w:instrText>
          </w:r>
          <w:r>
            <w:fldChar w:fldCharType="separate"/>
          </w:r>
          <w:r>
            <w:rPr>
              <w:rFonts w:ascii="Times New Roman" w:hAnsi="Times New Roman" w:eastAsia="宋体" w:cs="Times New Roman"/>
              <w:sz w:val="18"/>
              <w:szCs w:val="18"/>
            </w:rPr>
            <w:t>5.3  结构体系</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_Toc118357498 \h </w:instrText>
          </w:r>
          <w:r>
            <w:rPr>
              <w:rFonts w:ascii="Times New Roman" w:hAnsi="Times New Roman" w:eastAsia="宋体" w:cs="Times New Roman"/>
              <w:szCs w:val="21"/>
            </w:rPr>
            <w:fldChar w:fldCharType="separate"/>
          </w:r>
          <w:r>
            <w:rPr>
              <w:rFonts w:ascii="Times New Roman" w:hAnsi="Times New Roman" w:eastAsia="宋体" w:cs="Times New Roman"/>
              <w:szCs w:val="21"/>
            </w:rPr>
            <w:t>55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"_Toc118357499" </w:instrText>
          </w:r>
          <w:r>
            <w:fldChar w:fldCharType="separate"/>
          </w:r>
          <w:r>
            <w:rPr>
              <w:rFonts w:ascii="Times New Roman" w:hAnsi="Times New Roman" w:eastAsia="宋体" w:cs="Times New Roman"/>
              <w:sz w:val="18"/>
              <w:szCs w:val="18"/>
            </w:rPr>
            <w:t>5.4  结构布置</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_Toc118357499 \h </w:instrText>
          </w:r>
          <w:r>
            <w:rPr>
              <w:rFonts w:ascii="Times New Roman" w:hAnsi="Times New Roman" w:eastAsia="宋体" w:cs="Times New Roman"/>
              <w:szCs w:val="21"/>
            </w:rPr>
            <w:fldChar w:fldCharType="separate"/>
          </w:r>
          <w:r>
            <w:rPr>
              <w:rFonts w:ascii="Times New Roman" w:hAnsi="Times New Roman" w:eastAsia="宋体" w:cs="Times New Roman"/>
              <w:szCs w:val="21"/>
            </w:rPr>
            <w:t>55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"_Toc118357500" </w:instrText>
          </w:r>
          <w:r>
            <w:fldChar w:fldCharType="separate"/>
          </w:r>
          <w:r>
            <w:rPr>
              <w:rFonts w:ascii="Times New Roman" w:hAnsi="Times New Roman" w:eastAsia="宋体" w:cs="Times New Roman"/>
              <w:sz w:val="18"/>
              <w:szCs w:val="18"/>
            </w:rPr>
            <w:t>5.5  结构分析</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_Toc118357500 \h </w:instrText>
          </w:r>
          <w:r>
            <w:rPr>
              <w:rFonts w:ascii="Times New Roman" w:hAnsi="Times New Roman" w:eastAsia="宋体" w:cs="Times New Roman"/>
              <w:szCs w:val="21"/>
            </w:rPr>
            <w:fldChar w:fldCharType="separate"/>
          </w:r>
          <w:r>
            <w:rPr>
              <w:rFonts w:ascii="Times New Roman" w:hAnsi="Times New Roman" w:eastAsia="宋体" w:cs="Times New Roman"/>
              <w:szCs w:val="21"/>
            </w:rPr>
            <w:t>56</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"_Toc118357501" </w:instrText>
          </w:r>
          <w:r>
            <w:fldChar w:fldCharType="separate"/>
          </w:r>
          <w:r>
            <w:rPr>
              <w:rFonts w:ascii="Times New Roman" w:hAnsi="Times New Roman" w:eastAsia="宋体" w:cs="Times New Roman"/>
              <w:sz w:val="18"/>
              <w:szCs w:val="18"/>
            </w:rPr>
            <w:t>5.6  部（构）件设计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_Toc118357501 \h </w:instrText>
          </w:r>
          <w:r>
            <w:rPr>
              <w:rFonts w:ascii="Times New Roman" w:hAnsi="Times New Roman" w:eastAsia="宋体" w:cs="Times New Roman"/>
              <w:szCs w:val="21"/>
            </w:rPr>
            <w:fldChar w:fldCharType="separate"/>
          </w:r>
          <w:r>
            <w:rPr>
              <w:rFonts w:ascii="Times New Roman" w:hAnsi="Times New Roman" w:eastAsia="宋体" w:cs="Times New Roman"/>
              <w:szCs w:val="21"/>
            </w:rPr>
            <w:t>57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"_Toc118357502" </w:instrText>
          </w:r>
          <w:r>
            <w:fldChar w:fldCharType="separate"/>
          </w:r>
          <w:r>
            <w:rPr>
              <w:rFonts w:ascii="Times New Roman" w:hAnsi="Times New Roman" w:eastAsia="宋体" w:cs="Times New Roman"/>
              <w:sz w:val="18"/>
              <w:szCs w:val="18"/>
            </w:rPr>
            <w:t>5.7  节点与连接设计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_Toc118357502 \h </w:instrText>
          </w:r>
          <w:r>
            <w:rPr>
              <w:rFonts w:ascii="Times New Roman" w:hAnsi="Times New Roman" w:eastAsia="宋体" w:cs="Times New Roman"/>
              <w:szCs w:val="21"/>
            </w:rPr>
            <w:fldChar w:fldCharType="separate"/>
          </w:r>
          <w:r>
            <w:rPr>
              <w:rFonts w:ascii="Times New Roman" w:hAnsi="Times New Roman" w:eastAsia="宋体" w:cs="Times New Roman"/>
              <w:szCs w:val="21"/>
            </w:rPr>
            <w:t>58</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"_Toc118357503" </w:instrText>
          </w:r>
          <w:r>
            <w:fldChar w:fldCharType="separate"/>
          </w:r>
          <w:r>
            <w:rPr>
              <w:rFonts w:ascii="Times New Roman" w:hAnsi="Times New Roman" w:eastAsia="宋体" w:cs="Times New Roman"/>
              <w:sz w:val="18"/>
              <w:szCs w:val="18"/>
            </w:rPr>
            <w:t>5.8  楼盖与屋盖结构</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_Toc118357503 \h </w:instrText>
          </w:r>
          <w:r>
            <w:rPr>
              <w:rFonts w:ascii="Times New Roman" w:hAnsi="Times New Roman" w:eastAsia="宋体" w:cs="Times New Roman"/>
              <w:szCs w:val="21"/>
            </w:rPr>
            <w:fldChar w:fldCharType="separate"/>
          </w:r>
          <w:r>
            <w:rPr>
              <w:rFonts w:ascii="Times New Roman" w:hAnsi="Times New Roman" w:eastAsia="宋体" w:cs="Times New Roman"/>
              <w:szCs w:val="21"/>
            </w:rPr>
            <w:t>59</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"_Toc118357504" </w:instrText>
          </w:r>
          <w:r>
            <w:fldChar w:fldCharType="separate"/>
          </w:r>
          <w:r>
            <w:rPr>
              <w:rFonts w:ascii="Times New Roman" w:hAnsi="Times New Roman" w:eastAsia="宋体" w:cs="Times New Roman"/>
              <w:sz w:val="18"/>
              <w:szCs w:val="18"/>
            </w:rPr>
            <w:t>5.10  结构防护</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_Toc118357504 \h </w:instrText>
          </w:r>
          <w:r>
            <w:rPr>
              <w:rFonts w:ascii="Times New Roman" w:hAnsi="Times New Roman" w:eastAsia="宋体" w:cs="Times New Roman"/>
              <w:szCs w:val="21"/>
            </w:rPr>
            <w:fldChar w:fldCharType="separate"/>
          </w:r>
          <w:r>
            <w:rPr>
              <w:rFonts w:ascii="Times New Roman" w:hAnsi="Times New Roman" w:eastAsia="宋体" w:cs="Times New Roman"/>
              <w:szCs w:val="21"/>
            </w:rPr>
            <w:t>61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"_Toc118357505" </w:instrText>
          </w:r>
          <w:r>
            <w:fldChar w:fldCharType="separate"/>
          </w:r>
          <w:r>
            <w:rPr>
              <w:rFonts w:ascii="Times New Roman" w:hAnsi="Times New Roman" w:eastAsia="宋体" w:cs="Times New Roman"/>
            </w:rPr>
            <w:t>6  外围护系统设计</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_Toc118357505 \h </w:instrText>
          </w:r>
          <w:r>
            <w:rPr>
              <w:rFonts w:ascii="Times New Roman" w:hAnsi="Times New Roman" w:eastAsia="宋体" w:cs="Times New Roman"/>
            </w:rPr>
            <w:fldChar w:fldCharType="separate"/>
          </w:r>
          <w:r>
            <w:rPr>
              <w:rFonts w:ascii="Times New Roman" w:hAnsi="Times New Roman" w:eastAsia="宋体" w:cs="Times New Roman"/>
            </w:rPr>
            <w:t>63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"_Toc118357506" </w:instrText>
          </w:r>
          <w:r>
            <w:fldChar w:fldCharType="separate"/>
          </w:r>
          <w:r>
            <w:rPr>
              <w:rFonts w:ascii="Times New Roman" w:hAnsi="Times New Roman" w:eastAsia="宋体" w:cs="Times New Roman"/>
              <w:sz w:val="18"/>
              <w:szCs w:val="18"/>
            </w:rPr>
            <w:t>6.1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_Toc118357506 \h </w:instrText>
          </w:r>
          <w:r>
            <w:rPr>
              <w:rFonts w:ascii="Times New Roman" w:hAnsi="Times New Roman" w:eastAsia="宋体" w:cs="Times New Roman"/>
              <w:szCs w:val="21"/>
            </w:rPr>
            <w:fldChar w:fldCharType="separate"/>
          </w:r>
          <w:r>
            <w:rPr>
              <w:rFonts w:ascii="Times New Roman" w:hAnsi="Times New Roman" w:eastAsia="宋体" w:cs="Times New Roman"/>
              <w:szCs w:val="21"/>
            </w:rPr>
            <w:t>63</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"_Toc118357507" </w:instrText>
          </w:r>
          <w:r>
            <w:fldChar w:fldCharType="separate"/>
          </w:r>
          <w:r>
            <w:rPr>
              <w:rFonts w:ascii="Times New Roman" w:hAnsi="Times New Roman" w:eastAsia="宋体" w:cs="Times New Roman"/>
              <w:sz w:val="18"/>
              <w:szCs w:val="18"/>
            </w:rPr>
            <w:t>6.2  材料与部品</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_Toc118357507 \h </w:instrText>
          </w:r>
          <w:r>
            <w:rPr>
              <w:rFonts w:ascii="Times New Roman" w:hAnsi="Times New Roman" w:eastAsia="宋体" w:cs="Times New Roman"/>
              <w:szCs w:val="21"/>
            </w:rPr>
            <w:fldChar w:fldCharType="separate"/>
          </w:r>
          <w:r>
            <w:rPr>
              <w:rFonts w:ascii="Times New Roman" w:hAnsi="Times New Roman" w:eastAsia="宋体" w:cs="Times New Roman"/>
              <w:szCs w:val="21"/>
            </w:rPr>
            <w:t>64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"_Toc118357508" </w:instrText>
          </w:r>
          <w:r>
            <w:fldChar w:fldCharType="separate"/>
          </w:r>
          <w:r>
            <w:rPr>
              <w:rFonts w:ascii="Times New Roman" w:hAnsi="Times New Roman" w:eastAsia="宋体" w:cs="Times New Roman"/>
              <w:sz w:val="18"/>
              <w:szCs w:val="18"/>
            </w:rPr>
            <w:t>6.3  外墙围护系统</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_Toc118357508 \h </w:instrText>
          </w:r>
          <w:r>
            <w:rPr>
              <w:rFonts w:ascii="Times New Roman" w:hAnsi="Times New Roman" w:eastAsia="宋体" w:cs="Times New Roman"/>
              <w:szCs w:val="21"/>
            </w:rPr>
            <w:fldChar w:fldCharType="separate"/>
          </w:r>
          <w:r>
            <w:rPr>
              <w:rFonts w:ascii="Times New Roman" w:hAnsi="Times New Roman" w:eastAsia="宋体" w:cs="Times New Roman"/>
              <w:szCs w:val="21"/>
            </w:rPr>
            <w:t>65</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"_Toc118357509" </w:instrText>
          </w:r>
          <w:r>
            <w:fldChar w:fldCharType="separate"/>
          </w:r>
          <w:r>
            <w:rPr>
              <w:rFonts w:ascii="Times New Roman" w:hAnsi="Times New Roman" w:eastAsia="宋体" w:cs="Times New Roman"/>
              <w:sz w:val="18"/>
              <w:szCs w:val="18"/>
            </w:rPr>
            <w:t>6.4  屋面围护系统</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_Toc118357509 \h </w:instrText>
          </w:r>
          <w:r>
            <w:rPr>
              <w:rFonts w:ascii="Times New Roman" w:hAnsi="Times New Roman" w:eastAsia="宋体" w:cs="Times New Roman"/>
              <w:szCs w:val="21"/>
            </w:rPr>
            <w:fldChar w:fldCharType="separate"/>
          </w:r>
          <w:r>
            <w:rPr>
              <w:rFonts w:ascii="Times New Roman" w:hAnsi="Times New Roman" w:eastAsia="宋体" w:cs="Times New Roman"/>
              <w:szCs w:val="21"/>
            </w:rPr>
            <w:t>69</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"_Toc118357510" </w:instrText>
          </w:r>
          <w:r>
            <w:fldChar w:fldCharType="separate"/>
          </w:r>
          <w:r>
            <w:rPr>
              <w:rFonts w:ascii="Times New Roman" w:hAnsi="Times New Roman" w:eastAsia="宋体" w:cs="Times New Roman"/>
            </w:rPr>
            <w:t>7  设备与管线系统设计</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_Toc118357510 \h </w:instrText>
          </w:r>
          <w:r>
            <w:rPr>
              <w:rFonts w:ascii="Times New Roman" w:hAnsi="Times New Roman" w:eastAsia="宋体" w:cs="Times New Roman"/>
            </w:rPr>
            <w:fldChar w:fldCharType="separate"/>
          </w:r>
          <w:r>
            <w:rPr>
              <w:rFonts w:ascii="Times New Roman" w:hAnsi="Times New Roman" w:eastAsia="宋体" w:cs="Times New Roman"/>
            </w:rPr>
            <w:t>70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"_Toc118357511" </w:instrText>
          </w:r>
          <w:r>
            <w:fldChar w:fldCharType="separate"/>
          </w:r>
          <w:r>
            <w:rPr>
              <w:rFonts w:ascii="Times New Roman" w:hAnsi="Times New Roman" w:eastAsia="宋体" w:cs="Times New Roman"/>
              <w:sz w:val="18"/>
              <w:szCs w:val="18"/>
            </w:rPr>
            <w:t>7.1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_Toc118357511 \h </w:instrText>
          </w:r>
          <w:r>
            <w:rPr>
              <w:rFonts w:ascii="Times New Roman" w:hAnsi="Times New Roman" w:eastAsia="宋体" w:cs="Times New Roman"/>
              <w:szCs w:val="21"/>
            </w:rPr>
            <w:fldChar w:fldCharType="separate"/>
          </w:r>
          <w:r>
            <w:rPr>
              <w:rFonts w:ascii="Times New Roman" w:hAnsi="Times New Roman" w:eastAsia="宋体" w:cs="Times New Roman"/>
              <w:szCs w:val="21"/>
            </w:rPr>
            <w:t>70</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"_Toc118357512" </w:instrText>
          </w:r>
          <w:r>
            <w:fldChar w:fldCharType="separate"/>
          </w:r>
          <w:r>
            <w:rPr>
              <w:rFonts w:ascii="Times New Roman" w:hAnsi="Times New Roman" w:eastAsia="宋体" w:cs="Times New Roman"/>
              <w:sz w:val="18"/>
              <w:szCs w:val="18"/>
            </w:rPr>
            <w:t>7.2  给水排水</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_Toc118357512 \h </w:instrText>
          </w:r>
          <w:r>
            <w:rPr>
              <w:rFonts w:ascii="Times New Roman" w:hAnsi="Times New Roman" w:eastAsia="宋体" w:cs="Times New Roman"/>
              <w:szCs w:val="21"/>
            </w:rPr>
            <w:fldChar w:fldCharType="separate"/>
          </w:r>
          <w:r>
            <w:rPr>
              <w:rFonts w:ascii="Times New Roman" w:hAnsi="Times New Roman" w:eastAsia="宋体" w:cs="Times New Roman"/>
              <w:szCs w:val="21"/>
            </w:rPr>
            <w:t>70</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"_Toc118357513" </w:instrText>
          </w:r>
          <w:r>
            <w:fldChar w:fldCharType="separate"/>
          </w:r>
          <w:r>
            <w:rPr>
              <w:rFonts w:ascii="Times New Roman" w:hAnsi="Times New Roman" w:eastAsia="宋体" w:cs="Times New Roman"/>
              <w:sz w:val="18"/>
              <w:szCs w:val="18"/>
            </w:rPr>
            <w:t>7.3  供暖、通风、空调及燃气</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_Toc118357513 \h </w:instrText>
          </w:r>
          <w:r>
            <w:rPr>
              <w:rFonts w:ascii="Times New Roman" w:hAnsi="Times New Roman" w:eastAsia="宋体" w:cs="Times New Roman"/>
              <w:szCs w:val="21"/>
            </w:rPr>
            <w:fldChar w:fldCharType="separate"/>
          </w:r>
          <w:r>
            <w:rPr>
              <w:rFonts w:ascii="Times New Roman" w:hAnsi="Times New Roman" w:eastAsia="宋体" w:cs="Times New Roman"/>
              <w:szCs w:val="21"/>
            </w:rPr>
            <w:t>70</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"_Toc118357514" </w:instrText>
          </w:r>
          <w:r>
            <w:fldChar w:fldCharType="separate"/>
          </w:r>
          <w:r>
            <w:rPr>
              <w:rFonts w:ascii="Times New Roman" w:hAnsi="Times New Roman" w:eastAsia="宋体" w:cs="Times New Roman"/>
              <w:sz w:val="18"/>
              <w:szCs w:val="18"/>
            </w:rPr>
            <w:t>7.4  电气和智能化</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_Toc118357514 \h </w:instrText>
          </w:r>
          <w:r>
            <w:rPr>
              <w:rFonts w:ascii="Times New Roman" w:hAnsi="Times New Roman" w:eastAsia="宋体" w:cs="Times New Roman"/>
              <w:szCs w:val="21"/>
            </w:rPr>
            <w:fldChar w:fldCharType="separate"/>
          </w:r>
          <w:r>
            <w:rPr>
              <w:rFonts w:ascii="Times New Roman" w:hAnsi="Times New Roman" w:eastAsia="宋体" w:cs="Times New Roman"/>
              <w:szCs w:val="21"/>
            </w:rPr>
            <w:t>71</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"_Toc118357515" </w:instrText>
          </w:r>
          <w:r>
            <w:fldChar w:fldCharType="separate"/>
          </w:r>
          <w:r>
            <w:rPr>
              <w:rFonts w:ascii="Times New Roman" w:hAnsi="Times New Roman" w:eastAsia="宋体" w:cs="Times New Roman"/>
            </w:rPr>
            <w:t>8  内装系统设计</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_Toc118357515 \h </w:instrText>
          </w:r>
          <w:r>
            <w:rPr>
              <w:rFonts w:ascii="Times New Roman" w:hAnsi="Times New Roman" w:eastAsia="宋体" w:cs="Times New Roman"/>
            </w:rPr>
            <w:fldChar w:fldCharType="separate"/>
          </w:r>
          <w:r>
            <w:rPr>
              <w:rFonts w:ascii="Times New Roman" w:hAnsi="Times New Roman" w:eastAsia="宋体" w:cs="Times New Roman"/>
            </w:rPr>
            <w:t>72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"_Toc118357516" </w:instrText>
          </w:r>
          <w:r>
            <w:fldChar w:fldCharType="separate"/>
          </w:r>
          <w:r>
            <w:rPr>
              <w:rFonts w:ascii="Times New Roman" w:hAnsi="Times New Roman" w:eastAsia="宋体" w:cs="Times New Roman"/>
              <w:sz w:val="18"/>
              <w:szCs w:val="18"/>
            </w:rPr>
            <w:t>8.1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_Toc118357516 \h </w:instrText>
          </w:r>
          <w:r>
            <w:rPr>
              <w:rFonts w:ascii="Times New Roman" w:hAnsi="Times New Roman" w:eastAsia="宋体" w:cs="Times New Roman"/>
              <w:szCs w:val="21"/>
            </w:rPr>
            <w:fldChar w:fldCharType="separate"/>
          </w:r>
          <w:r>
            <w:rPr>
              <w:rFonts w:ascii="Times New Roman" w:hAnsi="Times New Roman" w:eastAsia="宋体" w:cs="Times New Roman"/>
              <w:szCs w:val="21"/>
            </w:rPr>
            <w:t>72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"_Toc118357517" </w:instrText>
          </w:r>
          <w:r>
            <w:fldChar w:fldCharType="separate"/>
          </w:r>
          <w:r>
            <w:rPr>
              <w:rFonts w:ascii="Times New Roman" w:hAnsi="Times New Roman" w:eastAsia="宋体" w:cs="Times New Roman"/>
              <w:sz w:val="18"/>
              <w:szCs w:val="18"/>
            </w:rPr>
            <w:t>8.2  隔墙与墙面</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_Toc118357517 \h </w:instrText>
          </w:r>
          <w:r>
            <w:rPr>
              <w:rFonts w:ascii="Times New Roman" w:hAnsi="Times New Roman" w:eastAsia="宋体" w:cs="Times New Roman"/>
              <w:szCs w:val="21"/>
            </w:rPr>
            <w:fldChar w:fldCharType="separate"/>
          </w:r>
          <w:r>
            <w:rPr>
              <w:rFonts w:ascii="Times New Roman" w:hAnsi="Times New Roman" w:eastAsia="宋体" w:cs="Times New Roman"/>
              <w:szCs w:val="21"/>
            </w:rPr>
            <w:t>72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"_Toc118357518" </w:instrText>
          </w:r>
          <w:r>
            <w:fldChar w:fldCharType="separate"/>
          </w:r>
          <w:r>
            <w:rPr>
              <w:rFonts w:ascii="Times New Roman" w:hAnsi="Times New Roman" w:eastAsia="宋体" w:cs="Times New Roman"/>
              <w:sz w:val="18"/>
              <w:szCs w:val="18"/>
            </w:rPr>
            <w:t>8.3  吊顶</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_Toc118357518 \h </w:instrText>
          </w:r>
          <w:r>
            <w:rPr>
              <w:rFonts w:ascii="Times New Roman" w:hAnsi="Times New Roman" w:eastAsia="宋体" w:cs="Times New Roman"/>
              <w:szCs w:val="21"/>
            </w:rPr>
            <w:fldChar w:fldCharType="separate"/>
          </w:r>
          <w:r>
            <w:rPr>
              <w:rFonts w:ascii="Times New Roman" w:hAnsi="Times New Roman" w:eastAsia="宋体" w:cs="Times New Roman"/>
              <w:szCs w:val="21"/>
            </w:rPr>
            <w:t>72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"_Toc118357519" </w:instrText>
          </w:r>
          <w:r>
            <w:fldChar w:fldCharType="separate"/>
          </w:r>
          <w:r>
            <w:rPr>
              <w:rFonts w:ascii="Times New Roman" w:hAnsi="Times New Roman" w:eastAsia="宋体" w:cs="Times New Roman"/>
              <w:sz w:val="18"/>
              <w:szCs w:val="18"/>
            </w:rPr>
            <w:t>8.4  楼地面</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_Toc118357519 \h </w:instrText>
          </w:r>
          <w:r>
            <w:rPr>
              <w:rFonts w:ascii="Times New Roman" w:hAnsi="Times New Roman" w:eastAsia="宋体" w:cs="Times New Roman"/>
              <w:szCs w:val="21"/>
            </w:rPr>
            <w:fldChar w:fldCharType="separate"/>
          </w:r>
          <w:r>
            <w:rPr>
              <w:rFonts w:ascii="Times New Roman" w:hAnsi="Times New Roman" w:eastAsia="宋体" w:cs="Times New Roman"/>
              <w:szCs w:val="21"/>
            </w:rPr>
            <w:t>72</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"_Toc118357520" </w:instrText>
          </w:r>
          <w:r>
            <w:fldChar w:fldCharType="separate"/>
          </w:r>
          <w:r>
            <w:rPr>
              <w:rFonts w:ascii="Times New Roman" w:hAnsi="Times New Roman" w:eastAsia="宋体" w:cs="Times New Roman"/>
              <w:sz w:val="18"/>
              <w:szCs w:val="18"/>
            </w:rPr>
            <w:t>8.5  集成厨房与卫生间</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_Toc118357520 \h </w:instrText>
          </w:r>
          <w:r>
            <w:rPr>
              <w:rFonts w:ascii="Times New Roman" w:hAnsi="Times New Roman" w:eastAsia="宋体" w:cs="Times New Roman"/>
              <w:szCs w:val="21"/>
            </w:rPr>
            <w:fldChar w:fldCharType="separate"/>
          </w:r>
          <w:r>
            <w:rPr>
              <w:rFonts w:ascii="Times New Roman" w:hAnsi="Times New Roman" w:eastAsia="宋体" w:cs="Times New Roman"/>
              <w:szCs w:val="21"/>
            </w:rPr>
            <w:t>73</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"_Toc118357521" </w:instrText>
          </w:r>
          <w:r>
            <w:fldChar w:fldCharType="separate"/>
          </w:r>
          <w:r>
            <w:rPr>
              <w:rFonts w:ascii="Times New Roman" w:hAnsi="Times New Roman" w:eastAsia="宋体" w:cs="Times New Roman"/>
            </w:rPr>
            <w:t>9  部品部（构）件生产、施工安装与质量验收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_Toc118357521 \h </w:instrText>
          </w:r>
          <w:r>
            <w:rPr>
              <w:rFonts w:ascii="Times New Roman" w:hAnsi="Times New Roman" w:eastAsia="宋体" w:cs="Times New Roman"/>
            </w:rPr>
            <w:fldChar w:fldCharType="separate"/>
          </w:r>
          <w:r>
            <w:rPr>
              <w:rFonts w:ascii="Times New Roman" w:hAnsi="Times New Roman" w:eastAsia="宋体" w:cs="Times New Roman"/>
            </w:rPr>
            <w:t>74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"_Toc118357522" </w:instrText>
          </w:r>
          <w:r>
            <w:fldChar w:fldCharType="separate"/>
          </w:r>
          <w:r>
            <w:rPr>
              <w:rFonts w:ascii="Times New Roman" w:hAnsi="Times New Roman" w:eastAsia="宋体" w:cs="Times New Roman"/>
              <w:sz w:val="18"/>
              <w:szCs w:val="18"/>
            </w:rPr>
            <w:t>9.1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_Toc118357522 \h </w:instrText>
          </w:r>
          <w:r>
            <w:rPr>
              <w:rFonts w:ascii="Times New Roman" w:hAnsi="Times New Roman" w:eastAsia="宋体" w:cs="Times New Roman"/>
              <w:szCs w:val="21"/>
            </w:rPr>
            <w:fldChar w:fldCharType="separate"/>
          </w:r>
          <w:r>
            <w:rPr>
              <w:rFonts w:ascii="Times New Roman" w:hAnsi="Times New Roman" w:eastAsia="宋体" w:cs="Times New Roman"/>
              <w:szCs w:val="21"/>
            </w:rPr>
            <w:t>74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"_Toc118357523" </w:instrText>
          </w:r>
          <w:r>
            <w:fldChar w:fldCharType="separate"/>
          </w:r>
          <w:r>
            <w:rPr>
              <w:rFonts w:ascii="Times New Roman" w:hAnsi="Times New Roman" w:eastAsia="宋体" w:cs="Times New Roman"/>
              <w:sz w:val="18"/>
              <w:szCs w:val="18"/>
            </w:rPr>
            <w:t>9.2  生产运输</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_Toc118357523 \h </w:instrText>
          </w:r>
          <w:r>
            <w:rPr>
              <w:rFonts w:ascii="Times New Roman" w:hAnsi="Times New Roman" w:eastAsia="宋体" w:cs="Times New Roman"/>
              <w:szCs w:val="21"/>
            </w:rPr>
            <w:fldChar w:fldCharType="separate"/>
          </w:r>
          <w:r>
            <w:rPr>
              <w:rFonts w:ascii="Times New Roman" w:hAnsi="Times New Roman" w:eastAsia="宋体" w:cs="Times New Roman"/>
              <w:szCs w:val="21"/>
            </w:rPr>
            <w:t>74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"_Toc118357524" </w:instrText>
          </w:r>
          <w:r>
            <w:fldChar w:fldCharType="separate"/>
          </w:r>
          <w:r>
            <w:rPr>
              <w:rFonts w:ascii="Times New Roman" w:hAnsi="Times New Roman" w:eastAsia="宋体" w:cs="Times New Roman"/>
              <w:sz w:val="18"/>
              <w:szCs w:val="18"/>
            </w:rPr>
            <w:t>9.3  施工安装</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_Toc118357524 \h </w:instrText>
          </w:r>
          <w:r>
            <w:rPr>
              <w:rFonts w:ascii="Times New Roman" w:hAnsi="Times New Roman" w:eastAsia="宋体" w:cs="Times New Roman"/>
              <w:szCs w:val="21"/>
            </w:rPr>
            <w:fldChar w:fldCharType="separate"/>
          </w:r>
          <w:r>
            <w:rPr>
              <w:rFonts w:ascii="Times New Roman" w:hAnsi="Times New Roman" w:eastAsia="宋体" w:cs="Times New Roman"/>
              <w:szCs w:val="21"/>
            </w:rPr>
            <w:t>74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"_Toc118357525" </w:instrText>
          </w:r>
          <w:r>
            <w:fldChar w:fldCharType="separate"/>
          </w:r>
          <w:r>
            <w:rPr>
              <w:rFonts w:ascii="Times New Roman" w:hAnsi="Times New Roman" w:eastAsia="宋体" w:cs="Times New Roman"/>
              <w:sz w:val="18"/>
              <w:szCs w:val="18"/>
            </w:rPr>
            <w:t>9.4  质量验收</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_Toc118357525 \h </w:instrText>
          </w:r>
          <w:r>
            <w:rPr>
              <w:rFonts w:ascii="Times New Roman" w:hAnsi="Times New Roman" w:eastAsia="宋体" w:cs="Times New Roman"/>
              <w:szCs w:val="21"/>
            </w:rPr>
            <w:fldChar w:fldCharType="separate"/>
          </w:r>
          <w:r>
            <w:rPr>
              <w:rFonts w:ascii="Times New Roman" w:hAnsi="Times New Roman" w:eastAsia="宋体" w:cs="Times New Roman"/>
              <w:szCs w:val="21"/>
            </w:rPr>
            <w:t>74</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"_Toc118357526" </w:instrText>
          </w:r>
          <w:r>
            <w:fldChar w:fldCharType="separate"/>
          </w:r>
          <w:r>
            <w:rPr>
              <w:rFonts w:ascii="Times New Roman" w:hAnsi="Times New Roman" w:eastAsia="宋体" w:cs="Times New Roman"/>
            </w:rPr>
            <w:t>10  智能建造与信息化应用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_Toc118357526 \h </w:instrText>
          </w:r>
          <w:r>
            <w:rPr>
              <w:rFonts w:ascii="Times New Roman" w:hAnsi="Times New Roman" w:eastAsia="宋体" w:cs="Times New Roman"/>
            </w:rPr>
            <w:fldChar w:fldCharType="separate"/>
          </w:r>
          <w:r>
            <w:rPr>
              <w:rFonts w:ascii="Times New Roman" w:hAnsi="Times New Roman" w:eastAsia="宋体" w:cs="Times New Roman"/>
            </w:rPr>
            <w:t>76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"_Toc118357527" </w:instrText>
          </w:r>
          <w:r>
            <w:fldChar w:fldCharType="separate"/>
          </w:r>
          <w:r>
            <w:rPr>
              <w:rFonts w:ascii="Times New Roman" w:hAnsi="Times New Roman" w:eastAsia="宋体" w:cs="Times New Roman"/>
              <w:sz w:val="18"/>
              <w:szCs w:val="18"/>
            </w:rPr>
            <w:t>10.1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_Toc118357527 \h </w:instrText>
          </w:r>
          <w:r>
            <w:rPr>
              <w:rFonts w:ascii="Times New Roman" w:hAnsi="Times New Roman" w:eastAsia="宋体" w:cs="Times New Roman"/>
              <w:szCs w:val="21"/>
            </w:rPr>
            <w:fldChar w:fldCharType="separate"/>
          </w:r>
          <w:r>
            <w:rPr>
              <w:rFonts w:ascii="Times New Roman" w:hAnsi="Times New Roman" w:eastAsia="宋体" w:cs="Times New Roman"/>
              <w:szCs w:val="21"/>
            </w:rPr>
            <w:t>76</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"_Toc118357528" </w:instrText>
          </w:r>
          <w:r>
            <w:fldChar w:fldCharType="separate"/>
          </w:r>
          <w:r>
            <w:rPr>
              <w:rFonts w:ascii="Times New Roman" w:hAnsi="Times New Roman" w:eastAsia="宋体" w:cs="Times New Roman"/>
              <w:sz w:val="18"/>
              <w:szCs w:val="18"/>
            </w:rPr>
            <w:t>10.2  数字化设计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_Toc118357528 \h </w:instrText>
          </w:r>
          <w:r>
            <w:rPr>
              <w:rFonts w:ascii="Times New Roman" w:hAnsi="Times New Roman" w:eastAsia="宋体" w:cs="Times New Roman"/>
              <w:szCs w:val="21"/>
            </w:rPr>
            <w:fldChar w:fldCharType="separate"/>
          </w:r>
          <w:r>
            <w:rPr>
              <w:rFonts w:ascii="Times New Roman" w:hAnsi="Times New Roman" w:eastAsia="宋体" w:cs="Times New Roman"/>
              <w:szCs w:val="21"/>
            </w:rPr>
            <w:t>76</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rPr>
          </w:pPr>
          <w:r>
            <w:fldChar w:fldCharType="begin"/>
          </w:r>
          <w:r>
            <w:instrText xml:space="preserve"> HYPERLINK \l "_Toc118357529" </w:instrText>
          </w:r>
          <w:r>
            <w:fldChar w:fldCharType="separate"/>
          </w:r>
          <w:r>
            <w:rPr>
              <w:rFonts w:ascii="Times New Roman" w:hAnsi="Times New Roman" w:eastAsia="宋体" w:cs="Times New Roman"/>
            </w:rPr>
            <w:t>11  使用与维护管理</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_Toc118357529 \h </w:instrText>
          </w:r>
          <w:r>
            <w:rPr>
              <w:rFonts w:ascii="Times New Roman" w:hAnsi="Times New Roman" w:eastAsia="宋体" w:cs="Times New Roman"/>
            </w:rPr>
            <w:fldChar w:fldCharType="separate"/>
          </w:r>
          <w:r>
            <w:rPr>
              <w:rFonts w:ascii="Times New Roman" w:hAnsi="Times New Roman" w:eastAsia="宋体" w:cs="Times New Roman"/>
            </w:rPr>
            <w:t>77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"_Toc118357530" </w:instrText>
          </w:r>
          <w:r>
            <w:fldChar w:fldCharType="separate"/>
          </w:r>
          <w:r>
            <w:rPr>
              <w:rFonts w:ascii="Times New Roman" w:hAnsi="Times New Roman" w:eastAsia="宋体" w:cs="Times New Roman"/>
              <w:sz w:val="18"/>
              <w:szCs w:val="18"/>
            </w:rPr>
            <w:t>11.1  一般规定</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_Toc118357530 \h </w:instrText>
          </w:r>
          <w:r>
            <w:rPr>
              <w:rFonts w:ascii="Times New Roman" w:hAnsi="Times New Roman" w:eastAsia="宋体" w:cs="Times New Roman"/>
              <w:szCs w:val="21"/>
            </w:rPr>
            <w:fldChar w:fldCharType="separate"/>
          </w:r>
          <w:r>
            <w:rPr>
              <w:rFonts w:ascii="Times New Roman" w:hAnsi="Times New Roman" w:eastAsia="宋体" w:cs="Times New Roman"/>
              <w:szCs w:val="21"/>
            </w:rPr>
            <w:t>77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Times New Roman" w:hAnsi="Times New Roman" w:eastAsia="宋体" w:cs="Times New Roman"/>
              <w:sz w:val="18"/>
              <w:szCs w:val="18"/>
            </w:rPr>
          </w:pPr>
          <w:r>
            <w:fldChar w:fldCharType="begin"/>
          </w:r>
          <w:r>
            <w:instrText xml:space="preserve"> HYPERLINK \l "_Toc118357531" </w:instrText>
          </w:r>
          <w:r>
            <w:fldChar w:fldCharType="separate"/>
          </w:r>
          <w:r>
            <w:rPr>
              <w:rFonts w:ascii="Times New Roman" w:hAnsi="Times New Roman" w:eastAsia="宋体" w:cs="Times New Roman"/>
              <w:sz w:val="18"/>
              <w:szCs w:val="18"/>
            </w:rPr>
            <w:t>11.2  使用、维护</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_Toc118357531 \h </w:instrText>
          </w:r>
          <w:r>
            <w:rPr>
              <w:rFonts w:ascii="Times New Roman" w:hAnsi="Times New Roman" w:eastAsia="宋体" w:cs="Times New Roman"/>
              <w:szCs w:val="21"/>
            </w:rPr>
            <w:fldChar w:fldCharType="separate"/>
          </w:r>
          <w:r>
            <w:rPr>
              <w:rFonts w:ascii="Times New Roman" w:hAnsi="Times New Roman" w:eastAsia="宋体" w:cs="Times New Roman"/>
              <w:szCs w:val="21"/>
            </w:rPr>
            <w:t>77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9"/>
            <w:ind w:left="0" w:leftChars="0" w:firstLine="239" w:firstLineChars="114"/>
            <w:rPr>
              <w:rFonts w:ascii="宋体" w:hAnsi="宋体" w:eastAsia="宋体" w:cs="Times New Roman"/>
              <w:sz w:val="18"/>
              <w:szCs w:val="18"/>
            </w:rPr>
          </w:pPr>
          <w:r>
            <w:fldChar w:fldCharType="begin"/>
          </w:r>
          <w:r>
            <w:instrText xml:space="preserve"> HYPERLINK \l "_Toc118357532" </w:instrText>
          </w:r>
          <w:r>
            <w:fldChar w:fldCharType="separate"/>
          </w:r>
          <w:r>
            <w:rPr>
              <w:rFonts w:ascii="Times New Roman" w:hAnsi="Times New Roman" w:eastAsia="宋体" w:cs="Times New Roman"/>
              <w:sz w:val="18"/>
              <w:szCs w:val="18"/>
            </w:rPr>
            <w:t>11.3  物业服务</w:t>
          </w:r>
          <w:r>
            <w:rPr>
              <w:rFonts w:ascii="Times New Roman" w:hAnsi="Times New Roman" w:eastAsia="宋体" w:cs="Times New Roman"/>
            </w:rPr>
            <w:ptab w:relativeTo="margin" w:alignment="right" w:leader="do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PAGEREF _Toc118357532 \h </w:instrText>
          </w:r>
          <w:r>
            <w:rPr>
              <w:rFonts w:ascii="Times New Roman" w:hAnsi="Times New Roman" w:eastAsia="宋体" w:cs="Times New Roman"/>
              <w:szCs w:val="21"/>
            </w:rPr>
            <w:fldChar w:fldCharType="separate"/>
          </w:r>
          <w:r>
            <w:rPr>
              <w:rFonts w:ascii="Times New Roman" w:hAnsi="Times New Roman" w:eastAsia="宋体" w:cs="Times New Roman"/>
              <w:szCs w:val="21"/>
            </w:rPr>
            <w:t>77</w:t>
          </w:r>
          <w:r>
            <w:rPr>
              <w:rFonts w:ascii="Times New Roman" w:hAnsi="Times New Roman" w:eastAsia="宋体" w:cs="Times New Roman"/>
              <w:szCs w:val="21"/>
            </w:rPr>
            <w:fldChar w:fldCharType="end"/>
          </w:r>
          <w:r>
            <w:rPr>
              <w:rFonts w:ascii="Times New Roman" w:hAnsi="Times New Roman" w:eastAsia="宋体" w:cs="Times New Roman"/>
              <w:szCs w:val="21"/>
            </w:rPr>
            <w:fldChar w:fldCharType="end"/>
          </w:r>
        </w:p>
        <w:p>
          <w:pPr>
            <w:pStyle w:val="14"/>
            <w:ind w:firstLine="0"/>
            <w:rPr>
              <w:rFonts w:ascii="Times New Roman" w:hAnsi="Times New Roman" w:eastAsia="宋体" w:cs="Times New Roman"/>
              <w:b/>
              <w:bCs/>
              <w:lang w:val="zh-CN"/>
            </w:rPr>
          </w:pPr>
          <w:r>
            <w:rPr>
              <w:rFonts w:ascii="宋体" w:hAnsi="宋体" w:eastAsia="宋体" w:cs="Times New Roman"/>
            </w:rPr>
            <w:fldChar w:fldCharType="end"/>
          </w:r>
        </w:p>
      </w:sdtContent>
    </w:sdt>
    <w:p>
      <w:pPr>
        <w:widowControl/>
        <w:spacing w:line="240" w:lineRule="auto"/>
        <w:jc w:val="left"/>
        <w:rPr>
          <w:sz w:val="28"/>
          <w:szCs w:val="21"/>
        </w:rPr>
      </w:pPr>
      <w:r>
        <w:rPr>
          <w:sz w:val="28"/>
          <w:szCs w:val="21"/>
        </w:rPr>
        <w:br w:type="page"/>
      </w:r>
    </w:p>
    <w:p>
      <w:pPr>
        <w:pStyle w:val="17"/>
        <w:widowControl/>
        <w:spacing w:before="360" w:after="360"/>
        <w:jc w:val="center"/>
        <w:rPr>
          <w:rFonts w:eastAsia="仿宋"/>
          <w:b/>
          <w:bCs/>
          <w:sz w:val="28"/>
          <w:szCs w:val="28"/>
        </w:rPr>
      </w:pPr>
      <w:r>
        <w:rPr>
          <w:rFonts w:eastAsia="仿宋"/>
          <w:b/>
          <w:bCs/>
          <w:sz w:val="28"/>
          <w:szCs w:val="28"/>
        </w:rPr>
        <w:t>Contents</w:t>
      </w:r>
    </w:p>
    <w:p>
      <w:pPr>
        <w:spacing w:line="240" w:lineRule="auto"/>
      </w:pPr>
      <w:r>
        <w:t xml:space="preserve">1  General Provisions </w:t>
      </w:r>
      <w:r>
        <w:ptab w:relativeTo="margin" w:alignment="right" w:leader="dot"/>
      </w:r>
      <w:r>
        <w:t>48</w:t>
      </w:r>
    </w:p>
    <w:p>
      <w:pPr>
        <w:spacing w:line="240" w:lineRule="auto"/>
      </w:pPr>
      <w:r>
        <w:t>2  Terms</w:t>
      </w:r>
      <w:r>
        <w:ptab w:relativeTo="margin" w:alignment="right" w:leader="dot"/>
      </w:r>
      <w:r>
        <w:t>49</w:t>
      </w:r>
    </w:p>
    <w:p>
      <w:pPr>
        <w:spacing w:line="240" w:lineRule="auto"/>
      </w:pPr>
      <w:r>
        <w:t>3  Basic Provisions</w:t>
      </w:r>
      <w:r>
        <w:ptab w:relativeTo="margin" w:alignment="right" w:leader="dot"/>
      </w:r>
      <w:r>
        <w:t>50</w:t>
      </w:r>
    </w:p>
    <w:p>
      <w:pPr>
        <w:spacing w:line="240" w:lineRule="auto"/>
      </w:pPr>
      <w:r>
        <w:t>4  Architectural Design</w:t>
      </w:r>
      <w:r>
        <w:ptab w:relativeTo="margin" w:alignment="right" w:leader="dot"/>
      </w:r>
      <w:r>
        <w:t>51</w:t>
      </w:r>
    </w:p>
    <w:p>
      <w:pPr>
        <w:spacing w:line="240" w:lineRule="auto"/>
        <w:ind w:firstLine="205" w:firstLineChars="114"/>
        <w:rPr>
          <w:sz w:val="18"/>
          <w:szCs w:val="18"/>
        </w:rPr>
      </w:pPr>
      <w:r>
        <w:rPr>
          <w:sz w:val="18"/>
          <w:szCs w:val="18"/>
        </w:rPr>
        <w:t>4.1  General Provisions</w:t>
      </w:r>
      <w:r>
        <w:ptab w:relativeTo="margin" w:alignment="right" w:leader="dot"/>
      </w:r>
      <w:r>
        <w:rPr>
          <w:sz w:val="21"/>
          <w:szCs w:val="21"/>
        </w:rPr>
        <w:t>5</w:t>
      </w:r>
      <w:r>
        <w:rPr>
          <w:szCs w:val="21"/>
        </w:rPr>
        <w:t>1</w:t>
      </w:r>
    </w:p>
    <w:p>
      <w:pPr>
        <w:spacing w:line="240" w:lineRule="auto"/>
        <w:ind w:firstLine="205" w:firstLineChars="114"/>
        <w:rPr>
          <w:sz w:val="18"/>
          <w:szCs w:val="18"/>
        </w:rPr>
      </w:pPr>
      <w:r>
        <w:rPr>
          <w:sz w:val="18"/>
          <w:szCs w:val="18"/>
        </w:rPr>
        <w:t>4.2  Modulus, Positioning and Tolerance Coordination</w:t>
      </w:r>
      <w:r>
        <w:ptab w:relativeTo="margin" w:alignment="right" w:leader="dot"/>
      </w:r>
      <w:r>
        <w:rPr>
          <w:sz w:val="21"/>
          <w:szCs w:val="21"/>
        </w:rPr>
        <w:t>5</w:t>
      </w:r>
      <w:r>
        <w:rPr>
          <w:szCs w:val="21"/>
        </w:rPr>
        <w:t>1</w:t>
      </w:r>
    </w:p>
    <w:p>
      <w:pPr>
        <w:spacing w:line="240" w:lineRule="auto"/>
        <w:ind w:firstLine="205" w:firstLineChars="114"/>
        <w:rPr>
          <w:sz w:val="18"/>
          <w:szCs w:val="18"/>
        </w:rPr>
      </w:pPr>
      <w:r>
        <w:rPr>
          <w:sz w:val="18"/>
          <w:szCs w:val="18"/>
        </w:rPr>
        <w:t>4.3  Standardized Design</w:t>
      </w:r>
      <w:r>
        <w:ptab w:relativeTo="margin" w:alignment="right" w:leader="dot"/>
      </w:r>
      <w:r>
        <w:rPr>
          <w:sz w:val="21"/>
          <w:szCs w:val="21"/>
        </w:rPr>
        <w:t>5</w:t>
      </w:r>
      <w:r>
        <w:rPr>
          <w:szCs w:val="21"/>
        </w:rPr>
        <w:t>1</w:t>
      </w:r>
    </w:p>
    <w:p>
      <w:pPr>
        <w:spacing w:line="240" w:lineRule="auto"/>
        <w:ind w:firstLine="205" w:firstLineChars="114"/>
        <w:rPr>
          <w:sz w:val="18"/>
          <w:szCs w:val="18"/>
        </w:rPr>
      </w:pPr>
      <w:r>
        <w:rPr>
          <w:sz w:val="18"/>
          <w:szCs w:val="18"/>
        </w:rPr>
        <w:t>4.4  Collaborative Design</w:t>
      </w:r>
      <w:r>
        <w:ptab w:relativeTo="margin" w:alignment="right" w:leader="dot"/>
      </w:r>
      <w:r>
        <w:rPr>
          <w:sz w:val="21"/>
          <w:szCs w:val="21"/>
        </w:rPr>
        <w:t>5</w:t>
      </w:r>
      <w:r>
        <w:rPr>
          <w:szCs w:val="21"/>
        </w:rPr>
        <w:t>2</w:t>
      </w:r>
    </w:p>
    <w:p>
      <w:pPr>
        <w:spacing w:line="240" w:lineRule="auto"/>
        <w:ind w:firstLine="205" w:firstLineChars="114"/>
        <w:rPr>
          <w:sz w:val="18"/>
          <w:szCs w:val="18"/>
        </w:rPr>
      </w:pPr>
      <w:r>
        <w:rPr>
          <w:sz w:val="18"/>
          <w:szCs w:val="18"/>
        </w:rPr>
        <w:t>4.5  Integrated Design</w:t>
      </w:r>
      <w:r>
        <w:ptab w:relativeTo="margin" w:alignment="right" w:leader="dot"/>
      </w:r>
      <w:r>
        <w:rPr>
          <w:sz w:val="21"/>
          <w:szCs w:val="21"/>
        </w:rPr>
        <w:t>5</w:t>
      </w:r>
      <w:r>
        <w:rPr>
          <w:szCs w:val="21"/>
        </w:rPr>
        <w:t>2</w:t>
      </w:r>
    </w:p>
    <w:p>
      <w:pPr>
        <w:spacing w:line="240" w:lineRule="auto"/>
        <w:ind w:firstLine="205" w:firstLineChars="114"/>
        <w:rPr>
          <w:sz w:val="18"/>
          <w:szCs w:val="18"/>
        </w:rPr>
      </w:pPr>
      <w:r>
        <w:rPr>
          <w:sz w:val="18"/>
          <w:szCs w:val="18"/>
        </w:rPr>
        <w:t>4.6  Sustainable Design</w:t>
      </w:r>
      <w:r>
        <w:ptab w:relativeTo="margin" w:alignment="right" w:leader="dot"/>
      </w:r>
      <w:r>
        <w:rPr>
          <w:sz w:val="21"/>
          <w:szCs w:val="21"/>
        </w:rPr>
        <w:t>5</w:t>
      </w:r>
      <w:r>
        <w:rPr>
          <w:szCs w:val="21"/>
        </w:rPr>
        <w:t>2</w:t>
      </w:r>
    </w:p>
    <w:p>
      <w:pPr>
        <w:spacing w:line="240" w:lineRule="auto"/>
        <w:ind w:firstLine="205" w:firstLineChars="114"/>
        <w:rPr>
          <w:sz w:val="18"/>
          <w:szCs w:val="18"/>
        </w:rPr>
      </w:pPr>
      <w:r>
        <w:rPr>
          <w:sz w:val="18"/>
          <w:szCs w:val="18"/>
        </w:rPr>
        <w:t>4.7  Plane, Elevation and Space</w:t>
      </w:r>
      <w:r>
        <w:ptab w:relativeTo="margin" w:alignment="right" w:leader="dot"/>
      </w:r>
      <w:r>
        <w:rPr>
          <w:sz w:val="21"/>
          <w:szCs w:val="21"/>
        </w:rPr>
        <w:t>5</w:t>
      </w:r>
      <w:r>
        <w:rPr>
          <w:szCs w:val="21"/>
        </w:rPr>
        <w:t>3</w:t>
      </w:r>
    </w:p>
    <w:p>
      <w:pPr>
        <w:spacing w:line="240" w:lineRule="auto"/>
      </w:pPr>
      <w:r>
        <w:t>5  Structural System Design</w:t>
      </w:r>
      <w:r>
        <w:ptab w:relativeTo="margin" w:alignment="right" w:leader="dot"/>
      </w:r>
      <w:r>
        <w:t>54</w:t>
      </w:r>
    </w:p>
    <w:p>
      <w:pPr>
        <w:spacing w:line="240" w:lineRule="auto"/>
        <w:ind w:firstLine="205" w:firstLineChars="114"/>
        <w:rPr>
          <w:sz w:val="18"/>
          <w:szCs w:val="18"/>
        </w:rPr>
      </w:pPr>
      <w:r>
        <w:rPr>
          <w:sz w:val="18"/>
          <w:szCs w:val="18"/>
        </w:rPr>
        <w:t>5.2  Design Requirements</w:t>
      </w:r>
      <w:r>
        <w:ptab w:relativeTo="margin" w:alignment="right" w:leader="dot"/>
      </w:r>
      <w:r>
        <w:rPr>
          <w:sz w:val="21"/>
          <w:szCs w:val="21"/>
        </w:rPr>
        <w:t>5</w:t>
      </w:r>
      <w:r>
        <w:rPr>
          <w:szCs w:val="21"/>
        </w:rPr>
        <w:t>4</w:t>
      </w:r>
    </w:p>
    <w:p>
      <w:pPr>
        <w:spacing w:line="240" w:lineRule="auto"/>
        <w:ind w:firstLine="205" w:firstLineChars="114"/>
        <w:rPr>
          <w:sz w:val="18"/>
          <w:szCs w:val="18"/>
        </w:rPr>
      </w:pPr>
      <w:r>
        <w:rPr>
          <w:sz w:val="18"/>
          <w:szCs w:val="18"/>
        </w:rPr>
        <w:t>5.3  Structural System</w:t>
      </w:r>
      <w:r>
        <w:ptab w:relativeTo="margin" w:alignment="right" w:leader="dot"/>
      </w:r>
      <w:r>
        <w:rPr>
          <w:sz w:val="21"/>
          <w:szCs w:val="21"/>
        </w:rPr>
        <w:t>5</w:t>
      </w:r>
      <w:r>
        <w:rPr>
          <w:szCs w:val="21"/>
        </w:rPr>
        <w:t>5</w:t>
      </w:r>
    </w:p>
    <w:p>
      <w:pPr>
        <w:spacing w:line="240" w:lineRule="auto"/>
        <w:ind w:firstLine="205" w:firstLineChars="114"/>
        <w:rPr>
          <w:sz w:val="18"/>
          <w:szCs w:val="18"/>
        </w:rPr>
      </w:pPr>
      <w:r>
        <w:rPr>
          <w:sz w:val="18"/>
          <w:szCs w:val="18"/>
        </w:rPr>
        <w:t>5.4  Structural Layout</w:t>
      </w:r>
      <w:r>
        <w:ptab w:relativeTo="margin" w:alignment="right" w:leader="dot"/>
      </w:r>
      <w:r>
        <w:rPr>
          <w:sz w:val="21"/>
          <w:szCs w:val="21"/>
        </w:rPr>
        <w:t>5</w:t>
      </w:r>
      <w:r>
        <w:rPr>
          <w:szCs w:val="21"/>
        </w:rPr>
        <w:t>5</w:t>
      </w:r>
    </w:p>
    <w:p>
      <w:pPr>
        <w:spacing w:line="240" w:lineRule="auto"/>
        <w:ind w:firstLine="205" w:firstLineChars="114"/>
        <w:rPr>
          <w:sz w:val="18"/>
          <w:szCs w:val="18"/>
        </w:rPr>
      </w:pPr>
      <w:r>
        <w:rPr>
          <w:sz w:val="18"/>
          <w:szCs w:val="18"/>
        </w:rPr>
        <w:t>5.5  Structural Analysis</w:t>
      </w:r>
      <w:r>
        <w:ptab w:relativeTo="margin" w:alignment="right" w:leader="dot"/>
      </w:r>
      <w:r>
        <w:rPr>
          <w:sz w:val="21"/>
          <w:szCs w:val="21"/>
        </w:rPr>
        <w:t>5</w:t>
      </w:r>
      <w:r>
        <w:rPr>
          <w:szCs w:val="21"/>
        </w:rPr>
        <w:t>6</w:t>
      </w:r>
    </w:p>
    <w:p>
      <w:pPr>
        <w:spacing w:line="240" w:lineRule="auto"/>
        <w:ind w:firstLine="205" w:firstLineChars="114"/>
        <w:rPr>
          <w:sz w:val="18"/>
          <w:szCs w:val="18"/>
        </w:rPr>
      </w:pPr>
      <w:r>
        <w:rPr>
          <w:sz w:val="18"/>
          <w:szCs w:val="18"/>
        </w:rPr>
        <w:t>5.6  Component Design</w:t>
      </w:r>
      <w:r>
        <w:ptab w:relativeTo="margin" w:alignment="right" w:leader="dot"/>
      </w:r>
      <w:r>
        <w:rPr>
          <w:sz w:val="21"/>
          <w:szCs w:val="21"/>
        </w:rPr>
        <w:t>5</w:t>
      </w:r>
      <w:r>
        <w:rPr>
          <w:szCs w:val="21"/>
        </w:rPr>
        <w:t>7</w:t>
      </w:r>
    </w:p>
    <w:p>
      <w:pPr>
        <w:spacing w:line="240" w:lineRule="auto"/>
        <w:ind w:firstLine="205" w:firstLineChars="114"/>
        <w:rPr>
          <w:sz w:val="18"/>
          <w:szCs w:val="18"/>
        </w:rPr>
      </w:pPr>
      <w:r>
        <w:rPr>
          <w:sz w:val="18"/>
          <w:szCs w:val="18"/>
        </w:rPr>
        <w:t>5.7  Node and Connection Design</w:t>
      </w:r>
      <w:r>
        <w:ptab w:relativeTo="margin" w:alignment="right" w:leader="dot"/>
      </w:r>
      <w:r>
        <w:rPr>
          <w:szCs w:val="21"/>
        </w:rPr>
        <w:t>58</w:t>
      </w:r>
    </w:p>
    <w:p>
      <w:pPr>
        <w:spacing w:line="240" w:lineRule="auto"/>
        <w:ind w:firstLine="205" w:firstLineChars="114"/>
        <w:rPr>
          <w:sz w:val="18"/>
          <w:szCs w:val="18"/>
        </w:rPr>
      </w:pPr>
      <w:r>
        <w:rPr>
          <w:sz w:val="18"/>
          <w:szCs w:val="18"/>
        </w:rPr>
        <w:t>5.8  Floor and Roof Structure</w:t>
      </w:r>
      <w:r>
        <w:ptab w:relativeTo="margin" w:alignment="right" w:leader="dot"/>
      </w:r>
      <w:r>
        <w:rPr>
          <w:szCs w:val="21"/>
        </w:rPr>
        <w:t>59</w:t>
      </w:r>
    </w:p>
    <w:p>
      <w:pPr>
        <w:spacing w:line="240" w:lineRule="auto"/>
        <w:ind w:firstLine="205" w:firstLineChars="114"/>
        <w:rPr>
          <w:sz w:val="18"/>
          <w:szCs w:val="18"/>
        </w:rPr>
      </w:pPr>
      <w:r>
        <w:rPr>
          <w:sz w:val="18"/>
          <w:szCs w:val="18"/>
        </w:rPr>
        <w:t>5.10  Structural Protection</w:t>
      </w:r>
      <w:r>
        <w:ptab w:relativeTo="margin" w:alignment="right" w:leader="dot"/>
      </w:r>
      <w:r>
        <w:rPr>
          <w:sz w:val="21"/>
          <w:szCs w:val="21"/>
        </w:rPr>
        <w:t>6</w:t>
      </w:r>
      <w:r>
        <w:rPr>
          <w:szCs w:val="21"/>
        </w:rPr>
        <w:t>1</w:t>
      </w:r>
    </w:p>
    <w:p>
      <w:pPr>
        <w:spacing w:line="240" w:lineRule="auto"/>
      </w:pPr>
      <w:r>
        <w:t>6  Design of Outer Enclosure System</w:t>
      </w:r>
      <w:r>
        <w:ptab w:relativeTo="margin" w:alignment="right" w:leader="dot"/>
      </w:r>
      <w:r>
        <w:t>63</w:t>
      </w:r>
    </w:p>
    <w:p>
      <w:pPr>
        <w:spacing w:line="240" w:lineRule="auto"/>
        <w:ind w:firstLine="205" w:firstLineChars="114"/>
        <w:rPr>
          <w:sz w:val="18"/>
          <w:szCs w:val="18"/>
        </w:rPr>
      </w:pPr>
      <w:r>
        <w:rPr>
          <w:sz w:val="18"/>
          <w:szCs w:val="18"/>
        </w:rPr>
        <w:t>6.1  General Provisions</w:t>
      </w:r>
      <w:r>
        <w:ptab w:relativeTo="margin" w:alignment="right" w:leader="dot"/>
      </w:r>
      <w:r>
        <w:rPr>
          <w:sz w:val="21"/>
          <w:szCs w:val="21"/>
        </w:rPr>
        <w:t>6</w:t>
      </w:r>
      <w:r>
        <w:rPr>
          <w:szCs w:val="21"/>
        </w:rPr>
        <w:t>3</w:t>
      </w:r>
    </w:p>
    <w:p>
      <w:pPr>
        <w:spacing w:line="240" w:lineRule="auto"/>
        <w:ind w:firstLine="205" w:firstLineChars="114"/>
        <w:rPr>
          <w:sz w:val="18"/>
          <w:szCs w:val="18"/>
        </w:rPr>
      </w:pPr>
      <w:r>
        <w:rPr>
          <w:sz w:val="18"/>
          <w:szCs w:val="18"/>
        </w:rPr>
        <w:t>6.2  Materials and Components</w:t>
      </w:r>
      <w:r>
        <w:ptab w:relativeTo="margin" w:alignment="right" w:leader="dot"/>
      </w:r>
      <w:r>
        <w:rPr>
          <w:sz w:val="21"/>
          <w:szCs w:val="21"/>
        </w:rPr>
        <w:t>6</w:t>
      </w:r>
      <w:r>
        <w:rPr>
          <w:szCs w:val="21"/>
        </w:rPr>
        <w:t>4</w:t>
      </w:r>
    </w:p>
    <w:p>
      <w:pPr>
        <w:spacing w:line="240" w:lineRule="auto"/>
        <w:ind w:firstLine="205" w:firstLineChars="114"/>
        <w:rPr>
          <w:sz w:val="18"/>
          <w:szCs w:val="18"/>
        </w:rPr>
      </w:pPr>
      <w:r>
        <w:rPr>
          <w:sz w:val="18"/>
          <w:szCs w:val="18"/>
        </w:rPr>
        <w:t>6.3  Exterior Aall Enclosure System</w:t>
      </w:r>
      <w:r>
        <w:ptab w:relativeTo="margin" w:alignment="right" w:leader="dot"/>
      </w:r>
      <w:r>
        <w:rPr>
          <w:sz w:val="21"/>
          <w:szCs w:val="21"/>
        </w:rPr>
        <w:t>6</w:t>
      </w:r>
      <w:r>
        <w:rPr>
          <w:szCs w:val="21"/>
        </w:rPr>
        <w:t>5</w:t>
      </w:r>
    </w:p>
    <w:p>
      <w:pPr>
        <w:spacing w:line="240" w:lineRule="auto"/>
        <w:ind w:firstLine="205" w:firstLineChars="114"/>
        <w:rPr>
          <w:sz w:val="18"/>
          <w:szCs w:val="18"/>
        </w:rPr>
      </w:pPr>
      <w:r>
        <w:rPr>
          <w:sz w:val="18"/>
          <w:szCs w:val="18"/>
        </w:rPr>
        <w:t>6.4  Roof Enclosure System</w:t>
      </w:r>
      <w:r>
        <w:ptab w:relativeTo="margin" w:alignment="right" w:leader="dot"/>
      </w:r>
      <w:r>
        <w:rPr>
          <w:szCs w:val="21"/>
        </w:rPr>
        <w:t>59</w:t>
      </w:r>
    </w:p>
    <w:p>
      <w:pPr>
        <w:spacing w:line="240" w:lineRule="auto"/>
      </w:pPr>
      <w:r>
        <w:t>7  Equipment and Pipeline System Design</w:t>
      </w:r>
      <w:r>
        <w:ptab w:relativeTo="margin" w:alignment="right" w:leader="dot"/>
      </w:r>
      <w:r>
        <w:rPr>
          <w:szCs w:val="21"/>
        </w:rPr>
        <w:t>70</w:t>
      </w:r>
    </w:p>
    <w:p>
      <w:pPr>
        <w:spacing w:line="240" w:lineRule="auto"/>
        <w:ind w:firstLine="205" w:firstLineChars="114"/>
        <w:rPr>
          <w:sz w:val="18"/>
          <w:szCs w:val="18"/>
        </w:rPr>
      </w:pPr>
      <w:r>
        <w:rPr>
          <w:sz w:val="18"/>
          <w:szCs w:val="18"/>
        </w:rPr>
        <w:t>7.1  General Provisions</w:t>
      </w:r>
      <w:r>
        <w:ptab w:relativeTo="margin" w:alignment="right" w:leader="dot"/>
      </w:r>
      <w:r>
        <w:rPr>
          <w:sz w:val="21"/>
          <w:szCs w:val="21"/>
        </w:rPr>
        <w:t>7</w:t>
      </w:r>
      <w:r>
        <w:rPr>
          <w:szCs w:val="21"/>
        </w:rPr>
        <w:t>0</w:t>
      </w:r>
    </w:p>
    <w:p>
      <w:pPr>
        <w:spacing w:line="240" w:lineRule="auto"/>
        <w:ind w:firstLine="205" w:firstLineChars="114"/>
        <w:rPr>
          <w:sz w:val="18"/>
          <w:szCs w:val="18"/>
        </w:rPr>
      </w:pPr>
      <w:r>
        <w:rPr>
          <w:sz w:val="18"/>
          <w:szCs w:val="18"/>
        </w:rPr>
        <w:t>7.2  Water Supply and Drainage</w:t>
      </w:r>
      <w:r>
        <w:ptab w:relativeTo="margin" w:alignment="right" w:leader="dot"/>
      </w:r>
      <w:r>
        <w:rPr>
          <w:sz w:val="21"/>
          <w:szCs w:val="21"/>
        </w:rPr>
        <w:t>7</w:t>
      </w:r>
      <w:r>
        <w:rPr>
          <w:szCs w:val="21"/>
        </w:rPr>
        <w:t>0</w:t>
      </w:r>
    </w:p>
    <w:p>
      <w:pPr>
        <w:spacing w:line="240" w:lineRule="auto"/>
        <w:ind w:firstLine="205" w:firstLineChars="114"/>
        <w:rPr>
          <w:sz w:val="18"/>
          <w:szCs w:val="18"/>
        </w:rPr>
      </w:pPr>
      <w:r>
        <w:rPr>
          <w:sz w:val="18"/>
          <w:szCs w:val="18"/>
        </w:rPr>
        <w:t>7.3  Heating, Ventilation, Air Conditioning and Gas</w:t>
      </w:r>
      <w:r>
        <w:ptab w:relativeTo="margin" w:alignment="right" w:leader="dot"/>
      </w:r>
      <w:r>
        <w:rPr>
          <w:sz w:val="21"/>
          <w:szCs w:val="21"/>
        </w:rPr>
        <w:t>7</w:t>
      </w:r>
      <w:r>
        <w:rPr>
          <w:szCs w:val="21"/>
        </w:rPr>
        <w:t>0</w:t>
      </w:r>
    </w:p>
    <w:p>
      <w:pPr>
        <w:spacing w:line="240" w:lineRule="auto"/>
        <w:ind w:firstLine="205" w:firstLineChars="114"/>
        <w:rPr>
          <w:sz w:val="18"/>
          <w:szCs w:val="18"/>
        </w:rPr>
      </w:pPr>
      <w:r>
        <w:rPr>
          <w:sz w:val="18"/>
          <w:szCs w:val="18"/>
        </w:rPr>
        <w:t>7.4  Electrics and Intelligence</w:t>
      </w:r>
      <w:r>
        <w:ptab w:relativeTo="margin" w:alignment="right" w:leader="dot"/>
      </w:r>
      <w:r>
        <w:rPr>
          <w:sz w:val="21"/>
          <w:szCs w:val="21"/>
        </w:rPr>
        <w:t>7</w:t>
      </w:r>
      <w:r>
        <w:rPr>
          <w:szCs w:val="21"/>
        </w:rPr>
        <w:t>1</w:t>
      </w:r>
    </w:p>
    <w:p>
      <w:pPr>
        <w:spacing w:line="240" w:lineRule="auto"/>
      </w:pPr>
      <w:r>
        <w:t>8  Design of Built-in System</w:t>
      </w:r>
      <w:r>
        <w:ptab w:relativeTo="margin" w:alignment="right" w:leader="dot"/>
      </w:r>
      <w:r>
        <w:t>72</w:t>
      </w:r>
    </w:p>
    <w:p>
      <w:pPr>
        <w:spacing w:line="240" w:lineRule="auto"/>
        <w:ind w:firstLine="205" w:firstLineChars="114"/>
        <w:rPr>
          <w:sz w:val="18"/>
          <w:szCs w:val="18"/>
        </w:rPr>
      </w:pPr>
      <w:r>
        <w:rPr>
          <w:sz w:val="18"/>
          <w:szCs w:val="18"/>
        </w:rPr>
        <w:t>8.1  General Provisions</w:t>
      </w:r>
      <w:r>
        <w:ptab w:relativeTo="margin" w:alignment="right" w:leader="dot"/>
      </w:r>
      <w:r>
        <w:rPr>
          <w:sz w:val="21"/>
          <w:szCs w:val="21"/>
        </w:rPr>
        <w:t>7</w:t>
      </w:r>
      <w:r>
        <w:rPr>
          <w:szCs w:val="21"/>
        </w:rPr>
        <w:t>2</w:t>
      </w:r>
    </w:p>
    <w:p>
      <w:pPr>
        <w:spacing w:line="240" w:lineRule="auto"/>
        <w:ind w:firstLine="205" w:firstLineChars="114"/>
        <w:rPr>
          <w:sz w:val="18"/>
          <w:szCs w:val="18"/>
        </w:rPr>
      </w:pPr>
      <w:r>
        <w:rPr>
          <w:sz w:val="18"/>
          <w:szCs w:val="18"/>
        </w:rPr>
        <w:t>8.2  Partition Wall and Wall</w:t>
      </w:r>
      <w:r>
        <w:ptab w:relativeTo="margin" w:alignment="right" w:leader="dot"/>
      </w:r>
      <w:r>
        <w:rPr>
          <w:sz w:val="21"/>
          <w:szCs w:val="21"/>
        </w:rPr>
        <w:t>7</w:t>
      </w:r>
      <w:r>
        <w:rPr>
          <w:szCs w:val="21"/>
        </w:rPr>
        <w:t>2</w:t>
      </w:r>
    </w:p>
    <w:p>
      <w:pPr>
        <w:spacing w:line="240" w:lineRule="auto"/>
        <w:ind w:firstLine="205" w:firstLineChars="114"/>
        <w:rPr>
          <w:sz w:val="18"/>
          <w:szCs w:val="18"/>
        </w:rPr>
      </w:pPr>
      <w:r>
        <w:rPr>
          <w:sz w:val="18"/>
          <w:szCs w:val="18"/>
        </w:rPr>
        <w:t>8.3  Ceiling</w:t>
      </w:r>
      <w:r>
        <w:ptab w:relativeTo="margin" w:alignment="right" w:leader="dot"/>
      </w:r>
      <w:r>
        <w:rPr>
          <w:sz w:val="21"/>
          <w:szCs w:val="21"/>
        </w:rPr>
        <w:t>7</w:t>
      </w:r>
      <w:r>
        <w:rPr>
          <w:szCs w:val="21"/>
        </w:rPr>
        <w:t>2</w:t>
      </w:r>
    </w:p>
    <w:p>
      <w:pPr>
        <w:spacing w:line="240" w:lineRule="auto"/>
        <w:ind w:firstLine="205" w:firstLineChars="114"/>
        <w:rPr>
          <w:sz w:val="18"/>
          <w:szCs w:val="18"/>
        </w:rPr>
      </w:pPr>
      <w:r>
        <w:rPr>
          <w:sz w:val="18"/>
          <w:szCs w:val="18"/>
        </w:rPr>
        <w:t>8.4  Floors</w:t>
      </w:r>
      <w:r>
        <w:ptab w:relativeTo="margin" w:alignment="right" w:leader="dot"/>
      </w:r>
      <w:r>
        <w:rPr>
          <w:sz w:val="21"/>
          <w:szCs w:val="21"/>
        </w:rPr>
        <w:t>7</w:t>
      </w:r>
      <w:r>
        <w:rPr>
          <w:szCs w:val="21"/>
        </w:rPr>
        <w:t>2</w:t>
      </w:r>
    </w:p>
    <w:p>
      <w:pPr>
        <w:spacing w:line="240" w:lineRule="auto"/>
        <w:ind w:firstLine="205" w:firstLineChars="114"/>
        <w:rPr>
          <w:sz w:val="18"/>
          <w:szCs w:val="18"/>
        </w:rPr>
      </w:pPr>
      <w:r>
        <w:rPr>
          <w:sz w:val="18"/>
          <w:szCs w:val="18"/>
        </w:rPr>
        <w:t>8.5  Integrated Kitchen and Washroom</w:t>
      </w:r>
      <w:r>
        <w:ptab w:relativeTo="margin" w:alignment="right" w:leader="dot"/>
      </w:r>
      <w:r>
        <w:rPr>
          <w:sz w:val="21"/>
          <w:szCs w:val="21"/>
        </w:rPr>
        <w:t>7</w:t>
      </w:r>
      <w:r>
        <w:rPr>
          <w:szCs w:val="21"/>
        </w:rPr>
        <w:t>3</w:t>
      </w:r>
    </w:p>
    <w:p>
      <w:pPr>
        <w:spacing w:line="240" w:lineRule="auto"/>
      </w:pPr>
      <w:r>
        <w:t>9  Production, Construction, Installation and Quality Acceptance of Components</w:t>
      </w:r>
      <w:r>
        <w:ptab w:relativeTo="margin" w:alignment="right" w:leader="dot"/>
      </w:r>
      <w:r>
        <w:t>74</w:t>
      </w:r>
    </w:p>
    <w:p>
      <w:pPr>
        <w:spacing w:line="240" w:lineRule="auto"/>
        <w:ind w:firstLine="205" w:firstLineChars="114"/>
        <w:rPr>
          <w:sz w:val="18"/>
          <w:szCs w:val="18"/>
        </w:rPr>
      </w:pPr>
      <w:r>
        <w:rPr>
          <w:sz w:val="18"/>
          <w:szCs w:val="18"/>
        </w:rPr>
        <w:t>9.1  General Provisions</w:t>
      </w:r>
      <w:r>
        <w:ptab w:relativeTo="margin" w:alignment="right" w:leader="dot"/>
      </w:r>
      <w:r>
        <w:rPr>
          <w:sz w:val="21"/>
          <w:szCs w:val="21"/>
        </w:rPr>
        <w:t>7</w:t>
      </w:r>
      <w:r>
        <w:rPr>
          <w:szCs w:val="21"/>
        </w:rPr>
        <w:t>4</w:t>
      </w:r>
    </w:p>
    <w:p>
      <w:pPr>
        <w:spacing w:line="240" w:lineRule="auto"/>
        <w:ind w:firstLine="205" w:firstLineChars="114"/>
        <w:rPr>
          <w:sz w:val="18"/>
          <w:szCs w:val="18"/>
        </w:rPr>
      </w:pPr>
      <w:r>
        <w:rPr>
          <w:sz w:val="18"/>
          <w:szCs w:val="18"/>
        </w:rPr>
        <w:t>9.2  Production and Transportation</w:t>
      </w:r>
      <w:r>
        <w:ptab w:relativeTo="margin" w:alignment="right" w:leader="dot"/>
      </w:r>
      <w:r>
        <w:rPr>
          <w:sz w:val="21"/>
          <w:szCs w:val="21"/>
        </w:rPr>
        <w:t>7</w:t>
      </w:r>
      <w:r>
        <w:rPr>
          <w:szCs w:val="21"/>
        </w:rPr>
        <w:t>4</w:t>
      </w:r>
    </w:p>
    <w:p>
      <w:pPr>
        <w:spacing w:line="240" w:lineRule="auto"/>
        <w:ind w:firstLine="205" w:firstLineChars="114"/>
        <w:rPr>
          <w:sz w:val="18"/>
          <w:szCs w:val="18"/>
        </w:rPr>
      </w:pPr>
      <w:r>
        <w:rPr>
          <w:sz w:val="18"/>
          <w:szCs w:val="18"/>
        </w:rPr>
        <w:t>9.3  Construction and Installation</w:t>
      </w:r>
      <w:r>
        <w:ptab w:relativeTo="margin" w:alignment="right" w:leader="dot"/>
      </w:r>
      <w:r>
        <w:rPr>
          <w:sz w:val="21"/>
          <w:szCs w:val="21"/>
        </w:rPr>
        <w:t>7</w:t>
      </w:r>
      <w:r>
        <w:rPr>
          <w:szCs w:val="21"/>
        </w:rPr>
        <w:t>4</w:t>
      </w:r>
    </w:p>
    <w:p>
      <w:pPr>
        <w:spacing w:line="240" w:lineRule="auto"/>
        <w:ind w:firstLine="205" w:firstLineChars="114"/>
        <w:rPr>
          <w:sz w:val="18"/>
          <w:szCs w:val="18"/>
        </w:rPr>
      </w:pPr>
      <w:r>
        <w:rPr>
          <w:sz w:val="18"/>
          <w:szCs w:val="18"/>
        </w:rPr>
        <w:t>9.4  Quality Acceptance</w:t>
      </w:r>
      <w:r>
        <w:ptab w:relativeTo="margin" w:alignment="right" w:leader="dot"/>
      </w:r>
      <w:r>
        <w:rPr>
          <w:sz w:val="21"/>
          <w:szCs w:val="21"/>
        </w:rPr>
        <w:t>7</w:t>
      </w:r>
      <w:r>
        <w:rPr>
          <w:szCs w:val="21"/>
        </w:rPr>
        <w:t>4</w:t>
      </w:r>
    </w:p>
    <w:p>
      <w:pPr>
        <w:spacing w:line="240" w:lineRule="auto"/>
      </w:pPr>
      <w:r>
        <w:t>10  Intelligent Construction and Information Application</w:t>
      </w:r>
      <w:r>
        <w:ptab w:relativeTo="margin" w:alignment="right" w:leader="dot"/>
      </w:r>
      <w:r>
        <w:t>76</w:t>
      </w:r>
    </w:p>
    <w:p>
      <w:pPr>
        <w:spacing w:line="240" w:lineRule="auto"/>
        <w:ind w:firstLine="205" w:firstLineChars="114"/>
        <w:rPr>
          <w:sz w:val="18"/>
          <w:szCs w:val="18"/>
        </w:rPr>
      </w:pPr>
      <w:r>
        <w:rPr>
          <w:sz w:val="18"/>
          <w:szCs w:val="18"/>
        </w:rPr>
        <w:t xml:space="preserve">10.1  General Provisions </w:t>
      </w:r>
      <w:r>
        <w:ptab w:relativeTo="margin" w:alignment="right" w:leader="dot"/>
      </w:r>
      <w:r>
        <w:rPr>
          <w:sz w:val="21"/>
          <w:szCs w:val="21"/>
        </w:rPr>
        <w:t>7</w:t>
      </w:r>
      <w:r>
        <w:rPr>
          <w:szCs w:val="21"/>
        </w:rPr>
        <w:t>6</w:t>
      </w:r>
    </w:p>
    <w:p>
      <w:pPr>
        <w:spacing w:line="240" w:lineRule="auto"/>
        <w:ind w:firstLine="205" w:firstLineChars="114"/>
        <w:rPr>
          <w:sz w:val="18"/>
          <w:szCs w:val="18"/>
        </w:rPr>
      </w:pPr>
      <w:r>
        <w:rPr>
          <w:sz w:val="18"/>
          <w:szCs w:val="18"/>
        </w:rPr>
        <w:t xml:space="preserve">10.2  Digital Design </w:t>
      </w:r>
      <w:r>
        <w:ptab w:relativeTo="margin" w:alignment="right" w:leader="dot"/>
      </w:r>
      <w:r>
        <w:rPr>
          <w:sz w:val="21"/>
          <w:szCs w:val="21"/>
        </w:rPr>
        <w:t>7</w:t>
      </w:r>
      <w:r>
        <w:rPr>
          <w:szCs w:val="21"/>
        </w:rPr>
        <w:t>6</w:t>
      </w:r>
    </w:p>
    <w:p>
      <w:pPr>
        <w:spacing w:line="240" w:lineRule="auto"/>
      </w:pPr>
      <w:r>
        <w:t>11  Use and Maintenance Management</w:t>
      </w:r>
      <w:r>
        <w:ptab w:relativeTo="margin" w:alignment="right" w:leader="dot"/>
      </w:r>
      <w:r>
        <w:t>77</w:t>
      </w:r>
    </w:p>
    <w:p>
      <w:pPr>
        <w:spacing w:line="240" w:lineRule="auto"/>
        <w:ind w:firstLine="205" w:firstLineChars="114"/>
        <w:rPr>
          <w:sz w:val="18"/>
          <w:szCs w:val="18"/>
        </w:rPr>
      </w:pPr>
      <w:r>
        <w:rPr>
          <w:sz w:val="18"/>
          <w:szCs w:val="18"/>
        </w:rPr>
        <w:t>11.1  General Provisions</w:t>
      </w:r>
      <w:r>
        <w:ptab w:relativeTo="margin" w:alignment="right" w:leader="dot"/>
      </w:r>
      <w:r>
        <w:rPr>
          <w:sz w:val="21"/>
          <w:szCs w:val="21"/>
        </w:rPr>
        <w:t>7</w:t>
      </w:r>
      <w:r>
        <w:rPr>
          <w:szCs w:val="21"/>
        </w:rPr>
        <w:t>7</w:t>
      </w:r>
    </w:p>
    <w:p>
      <w:pPr>
        <w:spacing w:line="240" w:lineRule="auto"/>
        <w:ind w:firstLine="205" w:firstLineChars="114"/>
        <w:rPr>
          <w:sz w:val="18"/>
          <w:szCs w:val="18"/>
        </w:rPr>
      </w:pPr>
      <w:r>
        <w:rPr>
          <w:sz w:val="18"/>
          <w:szCs w:val="18"/>
        </w:rPr>
        <w:t>11.2  Use and Maintenance</w:t>
      </w:r>
      <w:r>
        <w:ptab w:relativeTo="margin" w:alignment="right" w:leader="dot"/>
      </w:r>
      <w:r>
        <w:rPr>
          <w:sz w:val="21"/>
          <w:szCs w:val="21"/>
        </w:rPr>
        <w:t>7</w:t>
      </w:r>
      <w:r>
        <w:rPr>
          <w:szCs w:val="21"/>
        </w:rPr>
        <w:t>7</w:t>
      </w:r>
    </w:p>
    <w:p>
      <w:pPr>
        <w:spacing w:line="240" w:lineRule="auto"/>
        <w:ind w:firstLine="205" w:firstLineChars="114"/>
        <w:rPr>
          <w:sz w:val="18"/>
          <w:szCs w:val="18"/>
        </w:rPr>
      </w:pPr>
      <w:r>
        <w:rPr>
          <w:sz w:val="18"/>
          <w:szCs w:val="18"/>
        </w:rPr>
        <w:t>11.3  Property Service</w:t>
      </w:r>
      <w:r>
        <w:ptab w:relativeTo="margin" w:alignment="right" w:leader="dot"/>
      </w:r>
      <w:r>
        <w:rPr>
          <w:sz w:val="21"/>
          <w:szCs w:val="21"/>
        </w:rPr>
        <w:t>7</w:t>
      </w:r>
      <w:r>
        <w:rPr>
          <w:szCs w:val="21"/>
        </w:rPr>
        <w:t>7</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89" w:name="_Toc118357485"/>
      <w:r>
        <w:rPr>
          <w:rFonts w:hint="eastAsia"/>
          <w:sz w:val="28"/>
          <w:szCs w:val="21"/>
        </w:rPr>
        <w:t xml:space="preserve">1  </w:t>
      </w:r>
      <w:r>
        <w:rPr>
          <w:rFonts w:hint="eastAsia" w:ascii="宋体" w:hAnsi="宋体"/>
          <w:b/>
          <w:bCs/>
          <w:sz w:val="28"/>
          <w:szCs w:val="21"/>
        </w:rPr>
        <w:t>总</w:t>
      </w:r>
      <w:r>
        <w:rPr>
          <w:rFonts w:ascii="宋体" w:hAnsi="宋体"/>
          <w:b/>
          <w:bCs/>
          <w:sz w:val="28"/>
          <w:szCs w:val="21"/>
        </w:rPr>
        <w:t xml:space="preserve">    </w:t>
      </w:r>
      <w:r>
        <w:rPr>
          <w:rFonts w:hint="eastAsia" w:ascii="宋体" w:hAnsi="宋体"/>
          <w:b/>
          <w:bCs/>
          <w:sz w:val="28"/>
          <w:szCs w:val="21"/>
        </w:rPr>
        <w:t>则</w:t>
      </w:r>
      <w:bookmarkEnd w:id="88"/>
      <w:bookmarkEnd w:id="89"/>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十四五”期间，国务院与住房和城乡建设部发布了一系列政策与文件，明确提出了大力发展钢结构建筑和新型生产建造方式的要求，钢结构装配式住宅建筑发展较快。但也存在着建筑质量和性能不高、体验性不足、集成设计建造技术落后、部品部件采用比例较少和产业化程度较低等亟待解决的课题和技术瓶颈，与国家要求的新型建筑工业化还有许多差距。</w:t>
      </w:r>
    </w:p>
    <w:p>
      <w:pPr>
        <w:spacing w:line="240" w:lineRule="auto"/>
        <w:ind w:firstLine="420" w:firstLineChars="200"/>
        <w:rPr>
          <w:bCs/>
          <w:szCs w:val="21"/>
        </w:rPr>
      </w:pPr>
      <w:r>
        <w:rPr>
          <w:rFonts w:hint="eastAsia"/>
          <w:bCs/>
          <w:szCs w:val="21"/>
        </w:rPr>
        <w:t>实现建筑新型生产建造方式转型的装配式钢结构住宅产业化是发展我国绿色全寿命期建筑、促进住宅产业化转型升级和化解当前钢铁产能过剩的重大战略需求，钢结构装配式住宅要实现工业化生产建造，必须有健全的产业链，从设计、生产、制造、运输、安装乃至使用过程等各个环节入手，针对每一环节的管理与机制落实相应的工业化生产、信息化管理技术和方法。当前发展钢结构装配式住宅产业化正面临着重大机遇，其市场十分巨大，发展前景广阔。在贯彻执行国家建筑产业现代化和新型生产建造方式转型发展的技术政策、切实推进装配式钢结构住宅健康发展的过程中亟须规范装配式钢结构住宅建筑的建设，按照安全、适用、经济、绿色、美观的要求，全面提高建设的环境效益、社会效益和经济效益。</w:t>
      </w:r>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本标准适用于采用钢结构的装配式住宅建筑的结构系统、外围护系统、设备与管线系统、内装系统集成设计建造的新建住宅建筑，采用钢结构的改建、扩建住宅建筑可参考使用。其结构类型包括钢结构（柱可为钢柱，也可为钢管混凝土柱）、钢-混凝土混合结构，不包含冷弯薄壁型钢结构。</w:t>
      </w:r>
    </w:p>
    <w:p>
      <w:pPr>
        <w:spacing w:line="240" w:lineRule="auto"/>
        <w:ind w:firstLine="420" w:firstLineChars="200"/>
        <w:rPr>
          <w:bCs/>
          <w:szCs w:val="21"/>
        </w:rPr>
      </w:pPr>
      <w:r>
        <w:rPr>
          <w:rFonts w:hint="eastAsia"/>
          <w:bCs/>
          <w:szCs w:val="21"/>
        </w:rPr>
        <w:t>本标准提出适用最大高度不超过180米的装配式多、高层住宅建筑，主要是从经济适应性角度提出限制建议，考虑今后深圳市相关居住建筑工程有超过180以上需要，应从技术与经济性等多方论证考虑。另外，也考虑到低层建筑的特殊要求。当建筑高度不超过3层或超过180m时，可以按本标准的规定执行。</w:t>
      </w:r>
    </w:p>
    <w:p>
      <w:pPr>
        <w:spacing w:line="240" w:lineRule="auto"/>
        <w:rPr>
          <w:bCs/>
          <w:szCs w:val="21"/>
        </w:rPr>
      </w:pPr>
      <w:r>
        <w:rPr>
          <w:rFonts w:hint="eastAsia"/>
          <w:b/>
          <w:bCs/>
          <w:szCs w:val="21"/>
        </w:rPr>
        <w:t>1</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3  </w:t>
      </w:r>
      <w:r>
        <w:rPr>
          <w:rFonts w:hint="eastAsia"/>
          <w:bCs/>
          <w:szCs w:val="21"/>
        </w:rPr>
        <w:t>深圳市人民政府办公厅关于印发深圳川市加快推进现代建筑业高质量发展的若千措施的通知中指出，坚持以创新、协调、绿色、开放、共享的新发展理念为引领，以内涵集约、绿色低碳发展为路径，树立全寿命期管理意识，鼓励建筑业与先进制造业、新一代信息技术融合创新，加强新技术、新工艺、新材料、新产品应用，促进绿色化、工业化、智能化融合发展。提升标准建设水平。开展建设工程全寿命期标准建设，着力在保障人民生命财产安全、人身健康、工程安全、公众权益和公共利益，以及促进能源资源节约利用、满足社会经济管理等方面，提升标准建设水平，提高底线控制要求，按规定制定和实施高于国家标准和行业标准的地方标准。</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90" w:name="_Toc118357486"/>
      <w:bookmarkStart w:id="91" w:name="_Toc118314490"/>
      <w:r>
        <w:rPr>
          <w:rFonts w:hint="eastAsia"/>
          <w:sz w:val="28"/>
          <w:szCs w:val="21"/>
        </w:rPr>
        <w:t xml:space="preserve">2  </w:t>
      </w:r>
      <w:r>
        <w:rPr>
          <w:rFonts w:hint="eastAsia" w:ascii="宋体" w:hAnsi="宋体"/>
          <w:b/>
          <w:bCs/>
          <w:sz w:val="28"/>
          <w:szCs w:val="21"/>
        </w:rPr>
        <w:t>术</w:t>
      </w:r>
      <w:r>
        <w:rPr>
          <w:rFonts w:ascii="宋体" w:hAnsi="宋体"/>
          <w:b/>
          <w:bCs/>
          <w:sz w:val="28"/>
          <w:szCs w:val="21"/>
        </w:rPr>
        <w:t xml:space="preserve">    </w:t>
      </w:r>
      <w:r>
        <w:rPr>
          <w:rFonts w:hint="eastAsia" w:ascii="宋体" w:hAnsi="宋体"/>
          <w:b/>
          <w:bCs/>
          <w:sz w:val="28"/>
          <w:szCs w:val="21"/>
        </w:rPr>
        <w:t>语</w:t>
      </w:r>
      <w:bookmarkEnd w:id="90"/>
      <w:bookmarkEnd w:id="91"/>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装配式钢结构住宅建筑是一个系统工程，由建筑的结构系统、外围护系统、设备与管线系统、内装系统四大系统组成，是将预制的部品部（构）件通过模数协调、模块组合、接口连接、构造和工法等建筑的各系统集成的，在现场高效可靠装配，并实现主体结构、建筑围护、机电与装修一体化的、具有良好性能的住宅建筑整体。</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根据新型建筑工业化发展趋势和要求，钢结构装配式住宅建筑采用先进的集成技术是推动发展方式转变的紧迫要求。钢结构装配式住宅强调建筑由四大系统构成的建筑体系，以及各系统内部集成的生产建造方式。</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在系统集成的基础上，钢结构装配式住宅强调建筑的集成设计，突出在建筑设计的过程中，应将结构系统、外围护系统、设备与管线系统以及内装系统进行综合考虑，一体化设计。</w:t>
      </w:r>
    </w:p>
    <w:p>
      <w:pPr>
        <w:spacing w:line="240" w:lineRule="auto"/>
        <w:ind w:firstLine="420" w:firstLineChars="200"/>
        <w:rPr>
          <w:bCs/>
          <w:szCs w:val="21"/>
        </w:rPr>
      </w:pPr>
      <w:r>
        <w:rPr>
          <w:rFonts w:hint="eastAsia"/>
          <w:bCs/>
          <w:szCs w:val="21"/>
        </w:rPr>
        <w:t>建筑集成设计应创新装配式建筑设计，统筹建筑结构、机电设备、部品部件、装配施工、装饰装修，推行装配式建筑一体化集成设计，推广通用化、模数化、标准化设计方式，并加强对建设全过程的指导和服务。</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4</w:t>
      </w:r>
      <w:r>
        <w:rPr>
          <w:rFonts w:hint="eastAsia"/>
          <w:bCs/>
          <w:szCs w:val="21"/>
        </w:rPr>
        <w:t xml:space="preserve"> </w:t>
      </w:r>
      <w:r>
        <w:rPr>
          <w:bCs/>
          <w:szCs w:val="21"/>
        </w:rPr>
        <w:t xml:space="preserve"> </w:t>
      </w:r>
      <w:r>
        <w:rPr>
          <w:rFonts w:hint="eastAsia"/>
          <w:bCs/>
          <w:szCs w:val="21"/>
        </w:rPr>
        <w:t>钢结构装配式住宅建筑的协同设计工作是工厂化生产和装配化施工建造的前提。协同设计工作主要包括以下三个方面的内容：</w:t>
      </w:r>
    </w:p>
    <w:p>
      <w:pPr>
        <w:spacing w:line="240" w:lineRule="auto"/>
        <w:ind w:firstLine="421" w:firstLineChars="200"/>
        <w:rPr>
          <w:bCs/>
          <w:szCs w:val="21"/>
        </w:rPr>
      </w:pPr>
      <w:r>
        <w:rPr>
          <w:rFonts w:hint="eastAsia"/>
          <w:b/>
          <w:bCs/>
          <w:szCs w:val="21"/>
        </w:rPr>
        <w:t>1</w:t>
      </w:r>
      <w:r>
        <w:rPr>
          <w:b/>
          <w:bCs/>
          <w:szCs w:val="21"/>
        </w:rPr>
        <w:t xml:space="preserve"> </w:t>
      </w:r>
      <w:r>
        <w:rPr>
          <w:bCs/>
          <w:szCs w:val="21"/>
        </w:rPr>
        <w:t xml:space="preserve"> </w:t>
      </w:r>
      <w:r>
        <w:rPr>
          <w:rFonts w:hint="eastAsia"/>
          <w:bCs/>
          <w:szCs w:val="21"/>
        </w:rPr>
        <w:t>统筹规划设计、生产运输、施工安装和使用维护，进行建筑、结构、建筑设备、室内装修等专业一体化的设计；</w:t>
      </w:r>
    </w:p>
    <w:p>
      <w:pPr>
        <w:spacing w:line="240" w:lineRule="auto"/>
        <w:ind w:firstLine="421" w:firstLineChars="200"/>
        <w:rPr>
          <w:bCs/>
          <w:szCs w:val="21"/>
        </w:rPr>
      </w:pPr>
      <w:r>
        <w:rPr>
          <w:rFonts w:hint="eastAsia"/>
          <w:b/>
          <w:bCs/>
          <w:szCs w:val="21"/>
        </w:rPr>
        <w:t>2</w:t>
      </w:r>
      <w:r>
        <w:rPr>
          <w:b/>
          <w:bCs/>
          <w:szCs w:val="21"/>
        </w:rPr>
        <w:t xml:space="preserve"> </w:t>
      </w:r>
      <w:r>
        <w:rPr>
          <w:bCs/>
          <w:szCs w:val="21"/>
        </w:rPr>
        <w:t xml:space="preserve"> </w:t>
      </w:r>
      <w:r>
        <w:rPr>
          <w:rFonts w:hint="eastAsia"/>
          <w:bCs/>
          <w:szCs w:val="21"/>
        </w:rPr>
        <w:t>运用建筑信息模型技术，建立信息协同平台，加强设计阶段的建设、设计、制作、施工各方之间的关系协同；</w:t>
      </w:r>
    </w:p>
    <w:p>
      <w:pPr>
        <w:spacing w:line="240" w:lineRule="auto"/>
        <w:ind w:firstLine="421" w:firstLineChars="200"/>
        <w:rPr>
          <w:bCs/>
          <w:szCs w:val="21"/>
        </w:rPr>
      </w:pPr>
      <w:r>
        <w:rPr>
          <w:rFonts w:hint="eastAsia"/>
          <w:b/>
          <w:bCs/>
          <w:szCs w:val="21"/>
        </w:rPr>
        <w:t>3</w:t>
      </w:r>
      <w:r>
        <w:rPr>
          <w:b/>
          <w:bCs/>
          <w:szCs w:val="21"/>
        </w:rPr>
        <w:t xml:space="preserve">  </w:t>
      </w:r>
      <w:r>
        <w:rPr>
          <w:rFonts w:hint="eastAsia"/>
          <w:bCs/>
          <w:szCs w:val="21"/>
        </w:rPr>
        <w:t>加强建筑、结构、设备、装修等专业之间的配合。</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8</w:t>
      </w:r>
      <w:r>
        <w:rPr>
          <w:b/>
          <w:bCs/>
          <w:szCs w:val="21"/>
        </w:rPr>
        <w:t xml:space="preserve"> </w:t>
      </w:r>
      <w:r>
        <w:rPr>
          <w:rFonts w:hint="eastAsia"/>
          <w:b/>
          <w:bCs/>
          <w:szCs w:val="21"/>
        </w:rPr>
        <w:t xml:space="preserve"> </w:t>
      </w:r>
      <w:r>
        <w:rPr>
          <w:rFonts w:hint="eastAsia"/>
          <w:bCs/>
          <w:szCs w:val="21"/>
        </w:rPr>
        <w:t>按国标《装配式建筑评价标准》GB</w:t>
      </w:r>
      <w:r>
        <w:rPr>
          <w:bCs/>
          <w:szCs w:val="21"/>
        </w:rPr>
        <w:t xml:space="preserve"> </w:t>
      </w:r>
      <w:r>
        <w:rPr>
          <w:rFonts w:hint="eastAsia"/>
          <w:bCs/>
          <w:szCs w:val="21"/>
        </w:rPr>
        <w:t>51129中有关规定，在厨房中，墙面、顶面及地面采用干式工法的面积之和与其墙面、顶面及地面总面积之比大于70%，且橱柜和厨房设备等全部安装就位时，可认定为集成厨房，大于90%可认定为集成式厨房。</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9</w:t>
      </w:r>
      <w:r>
        <w:rPr>
          <w:b/>
          <w:bCs/>
          <w:szCs w:val="21"/>
        </w:rPr>
        <w:t xml:space="preserve"> </w:t>
      </w:r>
      <w:r>
        <w:rPr>
          <w:rFonts w:hint="eastAsia"/>
          <w:b/>
          <w:bCs/>
          <w:szCs w:val="21"/>
        </w:rPr>
        <w:t xml:space="preserve"> </w:t>
      </w:r>
      <w:r>
        <w:rPr>
          <w:rFonts w:hint="eastAsia"/>
          <w:bCs/>
          <w:szCs w:val="21"/>
        </w:rPr>
        <w:t>按国标《装配式建筑评价标准》GB</w:t>
      </w:r>
      <w:r>
        <w:rPr>
          <w:bCs/>
          <w:szCs w:val="21"/>
        </w:rPr>
        <w:t xml:space="preserve"> </w:t>
      </w:r>
      <w:r>
        <w:rPr>
          <w:rFonts w:hint="eastAsia"/>
          <w:bCs/>
          <w:szCs w:val="21"/>
        </w:rPr>
        <w:t>51129中有关规定，在卫生间中，墙面、顶面及地面采用干式工法的面积之和与其墙面、顶面及地面总面积之比大于70%，且洁具设备等全部安装就位时，可认定为集成卫生间，大于90%可认定为集成式卫生间。</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10 </w:t>
      </w:r>
      <w:r>
        <w:rPr>
          <w:b/>
          <w:bCs/>
          <w:szCs w:val="21"/>
        </w:rPr>
        <w:t xml:space="preserve"> </w:t>
      </w:r>
      <w:r>
        <w:rPr>
          <w:rFonts w:hint="eastAsia"/>
          <w:bCs/>
          <w:szCs w:val="21"/>
        </w:rPr>
        <w:t>整体厨房是工厂生产、现场装配、模块化集成厨房产品的统称。</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11</w:t>
      </w:r>
      <w:r>
        <w:rPr>
          <w:b/>
          <w:bCs/>
          <w:szCs w:val="21"/>
        </w:rPr>
        <w:t xml:space="preserve"> </w:t>
      </w:r>
      <w:r>
        <w:rPr>
          <w:rFonts w:hint="eastAsia"/>
          <w:b/>
          <w:bCs/>
          <w:szCs w:val="21"/>
        </w:rPr>
        <w:t xml:space="preserve"> </w:t>
      </w:r>
      <w:r>
        <w:rPr>
          <w:rFonts w:hint="eastAsia"/>
          <w:bCs/>
          <w:szCs w:val="21"/>
        </w:rPr>
        <w:t>整体卫浴是工厂生产、现场装配、模块化集成卫浴产品的统称。常见整体卫浴产品组成分为：防水托盘材料（分为航空树脂SMC及玻璃钢FRP）；墙壁材料/顶板材料（航空树脂SMC、镀锌钢板包覆树脂膜以及瓷砖或石材铺贴）。整体卫浴具有防滑、防潮、防水、易清洁、安全卫生、施工方便和品质优良等优点。</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12</w:t>
      </w:r>
      <w:r>
        <w:rPr>
          <w:b/>
          <w:bCs/>
          <w:szCs w:val="21"/>
        </w:rPr>
        <w:t xml:space="preserve"> </w:t>
      </w:r>
      <w:r>
        <w:rPr>
          <w:rFonts w:hint="eastAsia"/>
          <w:b/>
          <w:bCs/>
          <w:szCs w:val="21"/>
        </w:rPr>
        <w:t xml:space="preserve"> </w:t>
      </w:r>
      <w:r>
        <w:rPr>
          <w:rFonts w:hint="eastAsia"/>
          <w:bCs/>
          <w:szCs w:val="21"/>
        </w:rPr>
        <w:t>整体收纳是工厂生产、现场装配、模块化集成收纳产品的统称。通常包括入户门厅、起居室、卧室、厨房、卫生间和阳台等功能空间部位多样化的收纳类型。</w:t>
      </w:r>
    </w:p>
    <w:p>
      <w:pPr>
        <w:spacing w:line="240" w:lineRule="auto"/>
        <w:rPr>
          <w:bCs/>
          <w:szCs w:val="21"/>
        </w:rPr>
      </w:pPr>
      <w:r>
        <w:rPr>
          <w:rFonts w:hint="eastAsia"/>
          <w:b/>
          <w:bCs/>
          <w:szCs w:val="21"/>
        </w:rPr>
        <w:t>2</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14 </w:t>
      </w:r>
      <w:r>
        <w:rPr>
          <w:b/>
          <w:bCs/>
          <w:szCs w:val="21"/>
        </w:rPr>
        <w:t xml:space="preserve"> </w:t>
      </w:r>
      <w:r>
        <w:rPr>
          <w:rFonts w:hint="eastAsia"/>
          <w:bCs/>
          <w:szCs w:val="21"/>
        </w:rPr>
        <w:t>目前住宅建筑存在一些突出问题引发的纠纷。钢结构装配式住宅建筑设计应改变传统住宅设计建造模式，注重支撑体与填充体相分离技术及其装配式内装技术等一体化的集成应用，提高工业化设计与部品应用水平。从国外采用住宅产业化发展及工业化建造实践的经验来看，住宅通过采用主体结构与内装体相分离的方式，解决了住宅批量化生产中标准化与多样化需求之间的核心问题，既满足了居住需求的适应性，也提高了工程质量和居住品质。</w:t>
      </w:r>
    </w:p>
    <w:p>
      <w:pPr>
        <w:keepNext/>
        <w:keepLines/>
        <w:spacing w:after="360" w:line="240" w:lineRule="auto"/>
        <w:jc w:val="center"/>
        <w:outlineLvl w:val="0"/>
        <w:rPr>
          <w:sz w:val="28"/>
          <w:szCs w:val="21"/>
        </w:rPr>
      </w:pPr>
      <w:bookmarkStart w:id="92" w:name="_Toc118314491"/>
      <w:bookmarkStart w:id="93" w:name="_Toc118357487"/>
      <w:r>
        <w:rPr>
          <w:rFonts w:hint="eastAsia"/>
          <w:sz w:val="28"/>
          <w:szCs w:val="21"/>
        </w:rPr>
        <w:t xml:space="preserve">3  </w:t>
      </w:r>
      <w:r>
        <w:rPr>
          <w:rFonts w:hint="eastAsia" w:ascii="宋体" w:hAnsi="宋体"/>
          <w:b/>
          <w:bCs/>
          <w:sz w:val="28"/>
          <w:szCs w:val="21"/>
        </w:rPr>
        <w:t>基 本 规 定</w:t>
      </w:r>
      <w:bookmarkEnd w:id="92"/>
      <w:bookmarkEnd w:id="93"/>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钢结构装配式住宅是新型建筑工业化的一种生产建造方式转型，目的是提高效率、保证质量。由于大量采用工厂化部品部（构）件，不仅要求部品或部（构）件集成化程度高，而且各环节、各工种应密切配合，安装一次到位，通过工业化的管理及现场集约化工序环节，既确保建设效率，又保证建筑产品质量。</w:t>
      </w:r>
    </w:p>
    <w:p>
      <w:pPr>
        <w:spacing w:line="240" w:lineRule="auto"/>
        <w:ind w:firstLine="420" w:firstLineChars="200"/>
        <w:rPr>
          <w:bCs/>
          <w:szCs w:val="21"/>
        </w:rPr>
      </w:pPr>
      <w:r>
        <w:rPr>
          <w:rFonts w:hint="eastAsia"/>
          <w:bCs/>
          <w:szCs w:val="21"/>
        </w:rPr>
        <w:t>常见的钢结构体系有钢框架（钢框架-支撑结构）体系、钢框架-剪力墙（钢框架-核心筒结构）体系等。楼板可采用钢筋桁架楼承板、桁架钢筋混凝土叠合板、铝模现浇混凝土楼板等。</w:t>
      </w:r>
    </w:p>
    <w:p>
      <w:pPr>
        <w:spacing w:line="240" w:lineRule="auto"/>
        <w:ind w:firstLine="420" w:firstLineChars="200"/>
        <w:rPr>
          <w:bCs/>
          <w:szCs w:val="21"/>
        </w:rPr>
      </w:pPr>
      <w:r>
        <w:rPr>
          <w:rFonts w:hint="eastAsia"/>
          <w:bCs/>
          <w:szCs w:val="21"/>
        </w:rPr>
        <w:t>配套的围护体系可采用蒸压加气混凝土整间板/条板、轻质混凝土复合外墙挂板、预制混凝土夹芯保温外墙挂板、拼装大板（包括轻集料混凝土与岩棉板复合墙板等）等轻质、高效的外围护系统。</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钢结构装配式住宅建筑的建造方法立足于新型建筑工业化，进行标准化的设计，少规格多组合，采用集成技术，便于工厂批量生产。各部品部件通过接口进行连接，在现场进行组装、干法施工。在设计、生产、施工和运维中采用BIM技术，实现全过程的信息化管理。</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3</w:t>
      </w:r>
      <w:r>
        <w:rPr>
          <w:b/>
          <w:bCs/>
          <w:szCs w:val="21"/>
        </w:rPr>
        <w:t xml:space="preserve"> </w:t>
      </w:r>
      <w:r>
        <w:rPr>
          <w:rFonts w:hint="eastAsia"/>
          <w:b/>
          <w:bCs/>
          <w:szCs w:val="21"/>
        </w:rPr>
        <w:t xml:space="preserve"> </w:t>
      </w:r>
      <w:r>
        <w:rPr>
          <w:rFonts w:hint="eastAsia"/>
          <w:bCs/>
          <w:szCs w:val="21"/>
        </w:rPr>
        <w:t>钢结构装配式住宅建筑的标准化和多样化问题是其设计建造的核心原则和方法。装配式钢结构住宅建筑的设计建造应基于通用化、模数化、标准化的方法，实现居住产品的多样化。</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5</w:t>
      </w:r>
      <w:r>
        <w:rPr>
          <w:b/>
          <w:bCs/>
          <w:szCs w:val="21"/>
        </w:rPr>
        <w:t xml:space="preserve"> </w:t>
      </w:r>
      <w:r>
        <w:rPr>
          <w:rFonts w:hint="eastAsia"/>
          <w:b/>
          <w:bCs/>
          <w:szCs w:val="21"/>
        </w:rPr>
        <w:t xml:space="preserve"> </w:t>
      </w:r>
      <w:r>
        <w:rPr>
          <w:rFonts w:hint="eastAsia"/>
          <w:bCs/>
          <w:szCs w:val="21"/>
        </w:rPr>
        <w:t>国家政策在“加快新型建筑工业化发展”和《关于推动智能建造与建筑工业化协同发展的指导意见》要求推广采用建筑信息化技术。加强信息技术在钢结构装配式住宅建筑中的应用，推进基于BM的建筑设计、生产运输、装配安装及使用维护等，促进工业化设计建造。</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6 </w:t>
      </w:r>
      <w:r>
        <w:rPr>
          <w:b/>
          <w:bCs/>
          <w:szCs w:val="21"/>
        </w:rPr>
        <w:t xml:space="preserve"> </w:t>
      </w:r>
      <w:r>
        <w:rPr>
          <w:rFonts w:hint="eastAsia"/>
          <w:bCs/>
          <w:szCs w:val="21"/>
        </w:rPr>
        <w:t>由于钢结构自身对防火、防腐有严格的要求，也是社会和使用居民关注的重点，同时钢结构装配式住宅采用一些配套轻质围护材料与部品，应在设计和建造过程中对整体性能和品质满足可靠性、安全性和耐久性的要求。</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钢结构装配式住宅建筑主要特点是钢结构承重，而装修是可调整更换的，更换管线或二次装修时不应影响结构性能，外围护系统及内装系统均宜采用干法施工，并预留检修的可能性。</w:t>
      </w:r>
    </w:p>
    <w:p>
      <w:pPr>
        <w:spacing w:line="240" w:lineRule="auto"/>
        <w:rPr>
          <w:bCs/>
          <w:szCs w:val="21"/>
        </w:rPr>
      </w:pPr>
      <w:r>
        <w:rPr>
          <w:rFonts w:hint="eastAsia"/>
          <w:b/>
          <w:bCs/>
          <w:szCs w:val="21"/>
        </w:rPr>
        <w:t>3</w:t>
      </w:r>
      <w:r>
        <w:rPr>
          <w:rFonts w:hint="eastAsia" w:ascii="宋体" w:hAnsi="宋体"/>
          <w:b/>
          <w:bCs/>
          <w:szCs w:val="21"/>
        </w:rPr>
        <w:t>.</w:t>
      </w:r>
      <w:r>
        <w:rPr>
          <w:rFonts w:hint="eastAsia"/>
          <w:b/>
          <w:bCs/>
          <w:szCs w:val="21"/>
        </w:rPr>
        <w:t>0</w:t>
      </w:r>
      <w:r>
        <w:rPr>
          <w:rFonts w:hint="eastAsia" w:ascii="宋体" w:hAnsi="宋体"/>
          <w:b/>
          <w:bCs/>
          <w:szCs w:val="21"/>
        </w:rPr>
        <w:t>.</w:t>
      </w:r>
      <w:r>
        <w:rPr>
          <w:rFonts w:hint="eastAsia"/>
          <w:b/>
          <w:bCs/>
          <w:szCs w:val="21"/>
        </w:rPr>
        <w:t>8</w:t>
      </w:r>
      <w:r>
        <w:rPr>
          <w:b/>
          <w:bCs/>
          <w:szCs w:val="21"/>
        </w:rPr>
        <w:t xml:space="preserve"> </w:t>
      </w:r>
      <w:r>
        <w:rPr>
          <w:rFonts w:hint="eastAsia"/>
          <w:b/>
          <w:bCs/>
          <w:szCs w:val="21"/>
        </w:rPr>
        <w:t xml:space="preserve"> </w:t>
      </w:r>
      <w:r>
        <w:rPr>
          <w:rFonts w:hint="eastAsia"/>
          <w:bCs/>
          <w:szCs w:val="21"/>
        </w:rPr>
        <w:t>由于钢结构装配式住宅的特性，根据之前竣工的钢结构装配式住宅交付情况调研，采用毛坯交付没有充分体现钢结构装配式住宅的优点，强调应采用全装修交付方式。同时与广大居民受长期混凝土或砖混结构住宅的使用习惯，应根据规定和住宅设计文件注明的设计条件、使用性质及使用环境制定全面、详细的“钢结构装配式住宅使用说明书”，避免产生不必要的理解偏差和误解。</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94" w:name="_Toc118314492"/>
      <w:bookmarkStart w:id="95" w:name="_Toc118357488"/>
      <w:r>
        <w:rPr>
          <w:rFonts w:hint="eastAsia"/>
          <w:sz w:val="28"/>
          <w:szCs w:val="21"/>
        </w:rPr>
        <w:t xml:space="preserve">4  </w:t>
      </w:r>
      <w:r>
        <w:rPr>
          <w:rFonts w:hint="eastAsia" w:ascii="宋体" w:hAnsi="宋体"/>
          <w:b/>
          <w:bCs/>
          <w:sz w:val="28"/>
          <w:szCs w:val="21"/>
        </w:rPr>
        <w:t>建 筑 设 计</w:t>
      </w:r>
      <w:bookmarkEnd w:id="94"/>
      <w:bookmarkEnd w:id="95"/>
    </w:p>
    <w:p>
      <w:pPr>
        <w:pStyle w:val="4"/>
        <w:spacing w:before="240" w:after="240" w:line="240" w:lineRule="auto"/>
        <w:jc w:val="center"/>
        <w:rPr>
          <w:rFonts w:ascii="Times New Roman" w:hAnsi="Times New Roman"/>
          <w:sz w:val="21"/>
          <w:szCs w:val="21"/>
        </w:rPr>
      </w:pPr>
      <w:bookmarkStart w:id="96" w:name="_Toc118314493"/>
      <w:bookmarkStart w:id="97" w:name="_Toc118357489"/>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96"/>
      <w:bookmarkEnd w:id="97"/>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钢结构装配式住宅建筑除应满足居住的基本功能和性能要求，还需要符合安全耐久、绿色环保、健康舒适等规定，涉及的相关标准和规范很多，本条主要重点强调几个和钢结构装配式住宅设计直接、密切相关的标准，尚应符合国家、地方现行有关标准的规定。本规程也附了引用标准名录。</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2</w:t>
      </w:r>
      <w:r>
        <w:rPr>
          <w:b/>
          <w:bCs/>
          <w:szCs w:val="21"/>
        </w:rPr>
        <w:t xml:space="preserve"> </w:t>
      </w:r>
      <w:r>
        <w:rPr>
          <w:rFonts w:hint="eastAsia"/>
          <w:b/>
          <w:bCs/>
          <w:szCs w:val="21"/>
        </w:rPr>
        <w:t xml:space="preserve"> </w:t>
      </w:r>
      <w:r>
        <w:rPr>
          <w:rFonts w:hint="eastAsia"/>
          <w:bCs/>
          <w:szCs w:val="21"/>
        </w:rPr>
        <w:t>钢结构装配式住宅建筑的性能有不少不同于混凝土及砖混结构体系住宅，除钢结构自身特点需要防腐、防火外，在隔声设计应在易形成声桥的部位采用间接连接或隔声等措施；其热工性能设计时，外围护系统中设置的保温体系应闭合，钢梁、钢柱、楼板及外挑构件等热桥部位应进行结露点温度计算等。并应结合深圳市特点，对建筑全寿命期内的安全耐久、健康舒适、生活便利、资源节约、环境宜居等性能进行综合设计。</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3</w:t>
      </w:r>
      <w:r>
        <w:rPr>
          <w:b/>
          <w:bCs/>
          <w:szCs w:val="21"/>
        </w:rPr>
        <w:t xml:space="preserve"> </w:t>
      </w:r>
      <w:r>
        <w:rPr>
          <w:rFonts w:hint="eastAsia"/>
          <w:b/>
          <w:bCs/>
          <w:szCs w:val="21"/>
        </w:rPr>
        <w:t xml:space="preserve"> </w:t>
      </w:r>
      <w:r>
        <w:rPr>
          <w:rFonts w:hint="eastAsia"/>
          <w:bCs/>
          <w:szCs w:val="21"/>
        </w:rPr>
        <w:t>设计应从建筑全寿命期和家庭全寿命周期的使用维护出发，宜采用大空间布置方式，既应提高居住空间灵活性与可变性，又要满足建筑后期维护维修等要求，同时强调资源再利用，可持续发展。</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4</w:t>
      </w:r>
      <w:r>
        <w:rPr>
          <w:b/>
          <w:bCs/>
          <w:szCs w:val="21"/>
        </w:rPr>
        <w:t xml:space="preserve"> </w:t>
      </w:r>
      <w:r>
        <w:rPr>
          <w:rFonts w:hint="eastAsia"/>
          <w:b/>
          <w:bCs/>
          <w:szCs w:val="21"/>
        </w:rPr>
        <w:t xml:space="preserve"> </w:t>
      </w:r>
      <w:r>
        <w:rPr>
          <w:rFonts w:hint="eastAsia"/>
          <w:bCs/>
          <w:szCs w:val="21"/>
        </w:rPr>
        <w:t>钢结构装配式建筑的特点与传统混凝土等住宅区别较大，强调建筑设计与装修设计的协同，是避免在建造完成后装修，一些开设孔洞对结构非常不利的影响，对防腐、防火保护的破坏等等，与内装协同设计是钢结构装配式建筑提前重视的。</w:t>
      </w:r>
    </w:p>
    <w:p>
      <w:pPr>
        <w:pStyle w:val="4"/>
        <w:spacing w:before="240" w:after="240" w:line="240" w:lineRule="auto"/>
        <w:jc w:val="center"/>
        <w:rPr>
          <w:rFonts w:ascii="Times New Roman" w:hAnsi="Times New Roman"/>
          <w:sz w:val="21"/>
          <w:szCs w:val="21"/>
        </w:rPr>
      </w:pPr>
      <w:bookmarkStart w:id="98" w:name="_Toc118314494"/>
      <w:bookmarkStart w:id="99" w:name="_Toc118357490"/>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模数、专业与公差协调</w:t>
      </w:r>
      <w:bookmarkEnd w:id="98"/>
      <w:bookmarkEnd w:id="99"/>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本条中的M是住宅建筑模数协调的最小单位，1M=100mm，与其他标准相一致。钢结构装配式住宅建筑因下列情况而产生非模数尺寸与空间时，可对相关部位进行设计技术处理：</w:t>
      </w:r>
    </w:p>
    <w:p>
      <w:pPr>
        <w:spacing w:line="240" w:lineRule="auto"/>
        <w:ind w:firstLine="421" w:firstLineChars="200"/>
        <w:rPr>
          <w:bCs/>
          <w:szCs w:val="21"/>
        </w:rPr>
      </w:pPr>
      <w:r>
        <w:rPr>
          <w:rFonts w:hint="eastAsia"/>
          <w:b/>
          <w:bCs/>
          <w:szCs w:val="21"/>
        </w:rPr>
        <w:t>1</w:t>
      </w:r>
      <w:r>
        <w:rPr>
          <w:b/>
          <w:bCs/>
          <w:szCs w:val="21"/>
        </w:rPr>
        <w:t xml:space="preserve"> </w:t>
      </w:r>
      <w:r>
        <w:rPr>
          <w:rFonts w:hint="eastAsia"/>
          <w:b/>
          <w:bCs/>
          <w:szCs w:val="21"/>
        </w:rPr>
        <w:t xml:space="preserve"> </w:t>
      </w:r>
      <w:r>
        <w:rPr>
          <w:rFonts w:hint="eastAsia"/>
          <w:bCs/>
          <w:szCs w:val="21"/>
        </w:rPr>
        <w:t>钢结构柱网采用中心线定位法时，边跨和边开间的平面尺寸可采用非模数；</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采用界面定位法时，钢结构柱网中心线为非模数；</w:t>
      </w:r>
    </w:p>
    <w:p>
      <w:pPr>
        <w:spacing w:line="240" w:lineRule="auto"/>
        <w:ind w:firstLine="421" w:firstLineChars="200"/>
        <w:rPr>
          <w:bCs/>
          <w:szCs w:val="21"/>
        </w:rPr>
      </w:pPr>
      <w:r>
        <w:rPr>
          <w:rFonts w:hint="eastAsia"/>
          <w:b/>
          <w:bCs/>
          <w:szCs w:val="21"/>
        </w:rPr>
        <w:t>3</w:t>
      </w:r>
      <w:r>
        <w:rPr>
          <w:b/>
          <w:bCs/>
          <w:szCs w:val="21"/>
        </w:rPr>
        <w:t xml:space="preserve"> </w:t>
      </w:r>
      <w:r>
        <w:rPr>
          <w:rFonts w:hint="eastAsia"/>
          <w:b/>
          <w:bCs/>
          <w:szCs w:val="21"/>
        </w:rPr>
        <w:t xml:space="preserve"> </w:t>
      </w:r>
      <w:r>
        <w:rPr>
          <w:rFonts w:hint="eastAsia"/>
          <w:bCs/>
          <w:szCs w:val="21"/>
        </w:rPr>
        <w:t>在下层钢结构柱网采用中心线定位的情况下，超高层钢柱截面随高度改变可采用非模数；</w:t>
      </w:r>
    </w:p>
    <w:p>
      <w:pPr>
        <w:spacing w:line="240" w:lineRule="auto"/>
        <w:ind w:firstLine="421" w:firstLineChars="200"/>
        <w:rPr>
          <w:bCs/>
          <w:szCs w:val="21"/>
        </w:rPr>
      </w:pPr>
      <w:r>
        <w:rPr>
          <w:rFonts w:hint="eastAsia"/>
          <w:b/>
          <w:bCs/>
          <w:szCs w:val="21"/>
        </w:rPr>
        <w:t xml:space="preserve">4 </w:t>
      </w:r>
      <w:r>
        <w:rPr>
          <w:b/>
          <w:bCs/>
          <w:szCs w:val="21"/>
        </w:rPr>
        <w:t xml:space="preserve"> </w:t>
      </w:r>
      <w:r>
        <w:rPr>
          <w:rFonts w:hint="eastAsia"/>
          <w:bCs/>
          <w:szCs w:val="21"/>
        </w:rPr>
        <w:t>钢梁偏置轴线，可采用非模数；</w:t>
      </w:r>
    </w:p>
    <w:p>
      <w:pPr>
        <w:spacing w:line="240" w:lineRule="auto"/>
        <w:ind w:firstLine="421" w:firstLineChars="200"/>
        <w:rPr>
          <w:bCs/>
          <w:szCs w:val="21"/>
        </w:rPr>
      </w:pPr>
      <w:r>
        <w:rPr>
          <w:rFonts w:hint="eastAsia"/>
          <w:b/>
          <w:bCs/>
          <w:szCs w:val="21"/>
        </w:rPr>
        <w:t xml:space="preserve">5 </w:t>
      </w:r>
      <w:r>
        <w:rPr>
          <w:b/>
          <w:bCs/>
          <w:szCs w:val="21"/>
        </w:rPr>
        <w:t xml:space="preserve"> </w:t>
      </w:r>
      <w:r>
        <w:rPr>
          <w:rFonts w:hint="eastAsia"/>
          <w:bCs/>
          <w:szCs w:val="21"/>
        </w:rPr>
        <w:t>为隐蔽钢梁、钢柱，内墙偏向一侧，可采用非模数；</w:t>
      </w:r>
    </w:p>
    <w:p>
      <w:pPr>
        <w:spacing w:line="240" w:lineRule="auto"/>
        <w:ind w:firstLine="421" w:firstLineChars="200"/>
        <w:rPr>
          <w:bCs/>
          <w:szCs w:val="21"/>
        </w:rPr>
      </w:pPr>
      <w:r>
        <w:rPr>
          <w:rFonts w:hint="eastAsia"/>
          <w:b/>
          <w:bCs/>
          <w:szCs w:val="21"/>
        </w:rPr>
        <w:t>6</w:t>
      </w:r>
      <w:r>
        <w:rPr>
          <w:b/>
          <w:bCs/>
          <w:szCs w:val="21"/>
        </w:rPr>
        <w:t xml:space="preserve"> </w:t>
      </w:r>
      <w:r>
        <w:rPr>
          <w:rFonts w:hint="eastAsia"/>
          <w:b/>
          <w:bCs/>
          <w:szCs w:val="21"/>
        </w:rPr>
        <w:t xml:space="preserve"> </w:t>
      </w:r>
      <w:r>
        <w:rPr>
          <w:rFonts w:hint="eastAsia"/>
          <w:bCs/>
          <w:szCs w:val="21"/>
        </w:rPr>
        <w:t>受技术经济原因限制的楼盖高度可采用非模数；</w:t>
      </w:r>
    </w:p>
    <w:p>
      <w:pPr>
        <w:spacing w:line="240" w:lineRule="auto"/>
        <w:ind w:firstLine="421" w:firstLineChars="200"/>
        <w:rPr>
          <w:bCs/>
          <w:szCs w:val="21"/>
        </w:rPr>
      </w:pPr>
      <w:r>
        <w:rPr>
          <w:rFonts w:hint="eastAsia"/>
          <w:b/>
          <w:bCs/>
          <w:szCs w:val="21"/>
        </w:rPr>
        <w:t>7</w:t>
      </w:r>
      <w:r>
        <w:rPr>
          <w:b/>
          <w:bCs/>
          <w:szCs w:val="21"/>
        </w:rPr>
        <w:t xml:space="preserve"> </w:t>
      </w:r>
      <w:r>
        <w:rPr>
          <w:rFonts w:hint="eastAsia"/>
          <w:b/>
          <w:bCs/>
          <w:szCs w:val="21"/>
        </w:rPr>
        <w:t xml:space="preserve"> </w:t>
      </w:r>
      <w:r>
        <w:rPr>
          <w:rFonts w:hint="eastAsia"/>
          <w:bCs/>
          <w:szCs w:val="21"/>
        </w:rPr>
        <w:t>专用体系的特殊作法与要求，可采用非模数。</w:t>
      </w:r>
    </w:p>
    <w:p>
      <w:pPr>
        <w:pStyle w:val="4"/>
        <w:spacing w:before="240" w:after="240" w:line="240" w:lineRule="auto"/>
        <w:jc w:val="center"/>
        <w:rPr>
          <w:rFonts w:ascii="Times New Roman" w:hAnsi="Times New Roman"/>
          <w:sz w:val="21"/>
          <w:szCs w:val="21"/>
        </w:rPr>
      </w:pPr>
      <w:bookmarkStart w:id="100" w:name="_Toc118314495"/>
      <w:bookmarkStart w:id="101" w:name="_Toc118357491"/>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标准化设计</w:t>
      </w:r>
      <w:bookmarkEnd w:id="100"/>
      <w:bookmarkEnd w:id="101"/>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标准化设计包括：楼栋标准化、套型标准化及部品标准化。钢结构装配式住宅通过标准化设计，实现技术转型创新，为工业化建造创造先决条件。</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钢结构装配式住宅建筑的平面应规整和符合工业化特点，采用定型化、系列化原则，宜采用标准化套型设计，可以减少部件部品的类型，降低生产安装的难度，有利于经济的合理性。</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3</w:t>
      </w:r>
      <w:r>
        <w:rPr>
          <w:b/>
          <w:bCs/>
          <w:szCs w:val="21"/>
        </w:rPr>
        <w:t xml:space="preserve"> </w:t>
      </w:r>
      <w:r>
        <w:rPr>
          <w:rFonts w:hint="eastAsia"/>
          <w:bCs/>
          <w:szCs w:val="21"/>
        </w:rPr>
        <w:t>住宅的单元或套型的楼梯间、厨房、卫生间等功能区应采用模块化设计方法，住宅套内用水空间宜集中布置，合理确定厨房和卫生间的位置，并结合功能和管线要求宜选择整体厨房和整体卫浴等模块化部品，提高部品部件的通用性。</w:t>
      </w:r>
    </w:p>
    <w:p>
      <w:pPr>
        <w:spacing w:line="240" w:lineRule="auto"/>
        <w:rPr>
          <w:bCs/>
          <w:szCs w:val="21"/>
        </w:rPr>
      </w:pPr>
      <w:r>
        <w:rPr>
          <w:rFonts w:hint="eastAsia"/>
          <w:bCs/>
          <w:szCs w:val="21"/>
        </w:rPr>
        <w:t>住宅共用管线和公共立管布置应集中紧凑，宜设置在共用空间部位的模块空间中；设计可采用户型模块化或单元模块化设计方法，模块之间的组合形式可灵活多样。</w:t>
      </w:r>
    </w:p>
    <w:p>
      <w:pPr>
        <w:pStyle w:val="4"/>
        <w:spacing w:before="240" w:after="240" w:line="240" w:lineRule="auto"/>
        <w:jc w:val="center"/>
        <w:rPr>
          <w:rFonts w:ascii="Times New Roman" w:hAnsi="Times New Roman"/>
          <w:sz w:val="21"/>
          <w:szCs w:val="21"/>
        </w:rPr>
      </w:pPr>
      <w:bookmarkStart w:id="102" w:name="_Toc118357492"/>
      <w:bookmarkStart w:id="103" w:name="_Toc118314496"/>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协 同 设 计</w:t>
      </w:r>
      <w:bookmarkEnd w:id="102"/>
      <w:bookmarkEnd w:id="103"/>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协同设计的基础是模数与模数协调、标准化设计及通用化接口，并且各专业设计在策划阶段、方案设计、初步设计、施工图设计及详图设计阶段等不同设计阶段均应在BM平台上进行。</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2</w:t>
      </w:r>
      <w:r>
        <w:rPr>
          <w:b/>
          <w:bCs/>
          <w:szCs w:val="21"/>
        </w:rPr>
        <w:t xml:space="preserve"> </w:t>
      </w:r>
      <w:r>
        <w:rPr>
          <w:rFonts w:hint="eastAsia"/>
          <w:b/>
          <w:bCs/>
          <w:szCs w:val="21"/>
        </w:rPr>
        <w:t xml:space="preserve"> </w:t>
      </w:r>
      <w:r>
        <w:rPr>
          <w:rFonts w:hint="eastAsia"/>
          <w:bCs/>
          <w:szCs w:val="21"/>
        </w:rPr>
        <w:t>钢结构装配式住宅建筑应以工业化生产建造方式为原则，做好建筑设计、部（构）件部品生产运输、装配施工、运营维护等产业链各阶段的设计协同，将有利于设计、施工建造的相互衔接，保障生产效率和工程质量。</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从实践来看，部件部品节点接口标准化的途径是指应按照统一协调的标准进行节点接口设计，做到位置固定、链接合理。确保部件部品的可建造性是设计阶段的主要任务，也是设计与其他建设流程之间协调的关键。部件部品的设计必须依据技术节点接口标准化原则，其模数与规格应满足通用化和多样性的要求，与整个系统配套、协调，确保部品吊装就位和装配成型。</w:t>
      </w:r>
    </w:p>
    <w:p>
      <w:pPr>
        <w:pStyle w:val="4"/>
        <w:spacing w:before="240" w:after="240" w:line="240" w:lineRule="auto"/>
        <w:jc w:val="center"/>
        <w:rPr>
          <w:rFonts w:ascii="Times New Roman" w:hAnsi="Times New Roman"/>
          <w:sz w:val="21"/>
          <w:szCs w:val="21"/>
        </w:rPr>
      </w:pPr>
      <w:bookmarkStart w:id="104" w:name="_Toc118314497"/>
      <w:bookmarkStart w:id="105" w:name="_Toc118357493"/>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5 </w:t>
      </w:r>
      <w:r>
        <w:rPr>
          <w:rFonts w:hint="eastAsia" w:ascii="黑体" w:hAnsi="黑体" w:eastAsia="黑体"/>
          <w:b w:val="0"/>
          <w:sz w:val="21"/>
          <w:szCs w:val="21"/>
        </w:rPr>
        <w:t xml:space="preserve"> 集 成 设 计</w:t>
      </w:r>
      <w:bookmarkEnd w:id="104"/>
      <w:bookmarkEnd w:id="105"/>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钢结构装配式住宅建筑是一个系统工程，创新发展推动产业优化、集成技术先进的钢结构装配式住宅建筑的现代化建筑体系是推动发展方式转变的紧迫要求。</w:t>
      </w:r>
    </w:p>
    <w:p>
      <w:pPr>
        <w:spacing w:line="240" w:lineRule="auto"/>
        <w:ind w:firstLine="420" w:firstLineChars="200"/>
        <w:rPr>
          <w:bCs/>
          <w:szCs w:val="21"/>
        </w:rPr>
      </w:pPr>
      <w:r>
        <w:rPr>
          <w:rFonts w:hint="eastAsia"/>
          <w:bCs/>
          <w:szCs w:val="21"/>
        </w:rPr>
        <w:t>本标准从建筑的系统集成的设计建造出发，钢结构装配式住宅建筑的结构系统是由结构构件通过可靠的连接方式装配而成，用以承受或传递荷载作用的部（构）件的整体；外围护系统是由建筑外墙、屋面、外门窗及其他部品部件等组合而成，用于分隔住宅建筑室内外环境的部品的整体；设备与管线系统是由给水排水、供暖通风空调、电气和智能化、燃气等设备与管线组合而成，满足住宅建筑使用功能的部品的整体；内装系统是由楼地面、墙面、轻质隔墙、吊顶、内门窗、厨房和卫生间等组合而成，满足住宅建筑空间使用要求的内装部品的整体功能。</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钢结构装配式住宅建筑的全装修和内装系统是推动我国建筑产业现代化发展的方向，工业化生产的住宅内装部品集成装配建造方式，如整体卫浴、整体厨房、整体收纳等集成式设备及管线等单元模块化部品或集成化部品。</w:t>
      </w:r>
    </w:p>
    <w:p>
      <w:pPr>
        <w:spacing w:line="240" w:lineRule="auto"/>
        <w:ind w:firstLine="420" w:firstLineChars="200"/>
        <w:rPr>
          <w:bCs/>
          <w:szCs w:val="21"/>
        </w:rPr>
      </w:pPr>
      <w:r>
        <w:rPr>
          <w:rFonts w:hint="eastAsia"/>
          <w:bCs/>
          <w:szCs w:val="21"/>
        </w:rPr>
        <w:t>解决好钢结构装配式住宅建筑外围护结构问题既是保证建筑最终实现建筑工业化的基础工作，也是满足钢结构住宅产业化的必要条件。外围护系统对外观效果、防火、防水、保温隔热等有较高要求，是建筑体系的一项关键构成部分及重要集成技术。</w:t>
      </w:r>
    </w:p>
    <w:p>
      <w:pPr>
        <w:pStyle w:val="4"/>
        <w:spacing w:before="240" w:after="240" w:line="240" w:lineRule="auto"/>
        <w:jc w:val="center"/>
        <w:rPr>
          <w:rFonts w:ascii="Times New Roman" w:hAnsi="Times New Roman"/>
          <w:sz w:val="21"/>
          <w:szCs w:val="21"/>
        </w:rPr>
      </w:pPr>
      <w:bookmarkStart w:id="106" w:name="_Toc118357494"/>
      <w:bookmarkStart w:id="107" w:name="_Toc118314498"/>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6  </w:t>
      </w:r>
      <w:r>
        <w:rPr>
          <w:rFonts w:hint="eastAsia" w:ascii="黑体" w:hAnsi="黑体" w:eastAsia="黑体"/>
          <w:b w:val="0"/>
          <w:sz w:val="21"/>
          <w:szCs w:val="21"/>
        </w:rPr>
        <w:t>可持续设计</w:t>
      </w:r>
      <w:bookmarkEnd w:id="106"/>
      <w:bookmarkEnd w:id="107"/>
    </w:p>
    <w:p>
      <w:pPr>
        <w:spacing w:line="240" w:lineRule="auto"/>
        <w:ind w:firstLine="420" w:firstLineChars="200"/>
        <w:rPr>
          <w:bCs/>
          <w:szCs w:val="21"/>
        </w:rPr>
      </w:pPr>
      <w:r>
        <w:rPr>
          <w:rFonts w:hint="eastAsia"/>
          <w:bCs/>
          <w:szCs w:val="21"/>
        </w:rPr>
        <w:t>可持续建筑的理念是追求降低环境负荷，与环境相接合，且有利于居住者健康。其目的在于减少能耗、节约用水、减少污染、保护环境、保护生态、保护健康、提高生产力、有利于子孙后代。</w:t>
      </w:r>
    </w:p>
    <w:p>
      <w:pPr>
        <w:spacing w:line="240" w:lineRule="auto"/>
        <w:ind w:firstLine="420" w:firstLineChars="200"/>
        <w:rPr>
          <w:bCs/>
          <w:szCs w:val="21"/>
        </w:rPr>
      </w:pPr>
      <w:r>
        <w:rPr>
          <w:rFonts w:hint="eastAsia"/>
          <w:bCs/>
          <w:szCs w:val="21"/>
        </w:rPr>
        <w:t>实现绿色可持续发展，需要观念和技术上的不断创新和发展，设计水平的不断提高，以及全社会的参与。与以往的传统建筑相比较，可持续发展的建筑设计更注重于事先考虑对环境的尊重与适应，如考虑如何更高效地使用可再生资源，减少不可再生资源的使用，同时营造出更舒适的居住和工作空间。这就要求设计师要基于高效使用资源和保护自然生态环境的原则进行设计，而不仅仅是满足功能和美观的要求。</w:t>
      </w:r>
    </w:p>
    <w:p>
      <w:pPr>
        <w:pStyle w:val="4"/>
        <w:spacing w:before="240" w:after="240" w:line="240" w:lineRule="auto"/>
        <w:jc w:val="center"/>
        <w:rPr>
          <w:rFonts w:ascii="Times New Roman" w:hAnsi="Times New Roman"/>
          <w:sz w:val="21"/>
          <w:szCs w:val="21"/>
        </w:rPr>
      </w:pPr>
      <w:bookmarkStart w:id="108" w:name="_Toc118357495"/>
      <w:bookmarkStart w:id="109" w:name="_Toc118314499"/>
      <w:r>
        <w:rPr>
          <w:rFonts w:hint="eastAsia" w:ascii="Times New Roman" w:hAnsi="Times New Roman"/>
          <w:sz w:val="21"/>
          <w:szCs w:val="21"/>
        </w:rPr>
        <w:t>4</w:t>
      </w:r>
      <w:r>
        <w:rPr>
          <w:rFonts w:hint="eastAsia" w:ascii="宋体" w:hAnsi="宋体"/>
          <w:sz w:val="21"/>
          <w:szCs w:val="21"/>
        </w:rPr>
        <w:t>.</w:t>
      </w:r>
      <w:r>
        <w:rPr>
          <w:rFonts w:hint="eastAsia" w:ascii="Times New Roman" w:hAnsi="Times New Roman"/>
          <w:sz w:val="21"/>
          <w:szCs w:val="21"/>
        </w:rPr>
        <w:t xml:space="preserve">7  </w:t>
      </w:r>
      <w:r>
        <w:rPr>
          <w:rFonts w:hint="eastAsia" w:ascii="黑体" w:hAnsi="黑体" w:eastAsia="黑体"/>
          <w:b w:val="0"/>
          <w:sz w:val="21"/>
          <w:szCs w:val="21"/>
        </w:rPr>
        <w:t>平面、立面与空间</w:t>
      </w:r>
      <w:bookmarkEnd w:id="108"/>
      <w:bookmarkEnd w:id="109"/>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1~4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在钢结构装配式住宅建筑中，户型设计是建筑系统集成设计的基础，应充分结合、利用钢结构优势，宜将柱网设置在外墙和分户墙上，户内无柱，大空间灵活分隔；通过模数化、模块化、部品化、序列化，实现了户型的多样化。</w:t>
      </w:r>
    </w:p>
    <w:p>
      <w:pPr>
        <w:spacing w:line="240" w:lineRule="auto"/>
        <w:ind w:firstLine="420" w:firstLineChars="200"/>
        <w:rPr>
          <w:bCs/>
          <w:szCs w:val="21"/>
        </w:rPr>
      </w:pPr>
      <w:r>
        <w:rPr>
          <w:rFonts w:hint="eastAsia"/>
          <w:bCs/>
          <w:szCs w:val="21"/>
        </w:rPr>
        <w:t>钢结构装配式住宅平面宜简单规整，平面凹凸过多不仅不利于钢结构受力体系和施工建造，也不利于节能环保；平面设计既要考虑结构特点，还要满足居住空间可变性。</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3 </w:t>
      </w:r>
      <w:r>
        <w:rPr>
          <w:bCs/>
          <w:szCs w:val="21"/>
        </w:rPr>
        <w:t xml:space="preserve"> </w:t>
      </w:r>
      <w:r>
        <w:rPr>
          <w:rFonts w:hint="eastAsia"/>
          <w:bCs/>
          <w:szCs w:val="21"/>
        </w:rPr>
        <w:t>含装修在内的楼盖技术层总厚度为h，一般钢结构装配式住宅当h≤250mm时，层高不宜小于2</w:t>
      </w:r>
      <w:r>
        <w:rPr>
          <w:rFonts w:hint="eastAsia" w:ascii="宋体" w:hAnsi="宋体"/>
          <w:bCs/>
          <w:szCs w:val="21"/>
        </w:rPr>
        <w:t>.</w:t>
      </w:r>
      <w:r>
        <w:rPr>
          <w:rFonts w:hint="eastAsia"/>
          <w:bCs/>
          <w:szCs w:val="21"/>
        </w:rPr>
        <w:t>8m；当250&lt;h≤350mm时，层高不宜小于2</w:t>
      </w:r>
      <w:r>
        <w:rPr>
          <w:rFonts w:hint="eastAsia" w:ascii="宋体" w:hAnsi="宋体"/>
          <w:bCs/>
          <w:szCs w:val="21"/>
        </w:rPr>
        <w:t>.</w:t>
      </w:r>
      <w:r>
        <w:rPr>
          <w:rFonts w:hint="eastAsia"/>
          <w:bCs/>
          <w:szCs w:val="21"/>
        </w:rPr>
        <w:t>9m；h&gt;350mm时，层高不宜小于3</w:t>
      </w:r>
      <w:r>
        <w:rPr>
          <w:rFonts w:hint="eastAsia" w:ascii="宋体" w:hAnsi="宋体"/>
          <w:bCs/>
          <w:szCs w:val="21"/>
        </w:rPr>
        <w:t>.</w:t>
      </w:r>
      <w:r>
        <w:rPr>
          <w:rFonts w:hint="eastAsia"/>
          <w:bCs/>
          <w:szCs w:val="21"/>
        </w:rPr>
        <w:t>0m。</w:t>
      </w:r>
    </w:p>
    <w:p>
      <w:pPr>
        <w:spacing w:line="240" w:lineRule="auto"/>
        <w:rPr>
          <w:bCs/>
          <w:szCs w:val="21"/>
        </w:rPr>
      </w:pPr>
      <w:r>
        <w:rPr>
          <w:rFonts w:hint="eastAsia"/>
          <w:b/>
          <w:bCs/>
          <w:szCs w:val="21"/>
        </w:rPr>
        <w:t>4</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建筑立面设计中可以通过建筑体量、材质肌理、色彩等变化，形成丰富多样的立面效果。</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10" w:name="_Toc118357496"/>
      <w:bookmarkStart w:id="111" w:name="_Toc118314500"/>
      <w:r>
        <w:rPr>
          <w:rFonts w:hint="eastAsia"/>
          <w:sz w:val="28"/>
          <w:szCs w:val="21"/>
        </w:rPr>
        <w:t xml:space="preserve">5  </w:t>
      </w:r>
      <w:r>
        <w:rPr>
          <w:rFonts w:hint="eastAsia" w:ascii="宋体" w:hAnsi="宋体"/>
          <w:b/>
          <w:bCs/>
          <w:sz w:val="28"/>
          <w:szCs w:val="21"/>
        </w:rPr>
        <w:t>结 构 设 计</w:t>
      </w:r>
      <w:bookmarkEnd w:id="110"/>
      <w:bookmarkEnd w:id="111"/>
    </w:p>
    <w:p>
      <w:pPr>
        <w:pStyle w:val="4"/>
        <w:spacing w:before="240" w:after="240" w:line="240" w:lineRule="auto"/>
        <w:jc w:val="center"/>
        <w:rPr>
          <w:rFonts w:ascii="Times New Roman" w:hAnsi="Times New Roman"/>
          <w:sz w:val="21"/>
          <w:szCs w:val="21"/>
        </w:rPr>
      </w:pPr>
      <w:bookmarkStart w:id="112" w:name="_Toc118314501"/>
      <w:bookmarkStart w:id="113" w:name="_Toc118357497"/>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设 计 要 求</w:t>
      </w:r>
      <w:bookmarkEnd w:id="112"/>
      <w:bookmarkEnd w:id="113"/>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根据国家标准《建筑抗震设计规范》GB</w:t>
      </w:r>
      <w:r>
        <w:rPr>
          <w:bCs/>
          <w:szCs w:val="21"/>
        </w:rPr>
        <w:t xml:space="preserve"> </w:t>
      </w:r>
      <w:r>
        <w:rPr>
          <w:rFonts w:hint="eastAsia"/>
          <w:bCs/>
          <w:szCs w:val="21"/>
        </w:rPr>
        <w:t>50011-2010中8</w:t>
      </w:r>
      <w:r>
        <w:rPr>
          <w:rFonts w:hint="eastAsia" w:ascii="宋体" w:hAnsi="宋体"/>
          <w:bCs/>
          <w:szCs w:val="21"/>
        </w:rPr>
        <w:t>.</w:t>
      </w:r>
      <w:r>
        <w:rPr>
          <w:rFonts w:hint="eastAsia"/>
          <w:bCs/>
          <w:szCs w:val="21"/>
        </w:rPr>
        <w:t>1</w:t>
      </w:r>
      <w:r>
        <w:rPr>
          <w:rFonts w:hint="eastAsia" w:ascii="宋体" w:hAnsi="宋体"/>
          <w:bCs/>
          <w:szCs w:val="21"/>
        </w:rPr>
        <w:t>.</w:t>
      </w:r>
      <w:r>
        <w:rPr>
          <w:rFonts w:hint="eastAsia"/>
          <w:bCs/>
          <w:szCs w:val="21"/>
        </w:rPr>
        <w:t>3条确定钢结构的抗震等级，可按广东省标准《高层建筑钢-混凝土混合结构技术规程》DBJ/T</w:t>
      </w:r>
      <w:r>
        <w:rPr>
          <w:bCs/>
          <w:szCs w:val="21"/>
        </w:rPr>
        <w:t xml:space="preserve"> </w:t>
      </w:r>
      <w:r>
        <w:rPr>
          <w:rFonts w:hint="eastAsia"/>
          <w:bCs/>
          <w:szCs w:val="21"/>
        </w:rPr>
        <w:t>15-128-2017中 4</w:t>
      </w:r>
      <w:r>
        <w:rPr>
          <w:rFonts w:hint="eastAsia" w:ascii="宋体" w:hAnsi="宋体"/>
          <w:bCs/>
          <w:szCs w:val="21"/>
        </w:rPr>
        <w:t>.</w:t>
      </w:r>
      <w:r>
        <w:rPr>
          <w:rFonts w:hint="eastAsia"/>
          <w:bCs/>
          <w:szCs w:val="21"/>
        </w:rPr>
        <w:t>8</w:t>
      </w:r>
      <w:r>
        <w:rPr>
          <w:rFonts w:hint="eastAsia" w:ascii="宋体" w:hAnsi="宋体"/>
          <w:bCs/>
          <w:szCs w:val="21"/>
        </w:rPr>
        <w:t>.</w:t>
      </w:r>
      <w:r>
        <w:rPr>
          <w:rFonts w:hint="eastAsia"/>
          <w:bCs/>
          <w:szCs w:val="21"/>
        </w:rPr>
        <w:t>6条的有关规定执行，并做适当调整，确定钢框架-混凝土核心筒结构、钢框架-混凝土外筒结构和钢框架-混凝土剪力墙结构的抗震等级，其它结构体系的抗震等级可按其它相应的规范确定。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5</w:t>
      </w:r>
      <w:r>
        <w:rPr>
          <w:b/>
          <w:bCs/>
          <w:szCs w:val="21"/>
        </w:rPr>
        <w:t xml:space="preserve"> </w:t>
      </w:r>
      <w:r>
        <w:rPr>
          <w:rFonts w:hint="eastAsia"/>
          <w:b/>
          <w:bCs/>
          <w:szCs w:val="21"/>
        </w:rPr>
        <w:t xml:space="preserve"> </w:t>
      </w:r>
      <w:r>
        <w:rPr>
          <w:rFonts w:hint="eastAsia"/>
          <w:bCs/>
          <w:szCs w:val="21"/>
        </w:rPr>
        <w:t>当结构平面凹凸不规则程度较大、立面体型复杂时，风荷载体型系数及最大风振加速度难以按简化方法计算，故宜采用风洞试验确定风荷载，包括风作用的时程。</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6</w:t>
      </w:r>
      <w:r>
        <w:rPr>
          <w:rFonts w:hint="eastAsia"/>
          <w:bCs/>
          <w:szCs w:val="21"/>
        </w:rPr>
        <w:t xml:space="preserve"> </w:t>
      </w:r>
      <w:r>
        <w:rPr>
          <w:bCs/>
          <w:szCs w:val="21"/>
        </w:rPr>
        <w:t xml:space="preserve"> </w:t>
      </w:r>
      <w:r>
        <w:rPr>
          <w:rFonts w:hint="eastAsia"/>
          <w:bCs/>
          <w:szCs w:val="21"/>
        </w:rPr>
        <w:t>广东省标准《钢结构设计规程》DBJ</w:t>
      </w:r>
      <w:r>
        <w:rPr>
          <w:bCs/>
          <w:szCs w:val="21"/>
        </w:rPr>
        <w:t xml:space="preserve"> </w:t>
      </w:r>
      <w:r>
        <w:rPr>
          <w:rFonts w:hint="eastAsia"/>
          <w:bCs/>
          <w:szCs w:val="21"/>
        </w:rPr>
        <w:t>15-102-2014中 6</w:t>
      </w:r>
      <w:r>
        <w:rPr>
          <w:rFonts w:hint="eastAsia" w:ascii="宋体" w:hAnsi="宋体"/>
          <w:bCs/>
          <w:szCs w:val="21"/>
        </w:rPr>
        <w:t>.</w:t>
      </w:r>
      <w:r>
        <w:rPr>
          <w:rFonts w:hint="eastAsia"/>
          <w:bCs/>
          <w:szCs w:val="21"/>
        </w:rPr>
        <w:t>1</w:t>
      </w:r>
      <w:r>
        <w:rPr>
          <w:rFonts w:hint="eastAsia" w:ascii="宋体" w:hAnsi="宋体"/>
          <w:bCs/>
          <w:szCs w:val="21"/>
        </w:rPr>
        <w:t>.</w:t>
      </w:r>
      <w:r>
        <w:rPr>
          <w:rFonts w:hint="eastAsia"/>
          <w:bCs/>
          <w:szCs w:val="21"/>
        </w:rPr>
        <w:t>5条，广东省地处沿海地区，风荷载较大，对于超高层全钢结构，风荷载起控制作用，风荷载作用下对高度或高宽比超过A类高层建筑钢结构分析与试验提出更高要求。</w:t>
      </w:r>
    </w:p>
    <w:p>
      <w:pPr>
        <w:spacing w:line="240" w:lineRule="auto"/>
        <w:ind w:firstLine="420" w:firstLineChars="200"/>
        <w:rPr>
          <w:bCs/>
          <w:szCs w:val="21"/>
        </w:rPr>
      </w:pPr>
      <w:r>
        <w:rPr>
          <w:rFonts w:hint="eastAsia"/>
          <w:bCs/>
          <w:szCs w:val="21"/>
        </w:rPr>
        <w:t>高层建筑在风洞试验之前，应明确哪些数据是设计必要的；典型的风洞试验类型包括：围护结构测压试验、主体结构测力试验、居住舒适性、安全性气弹振动试验以及风环境试验。</w:t>
      </w:r>
    </w:p>
    <w:p>
      <w:pPr>
        <w:spacing w:line="240" w:lineRule="auto"/>
        <w:ind w:firstLine="420" w:firstLineChars="200"/>
        <w:rPr>
          <w:bCs/>
          <w:szCs w:val="21"/>
        </w:rPr>
      </w:pPr>
      <w:r>
        <w:rPr>
          <w:rFonts w:hint="eastAsia"/>
          <w:bCs/>
          <w:szCs w:val="21"/>
        </w:rPr>
        <w:t>风压系数平均值用于主体结构风荷载计算，风压系数峰值用于计算围护结构风荷载计算；等效静风荷载的计算用于结构在顶部最大位移和最大层间位移，脉动风力用于计算结构风振响应及顶部最大加速度；高层建筑气弹振动试验多采用锁定模型(锁定振型以一阶平动振型近似代表)，旋转角可表示为建筑顶部位移与建筑高度比值；通过风速与旋转角关系、风速与加速度关系评估强风时是否会出现共振现象；各风向的风速比判断建造前后或采取防风措施后风环境是否会出现恶化现象或改善状况。</w:t>
      </w:r>
    </w:p>
    <w:p>
      <w:pPr>
        <w:spacing w:line="240" w:lineRule="auto"/>
        <w:ind w:firstLine="421" w:firstLineChars="200"/>
        <w:rPr>
          <w:bCs/>
          <w:szCs w:val="21"/>
        </w:rPr>
      </w:pPr>
      <w:r>
        <w:rPr>
          <w:b/>
          <w:bCs/>
          <w:szCs w:val="21"/>
        </w:rPr>
        <w:t>5</w:t>
      </w:r>
      <w:r>
        <w:rPr>
          <w:bCs/>
          <w:szCs w:val="21"/>
        </w:rPr>
        <w:t xml:space="preserve">  </w:t>
      </w:r>
      <w:r>
        <w:rPr>
          <w:rFonts w:hint="eastAsia"/>
          <w:bCs/>
          <w:szCs w:val="21"/>
        </w:rPr>
        <w:t>当肢体较窄长（长宽比大于或等于5）、体型较复杂或建筑物质量中心与弹性刚度中心严重不重合时，应进行专项研究和气动弹性风洞测试，抗风设计应满足正常使用状态的要求。</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7</w:t>
      </w:r>
      <w:r>
        <w:rPr>
          <w:b/>
          <w:bCs/>
          <w:szCs w:val="21"/>
        </w:rPr>
        <w:t xml:space="preserve"> </w:t>
      </w:r>
      <w:r>
        <w:rPr>
          <w:rFonts w:hint="eastAsia"/>
          <w:b/>
          <w:bCs/>
          <w:szCs w:val="21"/>
        </w:rPr>
        <w:t xml:space="preserve"> </w:t>
      </w:r>
      <w:r>
        <w:rPr>
          <w:rFonts w:hint="eastAsia"/>
          <w:bCs/>
          <w:szCs w:val="21"/>
        </w:rPr>
        <w:t>钢构件应力比的限值确定时，考虑了相应钢构件的重要性。</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8</w:t>
      </w:r>
      <w:r>
        <w:rPr>
          <w:b/>
          <w:bCs/>
          <w:szCs w:val="21"/>
        </w:rPr>
        <w:t xml:space="preserve"> </w:t>
      </w:r>
      <w:r>
        <w:rPr>
          <w:rFonts w:hint="eastAsia"/>
          <w:b/>
          <w:bCs/>
          <w:szCs w:val="21"/>
        </w:rPr>
        <w:t xml:space="preserve"> </w:t>
      </w:r>
      <w:r>
        <w:rPr>
          <w:rFonts w:hint="eastAsia"/>
          <w:bCs/>
          <w:szCs w:val="21"/>
        </w:rPr>
        <w:t>根据广东省标准《高层建筑钢-混凝土混合结构技术规程》DBJ/T</w:t>
      </w:r>
      <w:r>
        <w:rPr>
          <w:bCs/>
          <w:szCs w:val="21"/>
        </w:rPr>
        <w:t xml:space="preserve"> </w:t>
      </w:r>
      <w:r>
        <w:rPr>
          <w:rFonts w:hint="eastAsia"/>
          <w:bCs/>
          <w:szCs w:val="21"/>
        </w:rPr>
        <w:t>15-128-2017中 7</w:t>
      </w:r>
      <w:r>
        <w:rPr>
          <w:rFonts w:hint="eastAsia" w:ascii="宋体" w:hAnsi="宋体"/>
          <w:bCs/>
          <w:szCs w:val="21"/>
        </w:rPr>
        <w:t>.</w:t>
      </w:r>
      <w:r>
        <w:rPr>
          <w:rFonts w:hint="eastAsia"/>
          <w:bCs/>
          <w:szCs w:val="21"/>
        </w:rPr>
        <w:t>7</w:t>
      </w:r>
      <w:r>
        <w:rPr>
          <w:rFonts w:hint="eastAsia" w:ascii="宋体" w:hAnsi="宋体"/>
          <w:bCs/>
          <w:szCs w:val="21"/>
        </w:rPr>
        <w:t>.</w:t>
      </w:r>
      <w:r>
        <w:rPr>
          <w:rFonts w:hint="eastAsia"/>
          <w:bCs/>
          <w:szCs w:val="21"/>
        </w:rPr>
        <w:t xml:space="preserve">6条确定矩形钢管混凝土柱轴压比，其它截面形式钢管混凝土柱可按相应的规范执行。 </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9</w:t>
      </w:r>
      <w:r>
        <w:rPr>
          <w:b/>
          <w:bCs/>
          <w:szCs w:val="21"/>
        </w:rPr>
        <w:t xml:space="preserve"> </w:t>
      </w:r>
      <w:r>
        <w:rPr>
          <w:rFonts w:hint="eastAsia"/>
          <w:b/>
          <w:bCs/>
          <w:szCs w:val="21"/>
        </w:rPr>
        <w:t xml:space="preserve"> </w:t>
      </w:r>
      <w:r>
        <w:rPr>
          <w:rFonts w:hint="eastAsia"/>
          <w:bCs/>
          <w:szCs w:val="21"/>
        </w:rPr>
        <w:t>广东省标准《高层建筑钢-混凝土混合结构技术规程》DBJ/T</w:t>
      </w:r>
      <w:r>
        <w:rPr>
          <w:bCs/>
          <w:szCs w:val="21"/>
        </w:rPr>
        <w:t xml:space="preserve"> </w:t>
      </w:r>
      <w:r>
        <w:rPr>
          <w:rFonts w:hint="eastAsia"/>
          <w:bCs/>
          <w:szCs w:val="21"/>
        </w:rPr>
        <w:t>15-128-2017中 4</w:t>
      </w:r>
      <w:r>
        <w:rPr>
          <w:rFonts w:hint="eastAsia" w:ascii="宋体" w:hAnsi="宋体"/>
          <w:bCs/>
          <w:szCs w:val="21"/>
        </w:rPr>
        <w:t>.</w:t>
      </w:r>
      <w:r>
        <w:rPr>
          <w:rFonts w:hint="eastAsia"/>
          <w:bCs/>
          <w:szCs w:val="21"/>
        </w:rPr>
        <w:t>6</w:t>
      </w:r>
      <w:r>
        <w:rPr>
          <w:rFonts w:hint="eastAsia" w:ascii="宋体" w:hAnsi="宋体"/>
          <w:bCs/>
          <w:szCs w:val="21"/>
        </w:rPr>
        <w:t>.</w:t>
      </w:r>
      <w:r>
        <w:rPr>
          <w:rFonts w:hint="eastAsia"/>
          <w:bCs/>
          <w:szCs w:val="21"/>
        </w:rPr>
        <w:t>3条第3款，对偏钢的高层建筑风荷载及多遇地震标准值作用下层间位移角不宜大于1/350；广东省标准《钢结构设计规程》DBJ</w:t>
      </w:r>
      <w:r>
        <w:rPr>
          <w:bCs/>
          <w:szCs w:val="21"/>
        </w:rPr>
        <w:t xml:space="preserve"> </w:t>
      </w:r>
      <w:r>
        <w:rPr>
          <w:rFonts w:hint="eastAsia"/>
          <w:bCs/>
          <w:szCs w:val="21"/>
        </w:rPr>
        <w:t>15-102-2014中 6</w:t>
      </w:r>
      <w:r>
        <w:rPr>
          <w:rFonts w:hint="eastAsia" w:ascii="宋体" w:hAnsi="宋体"/>
          <w:bCs/>
          <w:szCs w:val="21"/>
        </w:rPr>
        <w:t>.</w:t>
      </w:r>
      <w:r>
        <w:rPr>
          <w:rFonts w:hint="eastAsia"/>
          <w:bCs/>
          <w:szCs w:val="21"/>
        </w:rPr>
        <w:t>1</w:t>
      </w:r>
      <w:r>
        <w:rPr>
          <w:rFonts w:hint="eastAsia" w:ascii="宋体" w:hAnsi="宋体"/>
          <w:bCs/>
          <w:szCs w:val="21"/>
        </w:rPr>
        <w:t>.</w:t>
      </w:r>
      <w:r>
        <w:rPr>
          <w:rFonts w:hint="eastAsia"/>
          <w:bCs/>
          <w:szCs w:val="21"/>
        </w:rPr>
        <w:t>5条第6款，风荷载作用下，层间相对位移不应大于层高的1/400；浙江省工程建设标准《高层钢结构住宅设计规范》DB33/T</w:t>
      </w:r>
      <w:r>
        <w:rPr>
          <w:bCs/>
          <w:szCs w:val="21"/>
        </w:rPr>
        <w:t xml:space="preserve"> </w:t>
      </w:r>
      <w:r>
        <w:rPr>
          <w:rFonts w:hint="eastAsia"/>
          <w:bCs/>
          <w:szCs w:val="21"/>
        </w:rPr>
        <w:t>1133-2017中7</w:t>
      </w:r>
      <w:r>
        <w:rPr>
          <w:rFonts w:hint="eastAsia" w:ascii="宋体" w:hAnsi="宋体"/>
          <w:b/>
          <w:bCs/>
          <w:szCs w:val="21"/>
        </w:rPr>
        <w:t>.</w:t>
      </w:r>
      <w:r>
        <w:rPr>
          <w:rFonts w:hint="eastAsia"/>
          <w:bCs/>
          <w:szCs w:val="21"/>
        </w:rPr>
        <w:t>2</w:t>
      </w:r>
      <w:r>
        <w:rPr>
          <w:rFonts w:hint="eastAsia" w:ascii="宋体" w:hAnsi="宋体"/>
          <w:b/>
          <w:bCs/>
          <w:szCs w:val="21"/>
        </w:rPr>
        <w:t>.</w:t>
      </w:r>
      <w:r>
        <w:rPr>
          <w:rFonts w:hint="eastAsia"/>
          <w:bCs/>
          <w:szCs w:val="21"/>
        </w:rPr>
        <w:t>1钢管混凝土框架与钢框架-支撑结构在风荷载作用下，最大层间位移角不大于1/350；2011年香港钢结构作业守则要求，在“风荷载作用下，顶点位移不应大于H/500、层间相对位移不应大于1/400；除非有充分的依据，不得超出上述限值”。我国的《高层民用建筑钢结构技术规程》JGJ</w:t>
      </w:r>
      <w:r>
        <w:rPr>
          <w:bCs/>
          <w:szCs w:val="21"/>
        </w:rPr>
        <w:t xml:space="preserve"> </w:t>
      </w:r>
      <w:r>
        <w:rPr>
          <w:rFonts w:hint="eastAsia"/>
          <w:bCs/>
          <w:szCs w:val="21"/>
        </w:rPr>
        <w:t>99也有相同的规定；上海《高层建筑钢结构技术规程》DGT 08-32-2008根据非结构构件及其与主体结构的连接情况，限制在1/200∽1/300。考虑到风荷载作用下层间相对位移的限制主要是保证结构构件和非结构材料不开裂，钢结构住宅的围护结构对水平变形和舒适度有更大的需求，结合上述各规范的规定及广东省标准《高层建筑混凝土结构技术规程》 DBJ/T</w:t>
      </w:r>
      <w:r>
        <w:rPr>
          <w:bCs/>
          <w:szCs w:val="21"/>
        </w:rPr>
        <w:t xml:space="preserve"> </w:t>
      </w:r>
      <w:r>
        <w:rPr>
          <w:rFonts w:hint="eastAsia"/>
          <w:bCs/>
          <w:szCs w:val="21"/>
        </w:rPr>
        <w:t>15-92-2021关于层间位移控制与结构类型和高度无关的理念及限值，确定结构层间位移与顶点位移的控制标准。</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10</w:t>
      </w:r>
      <w:r>
        <w:rPr>
          <w:b/>
          <w:bCs/>
          <w:szCs w:val="21"/>
        </w:rPr>
        <w:t xml:space="preserve"> </w:t>
      </w:r>
      <w:r>
        <w:rPr>
          <w:rFonts w:hint="eastAsia"/>
          <w:b/>
          <w:bCs/>
          <w:szCs w:val="21"/>
        </w:rPr>
        <w:t xml:space="preserve"> </w:t>
      </w:r>
      <w:r>
        <w:rPr>
          <w:rFonts w:hint="eastAsia"/>
          <w:bCs/>
          <w:szCs w:val="21"/>
        </w:rPr>
        <w:t>根据国家标准《建筑抗震设计规范》GB</w:t>
      </w:r>
      <w:r>
        <w:rPr>
          <w:bCs/>
          <w:szCs w:val="21"/>
        </w:rPr>
        <w:t xml:space="preserve"> </w:t>
      </w:r>
      <w:r>
        <w:rPr>
          <w:rFonts w:hint="eastAsia"/>
          <w:bCs/>
          <w:szCs w:val="21"/>
        </w:rPr>
        <w:t>50011-2010中5</w:t>
      </w:r>
      <w:r>
        <w:rPr>
          <w:rFonts w:hint="eastAsia" w:ascii="宋体" w:hAnsi="宋体"/>
          <w:bCs/>
          <w:szCs w:val="21"/>
        </w:rPr>
        <w:t>.</w:t>
      </w:r>
      <w:r>
        <w:rPr>
          <w:rFonts w:hint="eastAsia"/>
          <w:bCs/>
          <w:szCs w:val="21"/>
        </w:rPr>
        <w:t>5</w:t>
      </w:r>
      <w:r>
        <w:rPr>
          <w:rFonts w:hint="eastAsia" w:ascii="宋体" w:hAnsi="宋体"/>
          <w:bCs/>
          <w:szCs w:val="21"/>
        </w:rPr>
        <w:t>.</w:t>
      </w:r>
      <w:r>
        <w:rPr>
          <w:rFonts w:hint="eastAsia"/>
          <w:bCs/>
          <w:szCs w:val="21"/>
        </w:rPr>
        <w:t>5条，确定在罕遇地震作用下弹塑性层间位移角限值。</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11</w:t>
      </w:r>
      <w:r>
        <w:rPr>
          <w:b/>
          <w:bCs/>
          <w:szCs w:val="21"/>
        </w:rPr>
        <w:t xml:space="preserve"> </w:t>
      </w:r>
      <w:r>
        <w:rPr>
          <w:rFonts w:hint="eastAsia"/>
          <w:bCs/>
          <w:szCs w:val="21"/>
        </w:rPr>
        <w:t xml:space="preserve"> 根据国家标准《钢结构设计标准》GB</w:t>
      </w:r>
      <w:r>
        <w:rPr>
          <w:bCs/>
          <w:szCs w:val="21"/>
        </w:rPr>
        <w:t xml:space="preserve"> </w:t>
      </w:r>
      <w:r>
        <w:rPr>
          <w:rFonts w:hint="eastAsia"/>
          <w:bCs/>
          <w:szCs w:val="21"/>
        </w:rPr>
        <w:t>50017-2016中附录B，确定钢梁变形容许值。</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12</w:t>
      </w:r>
      <w:r>
        <w:rPr>
          <w:rFonts w:hint="eastAsia"/>
          <w:bCs/>
          <w:szCs w:val="21"/>
        </w:rPr>
        <w:t xml:space="preserve"> </w:t>
      </w:r>
      <w:r>
        <w:rPr>
          <w:bCs/>
          <w:szCs w:val="21"/>
        </w:rPr>
        <w:t xml:space="preserve"> </w:t>
      </w:r>
      <w:r>
        <w:rPr>
          <w:rFonts w:hint="eastAsia"/>
          <w:bCs/>
          <w:szCs w:val="21"/>
        </w:rPr>
        <w:t>根据广东省标准《高层建筑风振舒适度评价标准及控制技术规程》DBJ/T</w:t>
      </w:r>
      <w:r>
        <w:rPr>
          <w:bCs/>
          <w:szCs w:val="21"/>
        </w:rPr>
        <w:t xml:space="preserve"> </w:t>
      </w:r>
      <w:r>
        <w:rPr>
          <w:rFonts w:hint="eastAsia"/>
          <w:bCs/>
          <w:szCs w:val="21"/>
        </w:rPr>
        <w:t>15 -216-2021中4</w:t>
      </w:r>
      <w:r>
        <w:rPr>
          <w:rFonts w:hint="eastAsia" w:ascii="宋体" w:hAnsi="宋体"/>
          <w:bCs/>
          <w:szCs w:val="21"/>
        </w:rPr>
        <w:t>.</w:t>
      </w:r>
      <w:r>
        <w:rPr>
          <w:rFonts w:hint="eastAsia"/>
          <w:bCs/>
          <w:szCs w:val="21"/>
        </w:rPr>
        <w:t>2</w:t>
      </w:r>
      <w:r>
        <w:rPr>
          <w:rFonts w:hint="eastAsia" w:ascii="宋体" w:hAnsi="宋体"/>
          <w:bCs/>
          <w:szCs w:val="21"/>
        </w:rPr>
        <w:t>.</w:t>
      </w:r>
      <w:r>
        <w:rPr>
          <w:rFonts w:hint="eastAsia"/>
          <w:bCs/>
          <w:szCs w:val="21"/>
        </w:rPr>
        <w:t>2条，并简化起见，仅控制10年重现期风压作用下最大风振加速度。</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13</w:t>
      </w:r>
      <w:r>
        <w:rPr>
          <w:rFonts w:hint="eastAsia"/>
          <w:bCs/>
          <w:szCs w:val="21"/>
        </w:rPr>
        <w:t xml:space="preserve"> </w:t>
      </w:r>
      <w:r>
        <w:rPr>
          <w:bCs/>
          <w:szCs w:val="21"/>
        </w:rPr>
        <w:t xml:space="preserve"> </w:t>
      </w:r>
      <w:r>
        <w:rPr>
          <w:rFonts w:hint="eastAsia"/>
          <w:bCs/>
          <w:szCs w:val="21"/>
        </w:rPr>
        <w:t>住宅楼盖的第一阶竖向自振频率不宜小于4Hz,在行走激励下竖向振动峰值加速度不宜大于0</w:t>
      </w:r>
      <w:r>
        <w:rPr>
          <w:rFonts w:hint="eastAsia" w:ascii="宋体" w:hAnsi="宋体"/>
          <w:b/>
          <w:bCs/>
          <w:szCs w:val="21"/>
        </w:rPr>
        <w:t>.</w:t>
      </w:r>
      <w:r>
        <w:rPr>
          <w:rFonts w:hint="eastAsia"/>
          <w:bCs/>
          <w:szCs w:val="21"/>
        </w:rPr>
        <w:t>05</w:t>
      </w:r>
      <w:r>
        <w:rPr>
          <w:rFonts w:ascii="宋体" w:hAnsi="宋体"/>
          <w:bCs/>
        </w:rPr>
        <w:t>m/s</w:t>
      </w:r>
      <w:r>
        <w:rPr>
          <w:rFonts w:ascii="宋体" w:hAnsi="宋体"/>
          <w:bCs/>
          <w:vertAlign w:val="superscript"/>
        </w:rPr>
        <w:t>2</w:t>
      </w:r>
      <w:r>
        <w:rPr>
          <w:rFonts w:hint="eastAsia"/>
          <w:bCs/>
          <w:szCs w:val="21"/>
        </w:rPr>
        <w:t>。</w:t>
      </w:r>
    </w:p>
    <w:p>
      <w:pPr>
        <w:spacing w:line="240" w:lineRule="auto"/>
        <w:ind w:firstLine="420" w:firstLineChars="200"/>
        <w:rPr>
          <w:bCs/>
          <w:szCs w:val="21"/>
        </w:rPr>
      </w:pPr>
      <w:r>
        <w:rPr>
          <w:rFonts w:hint="eastAsia"/>
          <w:bCs/>
          <w:szCs w:val="21"/>
        </w:rPr>
        <w:t>深圳市工程建设标准《高层建筑结构技术规程》SJG 98-2021中3</w:t>
      </w:r>
      <w:r>
        <w:rPr>
          <w:rFonts w:hint="eastAsia" w:ascii="宋体" w:hAnsi="宋体"/>
          <w:b/>
          <w:bCs/>
          <w:szCs w:val="21"/>
        </w:rPr>
        <w:t>.</w:t>
      </w:r>
      <w:r>
        <w:rPr>
          <w:rFonts w:hint="eastAsia"/>
          <w:bCs/>
          <w:szCs w:val="21"/>
        </w:rPr>
        <w:t>7</w:t>
      </w:r>
      <w:r>
        <w:rPr>
          <w:rFonts w:hint="eastAsia" w:ascii="宋体" w:hAnsi="宋体"/>
          <w:b/>
          <w:bCs/>
          <w:szCs w:val="21"/>
        </w:rPr>
        <w:t>.</w:t>
      </w:r>
      <w:r>
        <w:rPr>
          <w:rFonts w:hint="eastAsia"/>
          <w:bCs/>
          <w:szCs w:val="21"/>
        </w:rPr>
        <w:t>6款要求，楼盖结构的竖向自振频率不宜小于3</w:t>
      </w:r>
      <w:r>
        <w:rPr>
          <w:rFonts w:hint="eastAsia" w:ascii="宋体" w:hAnsi="宋体"/>
          <w:b/>
          <w:bCs/>
          <w:szCs w:val="21"/>
        </w:rPr>
        <w:t>.</w:t>
      </w:r>
      <w:r>
        <w:rPr>
          <w:rFonts w:hint="eastAsia"/>
          <w:bCs/>
          <w:szCs w:val="21"/>
        </w:rPr>
        <w:t>0Hz。考虑到住宅舒适度从严的要求及钢梁楼盖的特点，控制住宅楼盖的第一阶竖向自振频率不宜小于4Hz，行走激励下竖向振动峰值加速度不宜大于0</w:t>
      </w:r>
      <w:r>
        <w:rPr>
          <w:rFonts w:hint="eastAsia" w:ascii="宋体" w:hAnsi="宋体"/>
          <w:b/>
          <w:bCs/>
          <w:szCs w:val="21"/>
        </w:rPr>
        <w:t>.</w:t>
      </w:r>
      <w:r>
        <w:rPr>
          <w:rFonts w:hint="eastAsia"/>
          <w:bCs/>
          <w:szCs w:val="21"/>
        </w:rPr>
        <w:t>05</w:t>
      </w:r>
      <w:r>
        <w:rPr>
          <w:rFonts w:ascii="宋体" w:hAnsi="宋体"/>
          <w:bCs/>
        </w:rPr>
        <w:t xml:space="preserve"> m/s</w:t>
      </w:r>
      <w:r>
        <w:rPr>
          <w:rFonts w:ascii="宋体" w:hAnsi="宋体"/>
          <w:bCs/>
          <w:vertAlign w:val="superscript"/>
        </w:rPr>
        <w:t>2</w:t>
      </w:r>
      <w:r>
        <w:rPr>
          <w:rFonts w:hint="eastAsia"/>
          <w:bCs/>
          <w:szCs w:val="21"/>
        </w:rPr>
        <w:t>。</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14 </w:t>
      </w:r>
      <w:r>
        <w:rPr>
          <w:b/>
          <w:bCs/>
          <w:szCs w:val="21"/>
        </w:rPr>
        <w:t xml:space="preserve"> </w:t>
      </w:r>
      <w:r>
        <w:rPr>
          <w:rFonts w:hint="eastAsia"/>
          <w:bCs/>
          <w:szCs w:val="21"/>
        </w:rPr>
        <w:t>根据国家标准《建筑设计防火规范》GB</w:t>
      </w:r>
      <w:r>
        <w:rPr>
          <w:bCs/>
          <w:szCs w:val="21"/>
        </w:rPr>
        <w:t xml:space="preserve"> </w:t>
      </w:r>
      <w:r>
        <w:rPr>
          <w:rFonts w:hint="eastAsia"/>
          <w:bCs/>
          <w:szCs w:val="21"/>
        </w:rPr>
        <w:t>50016的有关规定确定建筑的耐火等级与钢结构构件的设计耐火极限。住宅建筑高度大于27m的是高层住宅；小于等于54m的高层住宅是二类建筑，高度大于54m的高层住宅是一类建筑。一类建筑高层住宅的耐火等级不应低于一级；二类高层住宅的耐火等级不应低于二级。</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15 </w:t>
      </w:r>
      <w:r>
        <w:rPr>
          <w:b/>
          <w:bCs/>
          <w:szCs w:val="21"/>
        </w:rPr>
        <w:t xml:space="preserve"> </w:t>
      </w:r>
      <w:r>
        <w:rPr>
          <w:rFonts w:hint="eastAsia"/>
          <w:bCs/>
          <w:szCs w:val="21"/>
        </w:rPr>
        <w:t>根据国家行业标准《建筑钢结构防腐蚀技术规程》JGJ/T</w:t>
      </w:r>
      <w:r>
        <w:rPr>
          <w:bCs/>
          <w:szCs w:val="21"/>
        </w:rPr>
        <w:t xml:space="preserve"> </w:t>
      </w:r>
      <w:r>
        <w:rPr>
          <w:rFonts w:hint="eastAsia"/>
          <w:bCs/>
          <w:szCs w:val="21"/>
        </w:rPr>
        <w:t>251的有关规定，结合钢结构住宅使用期间难以重新涂装的情况，并考虑现有材料与施工等技术水平，确定防腐保护层的设计使用年限。</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16 </w:t>
      </w:r>
      <w:r>
        <w:rPr>
          <w:b/>
          <w:bCs/>
          <w:szCs w:val="21"/>
        </w:rPr>
        <w:t xml:space="preserve"> </w:t>
      </w:r>
      <w:r>
        <w:rPr>
          <w:rFonts w:hint="eastAsia"/>
          <w:bCs/>
          <w:szCs w:val="21"/>
        </w:rPr>
        <w:t>根据国家标准《混凝土结构设计规范》GB</w:t>
      </w:r>
      <w:r>
        <w:rPr>
          <w:bCs/>
          <w:szCs w:val="21"/>
        </w:rPr>
        <w:t xml:space="preserve"> </w:t>
      </w:r>
      <w:r>
        <w:rPr>
          <w:rFonts w:hint="eastAsia"/>
          <w:bCs/>
          <w:szCs w:val="21"/>
        </w:rPr>
        <w:t>50010-2010中3</w:t>
      </w:r>
      <w:r>
        <w:rPr>
          <w:rFonts w:hint="eastAsia" w:ascii="宋体" w:hAnsi="宋体"/>
          <w:b/>
          <w:bCs/>
          <w:szCs w:val="21"/>
        </w:rPr>
        <w:t>.</w:t>
      </w:r>
      <w:r>
        <w:rPr>
          <w:rFonts w:hint="eastAsia"/>
          <w:bCs/>
          <w:szCs w:val="21"/>
        </w:rPr>
        <w:t>4</w:t>
      </w:r>
      <w:r>
        <w:rPr>
          <w:rFonts w:hint="eastAsia" w:ascii="宋体" w:hAnsi="宋体"/>
          <w:b/>
          <w:bCs/>
          <w:szCs w:val="21"/>
        </w:rPr>
        <w:t>.</w:t>
      </w:r>
      <w:r>
        <w:rPr>
          <w:rFonts w:hint="eastAsia"/>
          <w:bCs/>
          <w:szCs w:val="21"/>
        </w:rPr>
        <w:t>5条，按较严的标准确定混凝土临水面的裂缝宽度限值。</w:t>
      </w:r>
    </w:p>
    <w:p>
      <w:pPr>
        <w:pStyle w:val="4"/>
        <w:spacing w:before="240" w:after="240" w:line="240" w:lineRule="auto"/>
        <w:jc w:val="center"/>
        <w:rPr>
          <w:rFonts w:ascii="Times New Roman" w:hAnsi="Times New Roman"/>
          <w:sz w:val="21"/>
          <w:szCs w:val="21"/>
        </w:rPr>
      </w:pPr>
      <w:bookmarkStart w:id="114" w:name="_Toc118357498"/>
      <w:bookmarkStart w:id="115" w:name="_Toc118314502"/>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结 构 体 系</w:t>
      </w:r>
      <w:bookmarkEnd w:id="114"/>
      <w:bookmarkEnd w:id="115"/>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w:t>
      </w:r>
      <w:r>
        <w:rPr>
          <w:rFonts w:hint="eastAsia"/>
          <w:bCs/>
          <w:szCs w:val="21"/>
        </w:rPr>
        <w:t xml:space="preserve"> </w:t>
      </w:r>
      <w:r>
        <w:rPr>
          <w:bCs/>
          <w:szCs w:val="21"/>
        </w:rPr>
        <w:t xml:space="preserve"> </w:t>
      </w:r>
      <w:r>
        <w:rPr>
          <w:rFonts w:hint="eastAsia"/>
          <w:bCs/>
          <w:szCs w:val="21"/>
        </w:rPr>
        <w:t>参考目前高层钢结构及钢结构住宅行业及地方标准，并做适当补充。</w:t>
      </w:r>
    </w:p>
    <w:p>
      <w:pPr>
        <w:spacing w:line="240" w:lineRule="auto"/>
        <w:ind w:firstLine="421" w:firstLineChars="200"/>
        <w:rPr>
          <w:bCs/>
          <w:szCs w:val="21"/>
        </w:rPr>
      </w:pPr>
      <w:r>
        <w:rPr>
          <w:rFonts w:hint="eastAsia"/>
          <w:b/>
          <w:bCs/>
          <w:szCs w:val="21"/>
        </w:rPr>
        <w:t xml:space="preserve">4 </w:t>
      </w:r>
      <w:r>
        <w:rPr>
          <w:b/>
          <w:bCs/>
          <w:szCs w:val="21"/>
        </w:rPr>
        <w:t xml:space="preserve"> </w:t>
      </w:r>
      <w:r>
        <w:rPr>
          <w:rFonts w:hint="eastAsia"/>
          <w:bCs/>
          <w:szCs w:val="21"/>
        </w:rPr>
        <w:t>钢框架-混凝土外筒结构，当钢筋混凝土核心外筒剪力墙长度大于10m时，应采取可靠的防裂措施。当钢筋混凝土核心外筒的抗侧刚度与抗剪承载力较大时，钢框架中框架柱或部分框架柱可设计为只承受垂直力作用的重力柱。</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2</w:t>
      </w:r>
      <w:r>
        <w:rPr>
          <w:rFonts w:hint="eastAsia"/>
          <w:bCs/>
          <w:szCs w:val="21"/>
        </w:rPr>
        <w:t xml:space="preserve"> </w:t>
      </w:r>
      <w:r>
        <w:rPr>
          <w:bCs/>
          <w:szCs w:val="21"/>
        </w:rPr>
        <w:t xml:space="preserve"> </w:t>
      </w:r>
      <w:r>
        <w:rPr>
          <w:rFonts w:hint="eastAsia"/>
          <w:bCs/>
          <w:szCs w:val="21"/>
        </w:rPr>
        <w:t>参考了广东省标准《高层建筑钢-混凝土混合结构技术规程》DBJ/T</w:t>
      </w:r>
      <w:r>
        <w:rPr>
          <w:bCs/>
          <w:szCs w:val="21"/>
        </w:rPr>
        <w:t xml:space="preserve"> </w:t>
      </w:r>
      <w:r>
        <w:rPr>
          <w:rFonts w:hint="eastAsia"/>
          <w:bCs/>
          <w:szCs w:val="21"/>
        </w:rPr>
        <w:t>15-128-2017与天津市工程建设标准《天津市钢结构住宅设计规程》DB/T</w:t>
      </w:r>
      <w:r>
        <w:rPr>
          <w:bCs/>
          <w:szCs w:val="21"/>
        </w:rPr>
        <w:t xml:space="preserve"> </w:t>
      </w:r>
      <w:r>
        <w:rPr>
          <w:rFonts w:hint="eastAsia"/>
          <w:bCs/>
          <w:szCs w:val="21"/>
        </w:rPr>
        <w:t>29-57-2016，并作适当调整，确定各结构体系的适应高度与适宜高宽比。表5</w:t>
      </w:r>
      <w:r>
        <w:rPr>
          <w:bCs/>
          <w:szCs w:val="21"/>
        </w:rPr>
        <w:t>.3.2</w:t>
      </w:r>
      <w:r>
        <w:rPr>
          <w:rFonts w:hint="eastAsia"/>
          <w:bCs/>
          <w:szCs w:val="21"/>
        </w:rPr>
        <w:t>中内容仅针对深圳基本抗震设防烈度为7度的区域，若基本抗震设防烈度不同，则应作相应调整。</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当钢框架结构框架柱存在较大剪力及弯矩时，钢框架结构的截面较大，不经济。</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5</w:t>
      </w:r>
      <w:r>
        <w:rPr>
          <w:b/>
          <w:bCs/>
          <w:szCs w:val="21"/>
        </w:rPr>
        <w:t xml:space="preserve"> </w:t>
      </w:r>
      <w:r>
        <w:rPr>
          <w:rFonts w:hint="eastAsia"/>
          <w:b/>
          <w:bCs/>
          <w:szCs w:val="21"/>
        </w:rPr>
        <w:t xml:space="preserve"> </w:t>
      </w:r>
      <w:r>
        <w:rPr>
          <w:rFonts w:hint="eastAsia"/>
          <w:bCs/>
          <w:szCs w:val="21"/>
        </w:rPr>
        <w:t>当结构设计为风振舒适度控制时，结构的质量与阻尼比为其敏感因素，故宜采用钢框架-混凝土核心筒结构。</w:t>
      </w:r>
    </w:p>
    <w:p>
      <w:pPr>
        <w:pStyle w:val="4"/>
        <w:spacing w:before="240" w:after="240" w:line="240" w:lineRule="auto"/>
        <w:jc w:val="center"/>
        <w:rPr>
          <w:rFonts w:ascii="Times New Roman" w:hAnsi="Times New Roman"/>
          <w:b w:val="0"/>
          <w:sz w:val="21"/>
          <w:szCs w:val="21"/>
        </w:rPr>
      </w:pPr>
      <w:bookmarkStart w:id="116" w:name="_Toc118314503"/>
      <w:bookmarkStart w:id="117" w:name="_Toc118357499"/>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结 构 布 置</w:t>
      </w:r>
      <w:bookmarkEnd w:id="116"/>
      <w:bookmarkEnd w:id="117"/>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结构布置的安全性要求参考《高层民用建筑钢结构技术规程》JGJ 99中3</w:t>
      </w:r>
      <w:r>
        <w:rPr>
          <w:rFonts w:hint="eastAsia" w:ascii="宋体" w:hAnsi="宋体"/>
          <w:b/>
          <w:bCs/>
          <w:szCs w:val="21"/>
        </w:rPr>
        <w:t>.</w:t>
      </w:r>
      <w:r>
        <w:rPr>
          <w:rFonts w:hint="eastAsia"/>
          <w:bCs/>
          <w:szCs w:val="21"/>
        </w:rPr>
        <w:t>1</w:t>
      </w:r>
      <w:r>
        <w:rPr>
          <w:rFonts w:hint="eastAsia" w:ascii="宋体" w:hAnsi="宋体"/>
          <w:b/>
          <w:bCs/>
          <w:szCs w:val="21"/>
        </w:rPr>
        <w:t>.</w:t>
      </w:r>
      <w:r>
        <w:rPr>
          <w:rFonts w:hint="eastAsia"/>
          <w:bCs/>
          <w:szCs w:val="21"/>
        </w:rPr>
        <w:t>3~3</w:t>
      </w:r>
      <w:r>
        <w:rPr>
          <w:rFonts w:hint="eastAsia" w:ascii="宋体" w:hAnsi="宋体"/>
          <w:b/>
          <w:bCs/>
          <w:szCs w:val="21"/>
        </w:rPr>
        <w:t>.</w:t>
      </w:r>
      <w:r>
        <w:rPr>
          <w:rFonts w:hint="eastAsia"/>
          <w:bCs/>
          <w:szCs w:val="21"/>
        </w:rPr>
        <w:t>1</w:t>
      </w:r>
      <w:r>
        <w:rPr>
          <w:rFonts w:hint="eastAsia" w:ascii="宋体" w:hAnsi="宋体"/>
          <w:b/>
          <w:bCs/>
          <w:szCs w:val="21"/>
        </w:rPr>
        <w:t>.</w:t>
      </w:r>
      <w:r>
        <w:rPr>
          <w:rFonts w:hint="eastAsia"/>
          <w:bCs/>
          <w:szCs w:val="21"/>
        </w:rPr>
        <w:t>5条。</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b/>
          <w:bCs/>
          <w:szCs w:val="21"/>
        </w:rPr>
        <w:t xml:space="preserve"> </w:t>
      </w:r>
      <w:r>
        <w:rPr>
          <w:rFonts w:hint="eastAsia"/>
          <w:bCs/>
          <w:szCs w:val="21"/>
        </w:rPr>
        <w:t>钢结构住宅伸缩缝设置规定参考了天津市工程建设标准《天津市钢结构住宅设计规程》DB/T</w:t>
      </w:r>
      <w:r>
        <w:rPr>
          <w:bCs/>
          <w:szCs w:val="21"/>
        </w:rPr>
        <w:t xml:space="preserve"> </w:t>
      </w:r>
      <w:r>
        <w:rPr>
          <w:rFonts w:hint="eastAsia"/>
          <w:bCs/>
          <w:szCs w:val="21"/>
        </w:rPr>
        <w:t>29-57-2016中5</w:t>
      </w:r>
      <w:r>
        <w:rPr>
          <w:rFonts w:hint="eastAsia" w:ascii="宋体" w:hAnsi="宋体"/>
          <w:b/>
          <w:bCs/>
          <w:szCs w:val="21"/>
        </w:rPr>
        <w:t>.</w:t>
      </w:r>
      <w:r>
        <w:rPr>
          <w:rFonts w:hint="eastAsia"/>
          <w:bCs/>
          <w:szCs w:val="21"/>
        </w:rPr>
        <w:t>4</w:t>
      </w:r>
      <w:r>
        <w:rPr>
          <w:rFonts w:hint="eastAsia" w:ascii="宋体" w:hAnsi="宋体"/>
          <w:b/>
          <w:bCs/>
          <w:szCs w:val="21"/>
        </w:rPr>
        <w:t>.</w:t>
      </w:r>
      <w:r>
        <w:rPr>
          <w:rFonts w:hint="eastAsia"/>
          <w:bCs/>
          <w:szCs w:val="21"/>
        </w:rPr>
        <w:t>6的规定。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6</w:t>
      </w:r>
      <w:r>
        <w:rPr>
          <w:b/>
          <w:bCs/>
          <w:szCs w:val="21"/>
        </w:rPr>
        <w:t xml:space="preserve"> </w:t>
      </w:r>
      <w:r>
        <w:rPr>
          <w:rFonts w:hint="eastAsia"/>
          <w:b/>
          <w:bCs/>
          <w:szCs w:val="21"/>
        </w:rPr>
        <w:t xml:space="preserve"> </w:t>
      </w:r>
      <w:r>
        <w:rPr>
          <w:rFonts w:hint="eastAsia"/>
          <w:bCs/>
          <w:szCs w:val="21"/>
        </w:rPr>
        <w:t>钢框架结构布置要求参考了浙江省工程建设标准《高层钢结构住宅设计规范》DB</w:t>
      </w:r>
      <w:r>
        <w:rPr>
          <w:bCs/>
          <w:szCs w:val="21"/>
        </w:rPr>
        <w:t xml:space="preserve"> </w:t>
      </w:r>
      <w:r>
        <w:rPr>
          <w:rFonts w:hint="eastAsia"/>
          <w:bCs/>
          <w:szCs w:val="21"/>
        </w:rPr>
        <w:t>33/T1133-2017中8</w:t>
      </w:r>
      <w:r>
        <w:rPr>
          <w:rFonts w:hint="eastAsia" w:ascii="宋体" w:hAnsi="宋体"/>
          <w:b/>
          <w:bCs/>
          <w:szCs w:val="21"/>
        </w:rPr>
        <w:t>.</w:t>
      </w:r>
      <w:r>
        <w:rPr>
          <w:rFonts w:hint="eastAsia"/>
          <w:bCs/>
          <w:szCs w:val="21"/>
        </w:rPr>
        <w:t>2</w:t>
      </w:r>
      <w:r>
        <w:rPr>
          <w:rFonts w:hint="eastAsia" w:ascii="宋体" w:hAnsi="宋体"/>
          <w:b/>
          <w:bCs/>
          <w:szCs w:val="21"/>
        </w:rPr>
        <w:t>.</w:t>
      </w:r>
      <w:r>
        <w:rPr>
          <w:rFonts w:hint="eastAsia"/>
          <w:bCs/>
          <w:szCs w:val="21"/>
        </w:rPr>
        <w:t>1的规定，并作了部分增减。</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钢框架-支撑结构布置要求及钢框架结构布置要求参考了浙江省工程建设标准《高层钢结构住宅设计规范》DB33/T</w:t>
      </w:r>
      <w:r>
        <w:rPr>
          <w:bCs/>
          <w:szCs w:val="21"/>
        </w:rPr>
        <w:t xml:space="preserve"> </w:t>
      </w:r>
      <w:r>
        <w:rPr>
          <w:rFonts w:hint="eastAsia"/>
          <w:bCs/>
          <w:szCs w:val="21"/>
        </w:rPr>
        <w:t>1133-2017中8</w:t>
      </w:r>
      <w:r>
        <w:rPr>
          <w:rFonts w:hint="eastAsia" w:ascii="宋体" w:hAnsi="宋体"/>
          <w:b/>
          <w:bCs/>
          <w:szCs w:val="21"/>
        </w:rPr>
        <w:t>.</w:t>
      </w:r>
      <w:r>
        <w:rPr>
          <w:rFonts w:hint="eastAsia"/>
          <w:bCs/>
          <w:szCs w:val="21"/>
        </w:rPr>
        <w:t>2</w:t>
      </w:r>
      <w:r>
        <w:rPr>
          <w:rFonts w:hint="eastAsia" w:ascii="宋体" w:hAnsi="宋体"/>
          <w:b/>
          <w:bCs/>
          <w:szCs w:val="21"/>
        </w:rPr>
        <w:t>.</w:t>
      </w:r>
      <w:r>
        <w:rPr>
          <w:rFonts w:hint="eastAsia"/>
          <w:bCs/>
          <w:szCs w:val="21"/>
        </w:rPr>
        <w:t>2的规定，并作了部分增减。</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8 </w:t>
      </w:r>
      <w:r>
        <w:rPr>
          <w:rFonts w:hint="eastAsia"/>
          <w:bCs/>
          <w:szCs w:val="21"/>
        </w:rPr>
        <w:t xml:space="preserve"> 钢框架-混凝土核心筒结构或混凝土外筒结构、混凝土剪力墙结构、钢板剪力墙结构布置要求参考了天津市工程建设标准《天津市钢结构住宅设计规程》DB/T</w:t>
      </w:r>
      <w:r>
        <w:rPr>
          <w:bCs/>
          <w:szCs w:val="21"/>
        </w:rPr>
        <w:t xml:space="preserve"> </w:t>
      </w:r>
      <w:r>
        <w:rPr>
          <w:rFonts w:hint="eastAsia"/>
          <w:bCs/>
          <w:szCs w:val="21"/>
        </w:rPr>
        <w:t>29-57-2016及浙江省工程建设标准《高层钢结构住宅设计规范》DB33/T</w:t>
      </w:r>
      <w:r>
        <w:rPr>
          <w:bCs/>
          <w:szCs w:val="21"/>
        </w:rPr>
        <w:t xml:space="preserve"> </w:t>
      </w:r>
      <w:r>
        <w:rPr>
          <w:rFonts w:hint="eastAsia"/>
          <w:bCs/>
          <w:szCs w:val="21"/>
        </w:rPr>
        <w:t>1133-2017中相关条文，并作了部分增减。</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9 </w:t>
      </w:r>
      <w:r>
        <w:rPr>
          <w:b/>
          <w:bCs/>
          <w:szCs w:val="21"/>
        </w:rPr>
        <w:t xml:space="preserve"> </w:t>
      </w:r>
      <w:r>
        <w:rPr>
          <w:rFonts w:hint="eastAsia"/>
          <w:bCs/>
          <w:szCs w:val="21"/>
        </w:rPr>
        <w:t>减少现场焊接量，利于装配化施工的目标。</w:t>
      </w:r>
    </w:p>
    <w:p>
      <w:pPr>
        <w:pStyle w:val="4"/>
        <w:spacing w:before="240" w:after="240" w:line="240" w:lineRule="auto"/>
        <w:jc w:val="center"/>
        <w:rPr>
          <w:rFonts w:ascii="Times New Roman" w:hAnsi="Times New Roman"/>
          <w:sz w:val="21"/>
          <w:szCs w:val="21"/>
        </w:rPr>
      </w:pPr>
      <w:bookmarkStart w:id="118" w:name="_Toc118357500"/>
      <w:bookmarkStart w:id="119" w:name="_Toc118314504"/>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5  </w:t>
      </w:r>
      <w:r>
        <w:rPr>
          <w:rFonts w:hint="eastAsia" w:ascii="黑体" w:hAnsi="黑体" w:eastAsia="黑体"/>
          <w:b w:val="0"/>
          <w:sz w:val="21"/>
          <w:szCs w:val="21"/>
        </w:rPr>
        <w:t>结 构 分 析</w:t>
      </w:r>
      <w:bookmarkEnd w:id="118"/>
      <w:bookmarkEnd w:id="119"/>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根据《钢结构设计标准》GB</w:t>
      </w:r>
      <w:r>
        <w:rPr>
          <w:bCs/>
          <w:szCs w:val="21"/>
        </w:rPr>
        <w:t xml:space="preserve"> </w:t>
      </w:r>
      <w:r>
        <w:rPr>
          <w:rFonts w:hint="eastAsia"/>
          <w:bCs/>
          <w:szCs w:val="21"/>
        </w:rPr>
        <w:t>50017中5</w:t>
      </w:r>
      <w:r>
        <w:rPr>
          <w:rFonts w:hint="eastAsia" w:ascii="宋体" w:hAnsi="宋体"/>
          <w:b/>
          <w:bCs/>
          <w:szCs w:val="21"/>
        </w:rPr>
        <w:t>.</w:t>
      </w:r>
      <w:r>
        <w:rPr>
          <w:rFonts w:hint="eastAsia"/>
          <w:bCs/>
          <w:szCs w:val="21"/>
        </w:rPr>
        <w:t>3与5</w:t>
      </w:r>
      <w:r>
        <w:rPr>
          <w:rFonts w:hint="eastAsia" w:ascii="宋体" w:hAnsi="宋体"/>
          <w:b/>
          <w:bCs/>
          <w:szCs w:val="21"/>
        </w:rPr>
        <w:t>.</w:t>
      </w:r>
      <w:r>
        <w:rPr>
          <w:rFonts w:hint="eastAsia"/>
          <w:bCs/>
          <w:szCs w:val="21"/>
        </w:rPr>
        <w:t>4节条文，通过屈曲因子的计算与判断，可选择相应设计方法。但屈曲因子计算较为麻烦，对弯剪型钢结构（如钢框架-支撑结构或钢框架-钢板剪力墙结构）可采用二阶效应增大系数进行判断，并选择相应的设计方法。因为对弯剪型结构，二阶效应的增幅系数K与整体结构最低弹性竖向临界荷载与荷载设计值的比值λ（整体屈曲因子，初始荷载为设计值即1</w:t>
      </w:r>
      <w:r>
        <w:rPr>
          <w:rFonts w:hint="eastAsia" w:ascii="宋体" w:hAnsi="宋体"/>
          <w:b/>
          <w:bCs/>
          <w:szCs w:val="21"/>
        </w:rPr>
        <w:t>.</w:t>
      </w:r>
      <w:r>
        <w:rPr>
          <w:rFonts w:hint="eastAsia"/>
          <w:bCs/>
          <w:szCs w:val="21"/>
        </w:rPr>
        <w:t>3*DL</w:t>
      </w:r>
      <w:r>
        <w:rPr>
          <w:rFonts w:hint="eastAsia"/>
          <w:bCs/>
          <w:szCs w:val="21"/>
          <w:vertAlign w:val="superscript"/>
        </w:rPr>
        <w:t>k</w:t>
      </w:r>
      <w:r>
        <w:rPr>
          <w:rFonts w:hint="eastAsia"/>
          <w:bCs/>
          <w:szCs w:val="21"/>
        </w:rPr>
        <w:t>+1</w:t>
      </w:r>
      <w:r>
        <w:rPr>
          <w:rFonts w:hint="eastAsia" w:ascii="宋体" w:hAnsi="宋体"/>
          <w:b/>
          <w:bCs/>
          <w:szCs w:val="21"/>
        </w:rPr>
        <w:t>.</w:t>
      </w:r>
      <w:r>
        <w:rPr>
          <w:rFonts w:hint="eastAsia"/>
          <w:bCs/>
          <w:szCs w:val="21"/>
        </w:rPr>
        <w:t>5LL</w:t>
      </w:r>
      <w:r>
        <w:rPr>
          <w:rFonts w:hint="eastAsia"/>
          <w:bCs/>
          <w:szCs w:val="21"/>
          <w:vertAlign w:val="superscript"/>
        </w:rPr>
        <w:t>k</w:t>
      </w:r>
      <w:r>
        <w:rPr>
          <w:rFonts w:hint="eastAsia"/>
          <w:bCs/>
          <w:szCs w:val="21"/>
        </w:rPr>
        <w:t>）有如下关系：K=1/(λ-1)。 即二阶效应的增幅系数K小于10%近似等效于整体屈曲因子不小于10的要求。安全起见，按二阶效应增大系数小于8%进行判断。</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3</w:t>
      </w:r>
      <w:r>
        <w:rPr>
          <w:rFonts w:hint="eastAsia"/>
          <w:bCs/>
          <w:szCs w:val="21"/>
        </w:rPr>
        <w:t>等截面框架柱，在框架平面内的计算长度应等于该层柱的高度乘以计算长度系数。当采用一阶弹性分析方法计算内力时，框架柱的计算长度系数应按下列规定确定：</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无支撑框架</w:t>
      </w:r>
    </w:p>
    <w:p>
      <w:pPr>
        <w:spacing w:line="240" w:lineRule="auto"/>
        <w:ind w:firstLine="632" w:firstLineChars="300"/>
        <w:rPr>
          <w:bCs/>
          <w:szCs w:val="21"/>
        </w:rPr>
      </w:pPr>
      <w:r>
        <w:rPr>
          <w:rFonts w:hint="eastAsia"/>
          <w:b/>
          <w:bCs/>
          <w:szCs w:val="21"/>
        </w:rPr>
        <w:t>1</w:t>
      </w:r>
      <w:r>
        <w:rPr>
          <w:rFonts w:hint="eastAsia"/>
          <w:bCs/>
          <w:szCs w:val="21"/>
        </w:rPr>
        <w:t>）纯框架柱的计算长度系数可按下式计算：</w:t>
      </w:r>
    </w:p>
    <w:p>
      <w:pPr>
        <w:wordWrap w:val="0"/>
        <w:ind w:firstLine="480"/>
        <w:jc w:val="right"/>
      </w:pPr>
      <m:oMath>
        <m:r>
          <m:rPr/>
          <w:rPr>
            <w:rFonts w:ascii="Cambria Math" w:hAnsi="Cambria Math"/>
          </w:rPr>
          <m:t>μ=</m:t>
        </m:r>
        <m:rad>
          <m:radPr>
            <m:degHide m:val="true"/>
            <m:ctrlPr>
              <w:rPr>
                <w:rFonts w:ascii="Cambria Math" w:hAnsi="Cambria Math"/>
              </w:rPr>
            </m:ctrlPr>
          </m:radPr>
          <m:deg>
            <m:ctrlPr>
              <w:rPr>
                <w:rFonts w:ascii="Cambria Math" w:hAnsi="Cambria Math"/>
              </w:rPr>
            </m:ctrlPr>
          </m:deg>
          <m:e>
            <m:f>
              <m:fPr>
                <m:ctrlPr>
                  <w:rPr>
                    <w:rFonts w:ascii="Cambria Math" w:hAnsi="Cambria Math"/>
                  </w:rPr>
                </m:ctrlPr>
              </m:fPr>
              <m:num>
                <m:r>
                  <m:rPr/>
                  <w:rPr>
                    <w:rFonts w:ascii="Cambria Math" w:hAnsi="Cambria Math"/>
                  </w:rPr>
                  <m:t>7</m:t>
                </m:r>
                <m:r>
                  <m:rPr>
                    <m:sty m:val="bi"/>
                  </m:rPr>
                  <w:rPr>
                    <w:rFonts w:ascii="Cambria Math" w:hAnsi="Cambria Math"/>
                  </w:rPr>
                  <m:t>.</m:t>
                </m:r>
                <m:r>
                  <m:rPr/>
                  <w:rPr>
                    <w:rFonts w:ascii="Cambria Math" w:hAnsi="Cambria Math"/>
                  </w:rPr>
                  <m:t>5</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1</m:t>
                    </m:r>
                    <m:ctrlPr>
                      <w:rPr>
                        <w:rFonts w:ascii="Cambria Math" w:hAnsi="Cambria Math"/>
                      </w:rPr>
                    </m:ctrlPr>
                  </m:sub>
                </m:sSub>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+4</m:t>
                </m:r>
                <m:r>
                  <m:rPr>
                    <m:nor/>
                    <m:sty m:val="p"/>
                  </m:rPr>
                  <w:rPr>
                    <w:b w:val="0"/>
                    <w:i w:val="0"/>
                  </w:rPr>
                  <m:t>(</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2</m:t>
                    </m:r>
                    <m:ctrlPr>
                      <w:rPr>
                        <w:rFonts w:ascii="Cambria Math" w:hAnsi="Cambria Math"/>
                      </w:rPr>
                    </m:ctrlPr>
                  </m:sub>
                </m:sSub>
                <m:r>
                  <m:rPr>
                    <m:nor/>
                    <m:sty m:val="p"/>
                  </m:rPr>
                  <w:rPr>
                    <w:b w:val="0"/>
                    <w:i w:val="0"/>
                  </w:rPr>
                  <m:t>)</m:t>
                </m:r>
                <m:r>
                  <m:rPr/>
                  <w:rPr>
                    <w:rFonts w:ascii="Cambria Math" w:hAnsi="Cambria Math"/>
                  </w:rPr>
                  <m:t>+1</m:t>
                </m:r>
                <m:r>
                  <m:rPr>
                    <m:sty m:val="bi"/>
                  </m:rPr>
                  <w:rPr>
                    <w:rFonts w:ascii="Cambria Math" w:hAnsi="Cambria Math"/>
                  </w:rPr>
                  <m:t>.</m:t>
                </m:r>
                <m:r>
                  <m:rPr/>
                  <w:rPr>
                    <w:rFonts w:ascii="Cambria Math" w:hAnsi="Cambria Math"/>
                  </w:rPr>
                  <m:t>52</m:t>
                </m:r>
                <m:ctrlPr>
                  <w:rPr>
                    <w:rFonts w:ascii="Cambria Math" w:hAnsi="Cambria Math"/>
                  </w:rPr>
                </m:ctrlPr>
              </m:num>
              <m:den>
                <m:r>
                  <m:rPr/>
                  <w:rPr>
                    <w:rFonts w:ascii="Cambria Math" w:hAnsi="Cambria Math"/>
                  </w:rPr>
                  <m:t>7</m:t>
                </m:r>
                <m:r>
                  <m:rPr>
                    <m:sty m:val="bi"/>
                  </m:rPr>
                  <w:rPr>
                    <w:rFonts w:ascii="Cambria Math" w:hAnsi="Cambria Math"/>
                  </w:rPr>
                  <m:t>.</m:t>
                </m:r>
                <m:r>
                  <m:rPr/>
                  <w:rPr>
                    <w:rFonts w:ascii="Cambria Math" w:hAnsi="Cambria Math"/>
                  </w:rPr>
                  <m:t>5</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1</m:t>
                    </m:r>
                    <m:ctrlPr>
                      <w:rPr>
                        <w:rFonts w:ascii="Cambria Math" w:hAnsi="Cambria Math"/>
                      </w:rPr>
                    </m:ctrlPr>
                  </m:sub>
                </m:sSub>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2</m:t>
                    </m:r>
                    <m:ctrlPr>
                      <w:rPr>
                        <w:rFonts w:ascii="Cambria Math" w:hAnsi="Cambria Math"/>
                      </w:rPr>
                    </m:ctrlPr>
                  </m:sub>
                </m:sSub>
                <m:ctrlPr>
                  <w:rPr>
                    <w:rFonts w:ascii="Cambria Math" w:hAnsi="Cambria Math"/>
                  </w:rPr>
                </m:ctrlPr>
              </m:den>
            </m:f>
            <m:ctrlPr>
              <w:rPr>
                <w:rFonts w:ascii="Cambria Math" w:hAnsi="Cambria Math"/>
              </w:rPr>
            </m:ctrlPr>
          </m:e>
        </m:rad>
      </m:oMath>
      <w:r>
        <w:t xml:space="preserve">                                   </w:t>
      </w:r>
    </w:p>
    <w:p>
      <w:pPr>
        <w:spacing w:line="240" w:lineRule="auto"/>
        <w:ind w:firstLine="945" w:firstLineChars="450"/>
        <w:rPr>
          <w:bCs/>
          <w:szCs w:val="21"/>
        </w:rPr>
      </w:pPr>
      <w:r>
        <w:rPr>
          <w:rFonts w:hint="eastAsia"/>
          <w:bCs/>
          <w:szCs w:val="21"/>
        </w:rPr>
        <w:t>式中： K</w:t>
      </w:r>
      <w:r>
        <w:rPr>
          <w:rFonts w:hint="eastAsia"/>
          <w:bCs/>
          <w:szCs w:val="21"/>
          <w:vertAlign w:val="subscript"/>
        </w:rPr>
        <w:t>1</w:t>
      </w:r>
      <w:r>
        <w:rPr>
          <w:rFonts w:hint="eastAsia"/>
          <w:bCs/>
          <w:szCs w:val="21"/>
        </w:rPr>
        <w:t>、K</w:t>
      </w:r>
      <w:r>
        <w:rPr>
          <w:rFonts w:hint="eastAsia"/>
          <w:bCs/>
          <w:szCs w:val="21"/>
          <w:vertAlign w:val="subscript"/>
        </w:rPr>
        <w:t>2</w:t>
      </w:r>
      <w:r>
        <w:rPr>
          <w:rFonts w:hint="eastAsia"/>
          <w:bCs/>
          <w:szCs w:val="21"/>
        </w:rPr>
        <w:t xml:space="preserve"> —分别为相交于柱上端、柱下端的横梁线刚度之和与柱线刚度之和的比值，K</w:t>
      </w:r>
      <w:r>
        <w:rPr>
          <w:rFonts w:hint="eastAsia"/>
          <w:bCs/>
          <w:szCs w:val="21"/>
          <w:vertAlign w:val="subscript"/>
        </w:rPr>
        <w:t>1</w:t>
      </w:r>
      <w:r>
        <w:rPr>
          <w:rFonts w:hint="eastAsia"/>
          <w:bCs/>
          <w:szCs w:val="21"/>
        </w:rPr>
        <w:t>、K</w:t>
      </w:r>
      <w:r>
        <w:rPr>
          <w:rFonts w:hint="eastAsia"/>
          <w:bCs/>
          <w:szCs w:val="21"/>
          <w:vertAlign w:val="subscript"/>
        </w:rPr>
        <w:t>2</w:t>
      </w:r>
      <w:r>
        <w:rPr>
          <w:rFonts w:hint="eastAsia"/>
          <w:bCs/>
          <w:szCs w:val="21"/>
        </w:rPr>
        <w:t xml:space="preserve"> 应按现行行业标准《高层民用建筑钢结构技术规程》JGJ 99 的 7</w:t>
      </w:r>
      <w:r>
        <w:rPr>
          <w:rFonts w:hint="eastAsia" w:ascii="宋体" w:hAnsi="宋体"/>
          <w:b/>
          <w:bCs/>
          <w:szCs w:val="21"/>
        </w:rPr>
        <w:t>.</w:t>
      </w:r>
      <w:r>
        <w:rPr>
          <w:rFonts w:hint="eastAsia"/>
          <w:bCs/>
          <w:szCs w:val="21"/>
        </w:rPr>
        <w:t>3</w:t>
      </w:r>
      <w:r>
        <w:rPr>
          <w:rFonts w:hint="eastAsia" w:ascii="宋体" w:hAnsi="宋体"/>
          <w:b/>
          <w:bCs/>
          <w:szCs w:val="21"/>
        </w:rPr>
        <w:t>.</w:t>
      </w:r>
      <w:r>
        <w:rPr>
          <w:rFonts w:hint="eastAsia"/>
          <w:bCs/>
          <w:szCs w:val="21"/>
        </w:rPr>
        <w:t>2 条第 3 款进行修正。</w:t>
      </w:r>
    </w:p>
    <w:p>
      <w:pPr>
        <w:spacing w:line="240" w:lineRule="auto"/>
        <w:ind w:firstLine="632" w:firstLineChars="300"/>
        <w:rPr>
          <w:bCs/>
          <w:szCs w:val="21"/>
        </w:rPr>
      </w:pPr>
      <w:r>
        <w:rPr>
          <w:rFonts w:hint="eastAsia"/>
          <w:b/>
          <w:bCs/>
          <w:szCs w:val="21"/>
        </w:rPr>
        <w:t>2</w:t>
      </w:r>
      <w:r>
        <w:rPr>
          <w:rFonts w:hint="eastAsia"/>
          <w:bCs/>
          <w:szCs w:val="21"/>
        </w:rPr>
        <w:t>）纯框架结构中当设有摇摆柱时，摇摆柱自身的计算长度系数取 1</w:t>
      </w:r>
      <w:r>
        <w:rPr>
          <w:rFonts w:hint="eastAsia" w:ascii="宋体" w:hAnsi="宋体"/>
          <w:b/>
          <w:bCs/>
          <w:szCs w:val="21"/>
        </w:rPr>
        <w:t>.</w:t>
      </w:r>
      <w:r>
        <w:rPr>
          <w:rFonts w:hint="eastAsia"/>
          <w:bCs/>
          <w:szCs w:val="21"/>
        </w:rPr>
        <w:t>0，由上式计算得到的框架柱的计算长度系数则应乘以下列放大系数：</w:t>
      </w:r>
    </w:p>
    <w:p>
      <w:pPr>
        <w:wordWrap w:val="0"/>
        <w:spacing w:before="40" w:line="276" w:lineRule="auto"/>
        <w:ind w:left="1926" w:firstLine="500"/>
        <w:jc w:val="right"/>
        <w:rPr>
          <w:szCs w:val="24"/>
        </w:rPr>
      </w:pPr>
      <w:r>
        <w:rPr>
          <w:rFonts w:ascii="Symbol" w:hAnsi="Symbol" w:eastAsia="Symbol" w:cs="Symbol"/>
          <w:sz w:val="25"/>
          <w:szCs w:val="25"/>
        </w:rPr>
        <w:t></w:t>
      </w:r>
      <w:r>
        <w:rPr>
          <w:rFonts w:ascii="Symbol" w:hAnsi="Symbol" w:eastAsia="Symbol" w:cs="Symbol"/>
          <w:spacing w:val="71"/>
          <w:szCs w:val="24"/>
        </w:rPr>
        <w:t></w:t>
      </w:r>
      <w:r>
        <w:rPr>
          <w:rFonts w:ascii="Symbol" w:hAnsi="Symbol" w:eastAsia="Symbol" w:cs="Symbol"/>
          <w:spacing w:val="70"/>
          <w:szCs w:val="24"/>
        </w:rPr>
        <w:t></w:t>
      </w:r>
      <w:r>
        <w:rPr>
          <w:position w:val="-10"/>
          <w:szCs w:val="24"/>
        </w:rPr>
        <w:drawing>
          <wp:inline distT="0" distB="0" distL="0" distR="0">
            <wp:extent cx="947420" cy="219710"/>
            <wp:effectExtent l="0" t="0" r="5080" b="8890"/>
            <wp:docPr id="16" name="IM 166"/>
            <wp:cNvGraphicFramePr/>
            <a:graphic xmlns:a="http://schemas.openxmlformats.org/drawingml/2006/main">
              <a:graphicData uri="http://schemas.openxmlformats.org/drawingml/2006/picture">
                <pic:pic xmlns:pic="http://schemas.openxmlformats.org/drawingml/2006/picture">
                  <pic:nvPicPr>
                    <pic:cNvPr id="16" name="IM 166"/>
                    <pic:cNvPicPr/>
                  </pic:nvPicPr>
                  <pic:blipFill>
                    <a:blip r:embed="rId13"/>
                    <a:stretch>
                      <a:fillRect/>
                    </a:stretch>
                  </pic:blipFill>
                  <pic:spPr>
                    <a:xfrm>
                      <a:off x="0" y="0"/>
                      <a:ext cx="947585" cy="219762"/>
                    </a:xfrm>
                    <a:prstGeom prst="rect">
                      <a:avLst/>
                    </a:prstGeom>
                  </pic:spPr>
                </pic:pic>
              </a:graphicData>
            </a:graphic>
          </wp:inline>
        </w:drawing>
      </w:r>
      <w:r>
        <w:rPr>
          <w:rFonts w:ascii="Symbol" w:hAnsi="Symbol" w:eastAsia="Symbol" w:cs="Symbol"/>
          <w:spacing w:val="70"/>
          <w:szCs w:val="24"/>
        </w:rPr>
        <w:t></w:t>
      </w:r>
    </w:p>
    <w:p>
      <w:pPr>
        <w:spacing w:line="240" w:lineRule="auto"/>
        <w:ind w:firstLine="945" w:firstLineChars="450"/>
        <w:rPr>
          <w:bCs/>
          <w:szCs w:val="21"/>
        </w:rPr>
      </w:pPr>
      <w:r>
        <w:rPr>
          <w:rFonts w:hint="eastAsia"/>
          <w:bCs/>
          <w:szCs w:val="21"/>
        </w:rPr>
        <w:t>式中：</w:t>
      </w:r>
      <w:r>
        <w:rPr>
          <w:sz w:val="24"/>
          <w:szCs w:val="24"/>
        </w:rPr>
        <w:drawing>
          <wp:inline distT="0" distB="0" distL="0" distR="0">
            <wp:extent cx="104140" cy="138430"/>
            <wp:effectExtent l="0" t="0" r="10160" b="13970"/>
            <wp:docPr id="167" name="IM 167"/>
            <wp:cNvGraphicFramePr/>
            <a:graphic xmlns:a="http://schemas.openxmlformats.org/drawingml/2006/main">
              <a:graphicData uri="http://schemas.openxmlformats.org/drawingml/2006/picture">
                <pic:pic xmlns:pic="http://schemas.openxmlformats.org/drawingml/2006/picture">
                  <pic:nvPicPr>
                    <pic:cNvPr id="167" name="IM 167"/>
                    <pic:cNvPicPr/>
                  </pic:nvPicPr>
                  <pic:blipFill>
                    <a:blip r:embed="rId14"/>
                    <a:stretch>
                      <a:fillRect/>
                    </a:stretch>
                  </pic:blipFill>
                  <pic:spPr>
                    <a:xfrm>
                      <a:off x="0" y="0"/>
                      <a:ext cx="104231" cy="138434"/>
                    </a:xfrm>
                    <a:prstGeom prst="rect">
                      <a:avLst/>
                    </a:prstGeom>
                  </pic:spPr>
                </pic:pic>
              </a:graphicData>
            </a:graphic>
          </wp:inline>
        </w:drawing>
      </w:r>
      <w:r>
        <w:rPr>
          <w:rFonts w:hint="eastAsia"/>
          <w:bCs/>
          <w:szCs w:val="21"/>
        </w:rPr>
        <w:t>Pk —为本层所有摇摆柱的轴力之和；</w:t>
      </w:r>
    </w:p>
    <w:p>
      <w:pPr>
        <w:spacing w:line="240" w:lineRule="auto"/>
        <w:ind w:firstLine="945" w:firstLineChars="450"/>
        <w:rPr>
          <w:bCs/>
          <w:szCs w:val="21"/>
        </w:rPr>
      </w:pPr>
      <w:r>
        <w:rPr>
          <w:rFonts w:hint="eastAsia"/>
          <w:bCs/>
          <w:szCs w:val="21"/>
        </w:rPr>
        <w:t xml:space="preserve">  </w:t>
      </w:r>
      <w:r>
        <w:rPr>
          <w:bCs/>
          <w:szCs w:val="21"/>
        </w:rPr>
        <w:t xml:space="preserve">    </w:t>
      </w:r>
      <w:r>
        <w:pict>
          <v:shape id="_x0000_i1025" o:spt="75" type="#_x0000_t75" style="height:11.05pt;width:8.45pt;" filled="f" coordsize="21600,21600">
            <v:path/>
            <v:fill on="f" focussize="0,0"/>
            <v:stroke/>
            <v:imagedata r:id="rId14" o:title=""/>
            <o:lock v:ext="edit" aspectratio="t"/>
            <w10:wrap type="none"/>
            <w10:anchorlock/>
          </v:shape>
        </w:pict>
      </w:r>
      <w:r>
        <w:rPr>
          <w:rFonts w:hint="eastAsia"/>
          <w:bCs/>
          <w:szCs w:val="21"/>
        </w:rPr>
        <w:t>Nj —为本层所有框架柱的轴力之和。</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有支撑框架</w:t>
      </w:r>
    </w:p>
    <w:p>
      <w:pPr>
        <w:spacing w:line="240" w:lineRule="auto"/>
        <w:ind w:firstLine="632" w:firstLineChars="300"/>
        <w:rPr>
          <w:bCs/>
          <w:szCs w:val="21"/>
        </w:rPr>
      </w:pPr>
      <w:r>
        <w:rPr>
          <w:rFonts w:hint="eastAsia"/>
          <w:b/>
          <w:bCs/>
          <w:szCs w:val="21"/>
        </w:rPr>
        <w:t>1</w:t>
      </w:r>
      <w:r>
        <w:rPr>
          <w:rFonts w:hint="eastAsia"/>
          <w:bCs/>
          <w:szCs w:val="21"/>
        </w:rPr>
        <w:t>）当不考虑支撑对框架稳定的支承作用时(弱支撑框架)，框架柱计算长度系数按本条第 1</w:t>
      </w:r>
      <w:r>
        <w:rPr>
          <w:rFonts w:hint="eastAsia" w:ascii="宋体" w:hAnsi="宋体"/>
          <w:b/>
          <w:bCs/>
          <w:szCs w:val="21"/>
        </w:rPr>
        <w:t>.</w:t>
      </w:r>
      <w:r>
        <w:rPr>
          <w:rFonts w:hint="eastAsia"/>
          <w:bCs/>
          <w:szCs w:val="21"/>
        </w:rPr>
        <w:t>1款公式计算；</w:t>
      </w:r>
    </w:p>
    <w:p>
      <w:pPr>
        <w:spacing w:line="240" w:lineRule="auto"/>
        <w:ind w:firstLine="632" w:firstLineChars="300"/>
        <w:rPr>
          <w:bCs/>
          <w:szCs w:val="21"/>
        </w:rPr>
      </w:pPr>
      <w:r>
        <w:rPr>
          <w:rFonts w:hint="eastAsia"/>
          <w:b/>
          <w:bCs/>
          <w:szCs w:val="21"/>
        </w:rPr>
        <w:t>2</w:t>
      </w:r>
      <w:r>
        <w:rPr>
          <w:rFonts w:hint="eastAsia"/>
          <w:bCs/>
          <w:szCs w:val="21"/>
        </w:rPr>
        <w:t>）当框架柱的计算长度系数取1</w:t>
      </w:r>
      <w:r>
        <w:rPr>
          <w:rFonts w:hint="eastAsia" w:ascii="宋体" w:hAnsi="宋体"/>
          <w:b/>
          <w:bCs/>
          <w:szCs w:val="21"/>
        </w:rPr>
        <w:t>.</w:t>
      </w:r>
      <w:r>
        <w:rPr>
          <w:rFonts w:hint="eastAsia"/>
          <w:bCs/>
          <w:szCs w:val="21"/>
        </w:rPr>
        <w:t>0，或取无侧移失稳对应的计算长度系数时，应保证支撑能对框架的侧向稳定提供支承作用(强支撑框架)；当支撑构件的应力比满足下式要求时，可认为支撑能对框架提供充分支承；</w:t>
      </w:r>
    </w:p>
    <w:p>
      <w:pPr>
        <w:wordWrap w:val="0"/>
        <w:spacing w:before="40" w:line="276" w:lineRule="auto"/>
        <w:ind w:left="1926" w:firstLine="500"/>
        <w:jc w:val="right"/>
        <w:rPr>
          <w:rFonts w:ascii="Symbol" w:hAnsi="Symbol" w:eastAsia="Symbol" w:cs="Symbol"/>
          <w:sz w:val="25"/>
          <w:szCs w:val="25"/>
        </w:rPr>
      </w:pPr>
      <w:r>
        <w:rPr>
          <w:rFonts w:ascii="Symbol" w:hAnsi="Symbol" w:eastAsia="Symbol" w:cs="Symbol"/>
          <w:sz w:val="25"/>
          <w:szCs w:val="25"/>
        </w:rPr>
        <w:t></w:t>
      </w:r>
      <w:r>
        <w:rPr>
          <w:rFonts w:ascii="Symbol" w:hAnsi="Symbol" w:eastAsia="Symbol" w:cs="Symbol"/>
          <w:spacing w:val="4"/>
          <w:sz w:val="25"/>
          <w:szCs w:val="25"/>
        </w:rPr>
        <w:t></w:t>
      </w:r>
      <w:r>
        <w:rPr>
          <w:position w:val="-4"/>
          <w:sz w:val="25"/>
          <w:szCs w:val="25"/>
        </w:rPr>
        <w:drawing>
          <wp:inline distT="0" distB="0" distL="0" distR="0">
            <wp:extent cx="85090" cy="141605"/>
            <wp:effectExtent l="0" t="0" r="10160" b="10795"/>
            <wp:docPr id="169" name="IM 169"/>
            <wp:cNvGraphicFramePr/>
            <a:graphic xmlns:a="http://schemas.openxmlformats.org/drawingml/2006/main">
              <a:graphicData uri="http://schemas.openxmlformats.org/drawingml/2006/picture">
                <pic:pic xmlns:pic="http://schemas.openxmlformats.org/drawingml/2006/picture">
                  <pic:nvPicPr>
                    <pic:cNvPr id="169" name="IM 169"/>
                    <pic:cNvPicPr/>
                  </pic:nvPicPr>
                  <pic:blipFill>
                    <a:blip r:embed="rId15"/>
                    <a:stretch>
                      <a:fillRect/>
                    </a:stretch>
                  </pic:blipFill>
                  <pic:spPr>
                    <a:xfrm>
                      <a:off x="0" y="0"/>
                      <a:ext cx="85514" cy="141792"/>
                    </a:xfrm>
                    <a:prstGeom prst="rect">
                      <a:avLst/>
                    </a:prstGeom>
                  </pic:spPr>
                </pic:pic>
              </a:graphicData>
            </a:graphic>
          </wp:inline>
        </w:drawing>
      </w:r>
      <w:r>
        <w:rPr>
          <w:rFonts w:ascii="Symbol" w:hAnsi="Symbol" w:eastAsia="Symbol" w:cs="Symbol"/>
          <w:spacing w:val="3"/>
          <w:sz w:val="25"/>
          <w:szCs w:val="25"/>
        </w:rPr>
        <w:t></w:t>
      </w:r>
      <w:r>
        <w:rPr>
          <w:rFonts w:eastAsia="Times New Roman"/>
          <w:spacing w:val="2"/>
          <w:sz w:val="24"/>
          <w:szCs w:val="24"/>
        </w:rPr>
        <w:t>1</w:t>
      </w:r>
      <w:r>
        <w:rPr>
          <w:position w:val="-4"/>
          <w:sz w:val="24"/>
          <w:szCs w:val="24"/>
        </w:rPr>
        <w:drawing>
          <wp:inline distT="0" distB="0" distL="0" distR="0">
            <wp:extent cx="88900" cy="141605"/>
            <wp:effectExtent l="0" t="0" r="0" b="0"/>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16"/>
                    <a:stretch>
                      <a:fillRect/>
                    </a:stretch>
                  </pic:blipFill>
                  <pic:spPr>
                    <a:xfrm>
                      <a:off x="0" y="0"/>
                      <a:ext cx="89164" cy="141792"/>
                    </a:xfrm>
                    <a:prstGeom prst="rect">
                      <a:avLst/>
                    </a:prstGeom>
                  </pic:spPr>
                </pic:pic>
              </a:graphicData>
            </a:graphic>
          </wp:inline>
        </w:drawing>
      </w:r>
      <w:r>
        <w:rPr>
          <w:rFonts w:eastAsia="Times New Roman"/>
          <w:spacing w:val="2"/>
          <w:sz w:val="24"/>
          <w:szCs w:val="24"/>
        </w:rPr>
        <w:t xml:space="preserve"> 3</w:t>
      </w:r>
      <w:r>
        <w:rPr>
          <w:rFonts w:ascii="Symbol" w:hAnsi="Symbol" w:eastAsia="Symbol" w:cs="Symbol"/>
          <w:spacing w:val="2"/>
          <w:sz w:val="25"/>
          <w:szCs w:val="25"/>
        </w:rPr>
        <w:sym w:font="Symbol" w:char="F072"/>
      </w:r>
      <w:r>
        <w:rPr>
          <w:rFonts w:eastAsia="Times New Roman"/>
          <w:i/>
          <w:iCs/>
          <w:position w:val="-5"/>
          <w:sz w:val="14"/>
          <w:szCs w:val="14"/>
        </w:rPr>
        <w:t>i</w:t>
      </w:r>
      <w:r>
        <w:rPr>
          <w:rFonts w:ascii="Symbol" w:hAnsi="Symbol" w:eastAsia="Symbol" w:cs="Symbol"/>
          <w:sz w:val="25"/>
          <w:szCs w:val="25"/>
        </w:rPr>
        <w:t></w:t>
      </w:r>
    </w:p>
    <w:p>
      <w:pPr>
        <w:spacing w:line="240" w:lineRule="auto"/>
        <w:ind w:firstLine="945" w:firstLineChars="450"/>
        <w:rPr>
          <w:bCs/>
          <w:szCs w:val="21"/>
        </w:rPr>
      </w:pPr>
      <w:r>
        <w:rPr>
          <w:rFonts w:hint="eastAsia"/>
          <w:bCs/>
          <w:szCs w:val="21"/>
        </w:rPr>
        <w:t>式中：</w:t>
      </w:r>
      <w:r>
        <w:rPr>
          <w:bCs/>
          <w:szCs w:val="21"/>
        </w:rPr>
        <w:t xml:space="preserve">  </w:t>
      </w:r>
      <w:r>
        <w:rPr>
          <w:rFonts w:ascii="Symbol" w:hAnsi="Symbol" w:eastAsia="Symbol" w:cs="Symbol"/>
          <w:spacing w:val="2"/>
          <w:sz w:val="25"/>
          <w:szCs w:val="25"/>
        </w:rPr>
        <w:sym w:font="Symbol" w:char="F072"/>
      </w:r>
      <w:r>
        <w:rPr>
          <w:rFonts w:eastAsia="Times New Roman"/>
          <w:i/>
          <w:iCs/>
          <w:spacing w:val="-2"/>
          <w:position w:val="-5"/>
          <w:sz w:val="14"/>
          <w:szCs w:val="14"/>
        </w:rPr>
        <w:t>i</w:t>
      </w:r>
      <w:r>
        <w:rPr>
          <w:bCs/>
          <w:szCs w:val="21"/>
        </w:rPr>
        <w:t>—</w:t>
      </w:r>
      <w:r>
        <w:rPr>
          <w:rFonts w:hint="eastAsia"/>
          <w:bCs/>
          <w:szCs w:val="21"/>
        </w:rPr>
        <w:t>所考虑柱在第</w:t>
      </w:r>
      <w:r>
        <w:rPr>
          <w:rFonts w:eastAsia="Times New Roman"/>
          <w:i/>
          <w:iCs/>
          <w:spacing w:val="-2"/>
          <w:sz w:val="24"/>
          <w:szCs w:val="24"/>
        </w:rPr>
        <w:t>i</w:t>
      </w:r>
      <w:r>
        <w:rPr>
          <w:rFonts w:hint="eastAsia"/>
          <w:bCs/>
          <w:szCs w:val="21"/>
        </w:rPr>
        <w:t>层的二阶效应系数。</w:t>
      </w:r>
    </w:p>
    <w:p>
      <w:pPr>
        <w:spacing w:line="240" w:lineRule="auto"/>
        <w:ind w:firstLine="421" w:firstLineChars="200"/>
        <w:rPr>
          <w:bCs/>
          <w:szCs w:val="21"/>
        </w:rPr>
      </w:pPr>
      <w:r>
        <w:rPr>
          <w:rFonts w:hint="eastAsia"/>
          <w:b/>
          <w:bCs/>
          <w:szCs w:val="21"/>
        </w:rPr>
        <w:t>3</w:t>
      </w:r>
      <w:r>
        <w:rPr>
          <w:b/>
          <w:bCs/>
          <w:szCs w:val="21"/>
        </w:rPr>
        <w:t xml:space="preserve">  </w:t>
      </w:r>
      <w:r>
        <w:rPr>
          <w:rFonts w:hint="eastAsia"/>
          <w:bCs/>
          <w:szCs w:val="21"/>
        </w:rPr>
        <w:t>当框架按无侧移失稳模式设计时，框架柱的计算长度系数可按下式计算：</w:t>
      </w:r>
    </w:p>
    <w:p>
      <w:pPr>
        <w:wordWrap w:val="0"/>
        <w:ind w:firstLine="400"/>
        <w:jc w:val="right"/>
        <w:rPr>
          <w:rFonts w:ascii="Symbol" w:hAnsi="Symbol" w:eastAsia="Symbol" w:cs="Symbol"/>
          <w:spacing w:val="-10"/>
          <w:sz w:val="22"/>
        </w:rPr>
      </w:pPr>
      <m:oMath>
        <m:r>
          <m:rPr/>
          <w:rPr>
            <w:rFonts w:ascii="Cambria Math" w:hAnsi="Cambria Math" w:eastAsia="Symbol" w:cs="Symbol"/>
            <w:spacing w:val="-10"/>
            <w:sz w:val="22"/>
          </w:rPr>
          <m:t>μ=</m:t>
        </m:r>
        <m:rad>
          <m:radPr>
            <m:degHide m:val="true"/>
            <m:ctrlPr>
              <w:rPr>
                <w:rFonts w:ascii="Cambria Math" w:hAnsi="Cambria Math" w:eastAsia="Symbol" w:cs="Symbol"/>
                <w:spacing w:val="-10"/>
                <w:sz w:val="22"/>
              </w:rPr>
            </m:ctrlPr>
          </m:radPr>
          <m:deg>
            <m:ctrlPr>
              <w:rPr>
                <w:rFonts w:ascii="Cambria Math" w:hAnsi="Cambria Math" w:eastAsia="Symbol" w:cs="Symbol"/>
                <w:spacing w:val="-10"/>
                <w:sz w:val="22"/>
              </w:rPr>
            </m:ctrlPr>
          </m:deg>
          <m:e>
            <m:f>
              <m:fPr>
                <m:ctrlPr>
                  <w:rPr>
                    <w:rFonts w:ascii="Cambria Math" w:hAnsi="Cambria Math" w:eastAsia="Symbol" w:cs="Symbol"/>
                    <w:spacing w:val="-10"/>
                    <w:sz w:val="22"/>
                  </w:rPr>
                </m:ctrlPr>
              </m:fPr>
              <m:num>
                <m:r>
                  <m:rPr>
                    <m:nor/>
                    <m:sty m:val="p"/>
                  </m:rPr>
                  <w:rPr>
                    <w:rFonts w:ascii="Symbol" w:hAnsi="Symbol" w:eastAsia="Symbol" w:cs="Symbol"/>
                    <w:b w:val="0"/>
                    <w:i w:val="0"/>
                    <w:spacing w:val="-10"/>
                    <w:sz w:val="22"/>
                  </w:rPr>
                  <m:t></m:t>
                </m:r>
                <m:r>
                  <m:rPr/>
                  <w:rPr>
                    <w:rFonts w:ascii="Cambria Math" w:hAnsi="Cambria Math" w:eastAsia="Symbol" w:cs="Symbol"/>
                    <w:spacing w:val="-10"/>
                    <w:sz w:val="22"/>
                  </w:rPr>
                  <m:t>1+0</m:t>
                </m:r>
                <m:r>
                  <m:rPr>
                    <m:sty m:val="bi"/>
                  </m:rPr>
                  <w:rPr>
                    <w:rFonts w:ascii="Cambria Math" w:hAnsi="Cambria Math" w:eastAsia="Symbol" w:cs="Symbol"/>
                    <w:spacing w:val="-10"/>
                  </w:rPr>
                  <m:t>.</m:t>
                </m:r>
                <m:r>
                  <m:rPr/>
                  <w:rPr>
                    <w:rFonts w:ascii="Cambria Math" w:hAnsi="Cambria Math" w:eastAsia="Symbol" w:cs="Symbol"/>
                    <w:spacing w:val="-10"/>
                    <w:sz w:val="22"/>
                  </w:rPr>
                  <m:t>41</m:t>
                </m:r>
                <m:sSub>
                  <m:sSubPr>
                    <m:ctrlPr>
                      <w:rPr>
                        <w:rFonts w:ascii="Cambria Math" w:hAnsi="Cambria Math" w:eastAsia="Symbol" w:cs="Symbol"/>
                        <w:spacing w:val="-10"/>
                        <w:sz w:val="22"/>
                      </w:rPr>
                    </m:ctrlPr>
                  </m:sSubPr>
                  <m:e>
                    <m:r>
                      <m:rPr/>
                      <w:rPr>
                        <w:rFonts w:ascii="Cambria Math" w:hAnsi="Cambria Math" w:eastAsia="Symbol" w:cs="Symbol"/>
                        <w:spacing w:val="-10"/>
                        <w:sz w:val="22"/>
                      </w:rPr>
                      <m:t>K</m:t>
                    </m:r>
                    <m:ctrlPr>
                      <w:rPr>
                        <w:rFonts w:ascii="Cambria Math" w:hAnsi="Cambria Math" w:eastAsia="Symbol" w:cs="Symbol"/>
                        <w:spacing w:val="-10"/>
                        <w:sz w:val="22"/>
                      </w:rPr>
                    </m:ctrlPr>
                  </m:e>
                  <m:sub>
                    <m:r>
                      <m:rPr/>
                      <w:rPr>
                        <w:rFonts w:ascii="Cambria Math" w:hAnsi="Cambria Math" w:eastAsia="Symbol" w:cs="Symbol"/>
                        <w:spacing w:val="-10"/>
                        <w:sz w:val="22"/>
                      </w:rPr>
                      <m:t>1</m:t>
                    </m:r>
                    <m:ctrlPr>
                      <w:rPr>
                        <w:rFonts w:ascii="Cambria Math" w:hAnsi="Cambria Math" w:eastAsia="Symbol" w:cs="Symbol"/>
                        <w:spacing w:val="-10"/>
                        <w:sz w:val="22"/>
                      </w:rPr>
                    </m:ctrlPr>
                  </m:sub>
                </m:sSub>
                <m:r>
                  <m:rPr>
                    <m:nor/>
                    <m:sty m:val="p"/>
                  </m:rPr>
                  <w:rPr>
                    <w:rFonts w:ascii="Symbol" w:hAnsi="Symbol" w:eastAsia="Symbol" w:cs="Symbol"/>
                    <w:b w:val="0"/>
                    <w:i w:val="0"/>
                    <w:spacing w:val="-10"/>
                    <w:sz w:val="22"/>
                  </w:rPr>
                  <m:t></m:t>
                </m:r>
                <m:r>
                  <m:rPr/>
                  <w:rPr>
                    <w:rFonts w:ascii="Cambria Math" w:hAnsi="Cambria Math" w:eastAsia="Symbol" w:cs="Symbol"/>
                    <w:spacing w:val="-10"/>
                    <w:sz w:val="22"/>
                  </w:rPr>
                  <m:t>1+0</m:t>
                </m:r>
                <m:r>
                  <m:rPr>
                    <m:sty m:val="bi"/>
                  </m:rPr>
                  <w:rPr>
                    <w:rFonts w:ascii="Cambria Math" w:hAnsi="Cambria Math" w:eastAsia="Symbol" w:cs="Symbol"/>
                    <w:spacing w:val="-10"/>
                  </w:rPr>
                  <m:t>.</m:t>
                </m:r>
                <m:r>
                  <m:rPr/>
                  <w:rPr>
                    <w:rFonts w:ascii="Cambria Math" w:hAnsi="Cambria Math" w:eastAsia="Symbol" w:cs="Symbol"/>
                    <w:spacing w:val="-10"/>
                    <w:sz w:val="22"/>
                  </w:rPr>
                  <m:t>41</m:t>
                </m:r>
                <m:sSub>
                  <m:sSubPr>
                    <m:ctrlPr>
                      <w:rPr>
                        <w:rFonts w:ascii="Cambria Math" w:hAnsi="Cambria Math" w:eastAsia="Symbol" w:cs="Symbol"/>
                        <w:spacing w:val="-10"/>
                        <w:sz w:val="22"/>
                      </w:rPr>
                    </m:ctrlPr>
                  </m:sSubPr>
                  <m:e>
                    <m:r>
                      <m:rPr/>
                      <w:rPr>
                        <w:rFonts w:ascii="Cambria Math" w:hAnsi="Cambria Math" w:eastAsia="Symbol" w:cs="Symbol"/>
                        <w:spacing w:val="-10"/>
                        <w:sz w:val="22"/>
                      </w:rPr>
                      <m:t>K</m:t>
                    </m:r>
                    <m:ctrlPr>
                      <w:rPr>
                        <w:rFonts w:ascii="Cambria Math" w:hAnsi="Cambria Math" w:eastAsia="Symbol" w:cs="Symbol"/>
                        <w:spacing w:val="-10"/>
                        <w:sz w:val="22"/>
                      </w:rPr>
                    </m:ctrlPr>
                  </m:e>
                  <m:sub>
                    <m:r>
                      <m:rPr/>
                      <w:rPr>
                        <w:rFonts w:ascii="Cambria Math" w:hAnsi="Cambria Math" w:eastAsia="Symbol" w:cs="Symbol"/>
                        <w:spacing w:val="-10"/>
                        <w:sz w:val="22"/>
                      </w:rPr>
                      <m:t>2</m:t>
                    </m:r>
                    <m:ctrlPr>
                      <w:rPr>
                        <w:rFonts w:ascii="Cambria Math" w:hAnsi="Cambria Math" w:eastAsia="Symbol" w:cs="Symbol"/>
                        <w:spacing w:val="-10"/>
                        <w:sz w:val="22"/>
                      </w:rPr>
                    </m:ctrlPr>
                  </m:sub>
                </m:sSub>
                <m:r>
                  <m:rPr>
                    <m:nor/>
                    <m:sty m:val="p"/>
                  </m:rPr>
                  <w:rPr>
                    <w:rFonts w:ascii="Symbol" w:hAnsi="Symbol" w:eastAsia="Symbol" w:cs="Symbol"/>
                    <w:b w:val="0"/>
                    <w:i w:val="0"/>
                    <w:spacing w:val="-10"/>
                    <w:sz w:val="22"/>
                  </w:rPr>
                  <m:t></m:t>
                </m:r>
                <m:ctrlPr>
                  <w:rPr>
                    <w:rFonts w:ascii="Cambria Math" w:hAnsi="Cambria Math" w:eastAsia="Symbol" w:cs="Symbol"/>
                    <w:spacing w:val="-10"/>
                    <w:sz w:val="22"/>
                  </w:rPr>
                </m:ctrlPr>
              </m:num>
              <m:den>
                <m:r>
                  <m:rPr>
                    <m:nor/>
                    <m:sty m:val="p"/>
                  </m:rPr>
                  <w:rPr>
                    <w:rFonts w:ascii="Symbol" w:hAnsi="Symbol" w:eastAsia="Symbol" w:cs="Symbol"/>
                    <w:b w:val="0"/>
                    <w:i w:val="0"/>
                    <w:spacing w:val="-10"/>
                    <w:sz w:val="22"/>
                  </w:rPr>
                  <m:t></m:t>
                </m:r>
                <m:r>
                  <m:rPr/>
                  <w:rPr>
                    <w:rFonts w:ascii="Cambria Math" w:hAnsi="Cambria Math" w:eastAsia="Symbol" w:cs="Symbol"/>
                    <w:spacing w:val="-10"/>
                    <w:sz w:val="22"/>
                  </w:rPr>
                  <m:t>1+0</m:t>
                </m:r>
                <m:r>
                  <m:rPr>
                    <m:sty m:val="bi"/>
                  </m:rPr>
                  <w:rPr>
                    <w:rFonts w:ascii="Cambria Math" w:hAnsi="Cambria Math" w:eastAsia="Symbol" w:cs="Symbol"/>
                    <w:spacing w:val="-10"/>
                  </w:rPr>
                  <m:t>.</m:t>
                </m:r>
                <m:r>
                  <m:rPr/>
                  <w:rPr>
                    <w:rFonts w:ascii="Cambria Math" w:hAnsi="Cambria Math" w:eastAsia="Symbol" w:cs="Symbol"/>
                    <w:spacing w:val="-10"/>
                    <w:sz w:val="22"/>
                  </w:rPr>
                  <m:t>82</m:t>
                </m:r>
                <m:sSub>
                  <m:sSubPr>
                    <m:ctrlPr>
                      <w:rPr>
                        <w:rFonts w:ascii="Cambria Math" w:hAnsi="Cambria Math" w:eastAsia="Symbol" w:cs="Symbol"/>
                        <w:spacing w:val="-10"/>
                        <w:sz w:val="22"/>
                      </w:rPr>
                    </m:ctrlPr>
                  </m:sSubPr>
                  <m:e>
                    <m:r>
                      <m:rPr/>
                      <w:rPr>
                        <w:rFonts w:ascii="Cambria Math" w:hAnsi="Cambria Math" w:eastAsia="Symbol" w:cs="Symbol"/>
                        <w:spacing w:val="-10"/>
                        <w:sz w:val="22"/>
                      </w:rPr>
                      <m:t>K</m:t>
                    </m:r>
                    <m:ctrlPr>
                      <w:rPr>
                        <w:rFonts w:ascii="Cambria Math" w:hAnsi="Cambria Math" w:eastAsia="Symbol" w:cs="Symbol"/>
                        <w:spacing w:val="-10"/>
                        <w:sz w:val="22"/>
                      </w:rPr>
                    </m:ctrlPr>
                  </m:e>
                  <m:sub>
                    <m:r>
                      <m:rPr/>
                      <w:rPr>
                        <w:rFonts w:ascii="Cambria Math" w:hAnsi="Cambria Math" w:eastAsia="Symbol" w:cs="Symbol"/>
                        <w:spacing w:val="-10"/>
                        <w:sz w:val="22"/>
                      </w:rPr>
                      <m:t>1</m:t>
                    </m:r>
                    <m:ctrlPr>
                      <w:rPr>
                        <w:rFonts w:ascii="Cambria Math" w:hAnsi="Cambria Math" w:eastAsia="Symbol" w:cs="Symbol"/>
                        <w:spacing w:val="-10"/>
                        <w:sz w:val="22"/>
                      </w:rPr>
                    </m:ctrlPr>
                  </m:sub>
                </m:sSub>
                <m:r>
                  <m:rPr>
                    <m:nor/>
                    <m:sty m:val="p"/>
                  </m:rPr>
                  <w:rPr>
                    <w:rFonts w:ascii="Symbol" w:hAnsi="Symbol" w:eastAsia="Symbol" w:cs="Symbol"/>
                    <w:b w:val="0"/>
                    <w:i w:val="0"/>
                    <w:spacing w:val="-10"/>
                    <w:sz w:val="22"/>
                  </w:rPr>
                  <m:t></m:t>
                </m:r>
                <m:r>
                  <m:rPr/>
                  <w:rPr>
                    <w:rFonts w:ascii="Cambria Math" w:hAnsi="Cambria Math" w:eastAsia="Symbol" w:cs="Symbol"/>
                    <w:spacing w:val="-10"/>
                    <w:sz w:val="22"/>
                  </w:rPr>
                  <m:t>1+0</m:t>
                </m:r>
                <m:r>
                  <m:rPr>
                    <m:sty m:val="bi"/>
                  </m:rPr>
                  <w:rPr>
                    <w:rFonts w:ascii="Cambria Math" w:hAnsi="Cambria Math" w:eastAsia="Symbol" w:cs="Symbol"/>
                    <w:spacing w:val="-10"/>
                  </w:rPr>
                  <m:t>.</m:t>
                </m:r>
                <m:r>
                  <m:rPr/>
                  <w:rPr>
                    <w:rFonts w:ascii="Cambria Math" w:hAnsi="Cambria Math" w:eastAsia="Symbol" w:cs="Symbol"/>
                    <w:spacing w:val="-10"/>
                    <w:sz w:val="22"/>
                  </w:rPr>
                  <m:t>82</m:t>
                </m:r>
                <m:sSub>
                  <m:sSubPr>
                    <m:ctrlPr>
                      <w:rPr>
                        <w:rFonts w:ascii="Cambria Math" w:hAnsi="Cambria Math" w:eastAsia="Symbol" w:cs="Symbol"/>
                        <w:spacing w:val="-10"/>
                        <w:sz w:val="22"/>
                      </w:rPr>
                    </m:ctrlPr>
                  </m:sSubPr>
                  <m:e>
                    <m:r>
                      <m:rPr/>
                      <w:rPr>
                        <w:rFonts w:ascii="Cambria Math" w:hAnsi="Cambria Math" w:eastAsia="Symbol" w:cs="Symbol"/>
                        <w:spacing w:val="-10"/>
                        <w:sz w:val="22"/>
                      </w:rPr>
                      <m:t>K</m:t>
                    </m:r>
                    <m:ctrlPr>
                      <w:rPr>
                        <w:rFonts w:ascii="Cambria Math" w:hAnsi="Cambria Math" w:eastAsia="Symbol" w:cs="Symbol"/>
                        <w:spacing w:val="-10"/>
                        <w:sz w:val="22"/>
                      </w:rPr>
                    </m:ctrlPr>
                  </m:e>
                  <m:sub>
                    <m:r>
                      <m:rPr/>
                      <w:rPr>
                        <w:rFonts w:ascii="Cambria Math" w:hAnsi="Cambria Math" w:eastAsia="Symbol" w:cs="Symbol"/>
                        <w:spacing w:val="-10"/>
                        <w:sz w:val="22"/>
                      </w:rPr>
                      <m:t>2</m:t>
                    </m:r>
                    <m:ctrlPr>
                      <w:rPr>
                        <w:rFonts w:ascii="Cambria Math" w:hAnsi="Cambria Math" w:eastAsia="Symbol" w:cs="Symbol"/>
                        <w:spacing w:val="-10"/>
                        <w:sz w:val="22"/>
                      </w:rPr>
                    </m:ctrlPr>
                  </m:sub>
                </m:sSub>
                <m:r>
                  <m:rPr>
                    <m:nor/>
                    <m:sty m:val="p"/>
                  </m:rPr>
                  <w:rPr>
                    <w:rFonts w:ascii="Symbol" w:hAnsi="Symbol" w:eastAsia="Symbol" w:cs="Symbol"/>
                    <w:b w:val="0"/>
                    <w:i w:val="0"/>
                    <w:spacing w:val="-10"/>
                    <w:sz w:val="22"/>
                  </w:rPr>
                  <m:t></m:t>
                </m:r>
                <m:ctrlPr>
                  <w:rPr>
                    <w:rFonts w:ascii="Cambria Math" w:hAnsi="Cambria Math" w:eastAsia="Symbol" w:cs="Symbol"/>
                    <w:spacing w:val="-10"/>
                    <w:sz w:val="22"/>
                  </w:rPr>
                </m:ctrlPr>
              </m:den>
            </m:f>
            <m:ctrlPr>
              <w:rPr>
                <w:rFonts w:ascii="Cambria Math" w:hAnsi="Cambria Math" w:eastAsia="Symbol" w:cs="Symbol"/>
                <w:spacing w:val="-10"/>
                <w:sz w:val="22"/>
              </w:rPr>
            </m:ctrlPr>
          </m:e>
        </m:rad>
      </m:oMath>
      <w:r>
        <w:rPr>
          <w:rFonts w:ascii="Symbol" w:hAnsi="Symbol" w:eastAsia="Symbol" w:cs="Symbol"/>
          <w:spacing w:val="-10"/>
          <w:sz w:val="22"/>
        </w:rPr>
        <w:t></w:t>
      </w:r>
      <w:r>
        <w:rPr>
          <w:rFonts w:eastAsia="Times New Roman"/>
          <w:iCs/>
          <w:position w:val="-5"/>
          <w:szCs w:val="24"/>
        </w:rPr>
        <w:t xml:space="preserve"> </w:t>
      </w:r>
    </w:p>
    <w:p>
      <w:pPr>
        <w:spacing w:line="240" w:lineRule="auto"/>
        <w:ind w:firstLine="945" w:firstLineChars="450"/>
        <w:rPr>
          <w:bCs/>
          <w:szCs w:val="21"/>
        </w:rPr>
      </w:pPr>
      <w:r>
        <w:rPr>
          <w:rFonts w:hint="eastAsia"/>
          <w:bCs/>
          <w:szCs w:val="21"/>
        </w:rPr>
        <w:t>式中： K</w:t>
      </w:r>
      <w:r>
        <w:rPr>
          <w:rFonts w:hint="eastAsia"/>
          <w:bCs/>
          <w:szCs w:val="21"/>
          <w:vertAlign w:val="subscript"/>
        </w:rPr>
        <w:t>1</w:t>
      </w:r>
      <w:r>
        <w:rPr>
          <w:rFonts w:hint="eastAsia"/>
          <w:bCs/>
          <w:szCs w:val="21"/>
        </w:rPr>
        <w:t>、K</w:t>
      </w:r>
      <w:r>
        <w:rPr>
          <w:rFonts w:hint="eastAsia"/>
          <w:bCs/>
          <w:szCs w:val="21"/>
          <w:vertAlign w:val="subscript"/>
        </w:rPr>
        <w:t>2</w:t>
      </w:r>
      <w:r>
        <w:rPr>
          <w:rFonts w:hint="eastAsia"/>
          <w:bCs/>
          <w:szCs w:val="21"/>
        </w:rPr>
        <w:t xml:space="preserve"> 应按现行行业标准《高层民用建筑钢结构技术规程》JGJ 99 的 7</w:t>
      </w:r>
      <w:r>
        <w:rPr>
          <w:rFonts w:hint="eastAsia" w:ascii="宋体" w:hAnsi="宋体"/>
          <w:b/>
          <w:bCs/>
          <w:szCs w:val="21"/>
        </w:rPr>
        <w:t>.</w:t>
      </w:r>
      <w:r>
        <w:rPr>
          <w:rFonts w:hint="eastAsia"/>
          <w:bCs/>
          <w:szCs w:val="21"/>
        </w:rPr>
        <w:t>3</w:t>
      </w:r>
      <w:r>
        <w:rPr>
          <w:rFonts w:hint="eastAsia" w:ascii="宋体" w:hAnsi="宋体"/>
          <w:b/>
          <w:bCs/>
          <w:szCs w:val="21"/>
        </w:rPr>
        <w:t>.</w:t>
      </w:r>
      <w:r>
        <w:rPr>
          <w:rFonts w:hint="eastAsia"/>
          <w:bCs/>
          <w:szCs w:val="21"/>
        </w:rPr>
        <w:t>2 条第 5 款进行修正。</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对弯剪型钢结构，根据公式K=1/(λ-1)，屈曲因子大于6，相当K小于20%，安全起见，按二阶效应增大系数小于16%进行整体稳定性判断。</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5 </w:t>
      </w:r>
      <w:r>
        <w:rPr>
          <w:b/>
          <w:bCs/>
          <w:szCs w:val="21"/>
        </w:rPr>
        <w:t xml:space="preserve"> </w:t>
      </w:r>
      <w:r>
        <w:rPr>
          <w:rFonts w:hint="eastAsia"/>
          <w:bCs/>
          <w:szCs w:val="21"/>
        </w:rPr>
        <w:t>参考《高层民用建筑钢结构技术规程》JGJ 99-2015中6</w:t>
      </w:r>
      <w:r>
        <w:rPr>
          <w:rFonts w:hint="eastAsia" w:ascii="宋体" w:hAnsi="宋体"/>
          <w:b/>
          <w:bCs/>
          <w:szCs w:val="21"/>
        </w:rPr>
        <w:t>.</w:t>
      </w:r>
      <w:r>
        <w:rPr>
          <w:rFonts w:hint="eastAsia"/>
          <w:bCs/>
          <w:szCs w:val="21"/>
        </w:rPr>
        <w:t>2</w:t>
      </w:r>
      <w:r>
        <w:rPr>
          <w:rFonts w:hint="eastAsia" w:ascii="宋体" w:hAnsi="宋体"/>
          <w:b/>
          <w:bCs/>
          <w:szCs w:val="21"/>
        </w:rPr>
        <w:t>.</w:t>
      </w:r>
      <w:r>
        <w:rPr>
          <w:rFonts w:hint="eastAsia"/>
          <w:bCs/>
          <w:szCs w:val="21"/>
        </w:rPr>
        <w:t>6条规定，以控制钢框架-支撑（剪力墙、核心筒）结构中底部框架柱与支撑（剪力墙、核心筒）的最小数量与截面。</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如不考虑混凝土受拉开裂后刚度退化的影响，则内力分析结果不准确。</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 xml:space="preserve">9 </w:t>
      </w:r>
      <w:r>
        <w:rPr>
          <w:b/>
          <w:bCs/>
          <w:szCs w:val="21"/>
        </w:rPr>
        <w:t xml:space="preserve"> </w:t>
      </w:r>
      <w:r>
        <w:rPr>
          <w:rFonts w:hint="eastAsia"/>
          <w:bCs/>
          <w:szCs w:val="21"/>
        </w:rPr>
        <w:t>如钢管柱中的混凝土拉应力大于抗拉强度的标准值，则混凝土部分刚度退化，将导致分析结果有误差。</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5</w:t>
      </w:r>
      <w:r>
        <w:rPr>
          <w:rFonts w:hint="eastAsia" w:ascii="宋体" w:hAnsi="宋体"/>
          <w:b/>
          <w:bCs/>
          <w:szCs w:val="21"/>
        </w:rPr>
        <w:t>.</w:t>
      </w:r>
      <w:r>
        <w:rPr>
          <w:rFonts w:hint="eastAsia"/>
          <w:b/>
          <w:bCs/>
          <w:szCs w:val="21"/>
        </w:rPr>
        <w:t>12</w:t>
      </w:r>
      <w:r>
        <w:rPr>
          <w:b/>
          <w:bCs/>
          <w:szCs w:val="21"/>
        </w:rPr>
        <w:t xml:space="preserve"> </w:t>
      </w:r>
      <w:r>
        <w:rPr>
          <w:rFonts w:hint="eastAsia"/>
          <w:b/>
          <w:bCs/>
          <w:szCs w:val="21"/>
        </w:rPr>
        <w:t xml:space="preserve"> </w:t>
      </w:r>
      <w:r>
        <w:rPr>
          <w:rFonts w:hint="eastAsia"/>
          <w:bCs/>
          <w:szCs w:val="21"/>
        </w:rPr>
        <w:t>对凹凸不规则程度较大的结构，由于常规的风振加速度分析按简化方法施加风作用时程，无法考虑扭转效应及弹性楼盖的影响，使风振加速度计算结果存在较大误差，故应直接采用风洞试验测点的风力时程进行多点加载和分析，并按规范限值与随机理论控制风振合成加速度值的峰值。</w:t>
      </w:r>
    </w:p>
    <w:p>
      <w:pPr>
        <w:pStyle w:val="4"/>
        <w:spacing w:before="240" w:after="240" w:line="240" w:lineRule="auto"/>
        <w:jc w:val="center"/>
        <w:rPr>
          <w:rFonts w:ascii="Times New Roman" w:hAnsi="Times New Roman"/>
          <w:sz w:val="21"/>
          <w:szCs w:val="21"/>
        </w:rPr>
      </w:pPr>
      <w:bookmarkStart w:id="120" w:name="_Toc118314505"/>
      <w:bookmarkStart w:id="121" w:name="_Toc118357501"/>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6 </w:t>
      </w:r>
      <w:r>
        <w:rPr>
          <w:rFonts w:hint="eastAsia" w:ascii="黑体" w:hAnsi="黑体" w:eastAsia="黑体"/>
          <w:sz w:val="21"/>
          <w:szCs w:val="21"/>
        </w:rPr>
        <w:t xml:space="preserve"> </w:t>
      </w:r>
      <w:r>
        <w:rPr>
          <w:rFonts w:hint="eastAsia" w:ascii="黑体" w:hAnsi="黑体" w:eastAsia="黑体"/>
          <w:b w:val="0"/>
          <w:sz w:val="21"/>
          <w:szCs w:val="21"/>
        </w:rPr>
        <w:t>部（构）件设计</w:t>
      </w:r>
      <w:bookmarkEnd w:id="120"/>
      <w:bookmarkEnd w:id="121"/>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1</w:t>
      </w:r>
      <w:r>
        <w:rPr>
          <w:b/>
          <w:bCs/>
          <w:szCs w:val="21"/>
        </w:rPr>
        <w:t xml:space="preserve">  </w:t>
      </w:r>
      <w:r>
        <w:rPr>
          <w:rFonts w:hint="eastAsia"/>
          <w:bCs/>
          <w:szCs w:val="21"/>
        </w:rPr>
        <w:t>钢结构住宅的发展亟需提高构件的标准化，从源头上推进标准化构件在设计、生产、施工环节的应用，实现构件产品标准化，推进全产业链协同发展以标准化、社会化生产代替定制化、小规模加工方式，在一定程度上降低钢结构住宅的建设成本，这是钢结构住宅转变建造方式的重要基础之一。对于冷弯方(矩)形管采用热处理后不仅弯折处钢材的力学性能得到改善，而且弯角处改变成直角(内圆外方)，有利于结构节点设计。</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框架柱、支撑斜杆的构造要求，包括长细比，框架梁、柱和支撑斜杆的板件宽厚比应符合现行相关标准的规定：</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钢框架梁、柱板件宽厚比，应符合表</w:t>
      </w:r>
      <w:r>
        <w:rPr>
          <w:bCs/>
          <w:szCs w:val="21"/>
        </w:rPr>
        <w:t>1</w:t>
      </w:r>
      <w:r>
        <w:rPr>
          <w:rFonts w:hint="eastAsia"/>
          <w:bCs/>
          <w:szCs w:val="21"/>
        </w:rPr>
        <w:t>的规定。</w:t>
      </w:r>
    </w:p>
    <w:p>
      <w:pPr>
        <w:spacing w:line="240" w:lineRule="auto"/>
        <w:ind w:left="-6"/>
        <w:jc w:val="center"/>
        <w:rPr>
          <w:rFonts w:eastAsia="黑体" w:cs="黑体"/>
          <w:bCs/>
          <w:sz w:val="18"/>
          <w:szCs w:val="18"/>
        </w:rPr>
      </w:pPr>
      <w:r>
        <w:rPr>
          <w:rFonts w:eastAsia="黑体" w:cs="黑体"/>
          <w:bCs/>
          <w:sz w:val="18"/>
          <w:szCs w:val="18"/>
        </w:rPr>
        <w:t>表</w:t>
      </w:r>
      <w:r>
        <w:rPr>
          <w:rFonts w:eastAsia="黑体" w:cs="黑体"/>
          <w:b/>
          <w:bCs/>
          <w:sz w:val="18"/>
          <w:szCs w:val="18"/>
        </w:rPr>
        <w:t>1</w:t>
      </w:r>
      <w:r>
        <w:rPr>
          <w:rFonts w:eastAsia="黑体" w:cs="黑体"/>
          <w:bCs/>
          <w:sz w:val="18"/>
          <w:szCs w:val="18"/>
        </w:rPr>
        <w:t xml:space="preserve">  钢框架梁、柱构件板件宽厚比限值</w:t>
      </w:r>
    </w:p>
    <w:tbl>
      <w:tblPr>
        <w:tblStyle w:val="37"/>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6"/>
        <w:gridCol w:w="3899"/>
        <w:gridCol w:w="1202"/>
        <w:gridCol w:w="1203"/>
        <w:gridCol w:w="1202"/>
        <w:gridCol w:w="1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4108" w:type="dxa"/>
            <w:gridSpan w:val="2"/>
            <w:tcBorders>
              <w:top w:val="single" w:color="auto" w:sz="12" w:space="0"/>
              <w:left w:val="single" w:color="auto" w:sz="12" w:space="0"/>
            </w:tcBorders>
            <w:vAlign w:val="center"/>
          </w:tcPr>
          <w:p>
            <w:pPr>
              <w:pStyle w:val="36"/>
              <w:widowControl w:val="0"/>
              <w:rPr>
                <w:color w:val="auto"/>
                <w:sz w:val="15"/>
                <w:szCs w:val="15"/>
              </w:rPr>
            </w:pPr>
            <w:r>
              <w:rPr>
                <w:color w:val="auto"/>
                <w:sz w:val="15"/>
                <w:szCs w:val="15"/>
              </w:rPr>
              <w:t>板件名称</w:t>
            </w:r>
          </w:p>
        </w:tc>
        <w:tc>
          <w:tcPr>
            <w:tcW w:w="1100" w:type="dxa"/>
            <w:tcBorders>
              <w:top w:val="single" w:color="auto" w:sz="12" w:space="0"/>
            </w:tcBorders>
            <w:vAlign w:val="center"/>
          </w:tcPr>
          <w:p>
            <w:pPr>
              <w:pStyle w:val="36"/>
              <w:widowControl w:val="0"/>
              <w:rPr>
                <w:color w:val="auto"/>
                <w:sz w:val="15"/>
                <w:szCs w:val="15"/>
              </w:rPr>
            </w:pPr>
            <w:r>
              <w:rPr>
                <w:color w:val="auto"/>
                <w:sz w:val="15"/>
                <w:szCs w:val="15"/>
              </w:rPr>
              <w:t>一级</w:t>
            </w:r>
          </w:p>
        </w:tc>
        <w:tc>
          <w:tcPr>
            <w:tcW w:w="1101" w:type="dxa"/>
            <w:tcBorders>
              <w:top w:val="single" w:color="auto" w:sz="12" w:space="0"/>
            </w:tcBorders>
            <w:vAlign w:val="center"/>
          </w:tcPr>
          <w:p>
            <w:pPr>
              <w:pStyle w:val="36"/>
              <w:widowControl w:val="0"/>
              <w:rPr>
                <w:color w:val="auto"/>
                <w:sz w:val="15"/>
                <w:szCs w:val="15"/>
              </w:rPr>
            </w:pPr>
            <w:r>
              <w:rPr>
                <w:color w:val="auto"/>
                <w:sz w:val="15"/>
                <w:szCs w:val="15"/>
              </w:rPr>
              <w:t>二级</w:t>
            </w:r>
          </w:p>
        </w:tc>
        <w:tc>
          <w:tcPr>
            <w:tcW w:w="1100" w:type="dxa"/>
            <w:tcBorders>
              <w:top w:val="single" w:color="auto" w:sz="12" w:space="0"/>
            </w:tcBorders>
            <w:vAlign w:val="center"/>
          </w:tcPr>
          <w:p>
            <w:pPr>
              <w:pStyle w:val="36"/>
              <w:widowControl w:val="0"/>
              <w:rPr>
                <w:color w:val="auto"/>
                <w:sz w:val="15"/>
                <w:szCs w:val="15"/>
              </w:rPr>
            </w:pPr>
            <w:r>
              <w:rPr>
                <w:color w:val="auto"/>
                <w:sz w:val="15"/>
                <w:szCs w:val="15"/>
              </w:rPr>
              <w:t>三级</w:t>
            </w:r>
          </w:p>
        </w:tc>
        <w:tc>
          <w:tcPr>
            <w:tcW w:w="1101" w:type="dxa"/>
            <w:tcBorders>
              <w:top w:val="single" w:color="auto" w:sz="12" w:space="0"/>
              <w:right w:val="single" w:color="auto" w:sz="12" w:space="0"/>
            </w:tcBorders>
            <w:vAlign w:val="center"/>
          </w:tcPr>
          <w:p>
            <w:pPr>
              <w:pStyle w:val="36"/>
              <w:widowControl w:val="0"/>
              <w:rPr>
                <w:color w:val="auto"/>
                <w:sz w:val="15"/>
                <w:szCs w:val="15"/>
              </w:rPr>
            </w:pPr>
            <w:r>
              <w:rPr>
                <w:color w:val="auto"/>
                <w:sz w:val="15"/>
                <w:szCs w:val="15"/>
              </w:rPr>
              <w:t>四级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restart"/>
            <w:tcBorders>
              <w:left w:val="single" w:color="auto" w:sz="12" w:space="0"/>
              <w:bottom w:val="nil"/>
            </w:tcBorders>
            <w:vAlign w:val="center"/>
          </w:tcPr>
          <w:p>
            <w:pPr>
              <w:pStyle w:val="36"/>
              <w:widowControl w:val="0"/>
              <w:rPr>
                <w:color w:val="auto"/>
                <w:sz w:val="15"/>
                <w:szCs w:val="15"/>
              </w:rPr>
            </w:pPr>
          </w:p>
          <w:p>
            <w:pPr>
              <w:pStyle w:val="36"/>
              <w:widowControl w:val="0"/>
              <w:rPr>
                <w:color w:val="auto"/>
                <w:sz w:val="15"/>
                <w:szCs w:val="15"/>
              </w:rPr>
            </w:pPr>
          </w:p>
          <w:p>
            <w:pPr>
              <w:pStyle w:val="36"/>
              <w:widowControl w:val="0"/>
              <w:rPr>
                <w:color w:val="auto"/>
                <w:sz w:val="15"/>
                <w:szCs w:val="15"/>
              </w:rPr>
            </w:pPr>
            <w:r>
              <w:rPr>
                <w:color w:val="auto"/>
                <w:sz w:val="15"/>
                <w:szCs w:val="15"/>
              </w:rPr>
              <w:t>柱</w:t>
            </w:r>
          </w:p>
        </w:tc>
        <w:tc>
          <w:tcPr>
            <w:tcW w:w="3571" w:type="dxa"/>
            <w:vAlign w:val="center"/>
          </w:tcPr>
          <w:p>
            <w:pPr>
              <w:pStyle w:val="36"/>
              <w:widowControl w:val="0"/>
              <w:rPr>
                <w:color w:val="auto"/>
                <w:sz w:val="15"/>
                <w:szCs w:val="15"/>
              </w:rPr>
            </w:pPr>
            <w:r>
              <w:rPr>
                <w:color w:val="auto"/>
                <w:sz w:val="15"/>
                <w:szCs w:val="15"/>
              </w:rPr>
              <w:t>工字形截面翼缘外伸部分</w:t>
            </w:r>
          </w:p>
        </w:tc>
        <w:tc>
          <w:tcPr>
            <w:tcW w:w="1100" w:type="dxa"/>
            <w:vAlign w:val="center"/>
          </w:tcPr>
          <w:p>
            <w:pPr>
              <w:pStyle w:val="36"/>
              <w:widowControl w:val="0"/>
              <w:rPr>
                <w:color w:val="auto"/>
                <w:sz w:val="15"/>
                <w:szCs w:val="15"/>
              </w:rPr>
            </w:pPr>
            <w:r>
              <w:rPr>
                <w:color w:val="auto"/>
                <w:sz w:val="15"/>
                <w:szCs w:val="15"/>
              </w:rPr>
              <w:t>10</w:t>
            </w:r>
          </w:p>
        </w:tc>
        <w:tc>
          <w:tcPr>
            <w:tcW w:w="1101" w:type="dxa"/>
            <w:vAlign w:val="center"/>
          </w:tcPr>
          <w:p>
            <w:pPr>
              <w:pStyle w:val="36"/>
              <w:widowControl w:val="0"/>
              <w:rPr>
                <w:color w:val="auto"/>
                <w:sz w:val="15"/>
                <w:szCs w:val="15"/>
              </w:rPr>
            </w:pPr>
            <w:r>
              <w:rPr>
                <w:color w:val="auto"/>
                <w:sz w:val="15"/>
                <w:szCs w:val="15"/>
              </w:rPr>
              <w:t>11</w:t>
            </w:r>
          </w:p>
        </w:tc>
        <w:tc>
          <w:tcPr>
            <w:tcW w:w="1100" w:type="dxa"/>
            <w:vAlign w:val="center"/>
          </w:tcPr>
          <w:p>
            <w:pPr>
              <w:pStyle w:val="36"/>
              <w:widowControl w:val="0"/>
              <w:rPr>
                <w:color w:val="auto"/>
                <w:sz w:val="15"/>
                <w:szCs w:val="15"/>
              </w:rPr>
            </w:pPr>
            <w:r>
              <w:rPr>
                <w:color w:val="auto"/>
                <w:sz w:val="15"/>
                <w:szCs w:val="15"/>
              </w:rPr>
              <w:t>12</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continue"/>
            <w:tcBorders>
              <w:top w:val="nil"/>
              <w:left w:val="single" w:color="auto" w:sz="12" w:space="0"/>
              <w:bottom w:val="nil"/>
            </w:tcBorders>
            <w:vAlign w:val="center"/>
          </w:tcPr>
          <w:p>
            <w:pPr>
              <w:pStyle w:val="36"/>
              <w:widowControl w:val="0"/>
              <w:rPr>
                <w:color w:val="auto"/>
                <w:sz w:val="15"/>
                <w:szCs w:val="15"/>
              </w:rPr>
            </w:pPr>
          </w:p>
        </w:tc>
        <w:tc>
          <w:tcPr>
            <w:tcW w:w="3571" w:type="dxa"/>
            <w:vAlign w:val="center"/>
          </w:tcPr>
          <w:p>
            <w:pPr>
              <w:pStyle w:val="36"/>
              <w:widowControl w:val="0"/>
              <w:rPr>
                <w:color w:val="auto"/>
                <w:sz w:val="15"/>
                <w:szCs w:val="15"/>
              </w:rPr>
            </w:pPr>
            <w:r>
              <w:rPr>
                <w:color w:val="auto"/>
                <w:sz w:val="15"/>
                <w:szCs w:val="15"/>
              </w:rPr>
              <w:t>工字形截面腹板</w:t>
            </w:r>
          </w:p>
        </w:tc>
        <w:tc>
          <w:tcPr>
            <w:tcW w:w="1100" w:type="dxa"/>
            <w:vAlign w:val="center"/>
          </w:tcPr>
          <w:p>
            <w:pPr>
              <w:pStyle w:val="36"/>
              <w:widowControl w:val="0"/>
              <w:rPr>
                <w:color w:val="auto"/>
                <w:sz w:val="15"/>
                <w:szCs w:val="15"/>
              </w:rPr>
            </w:pPr>
            <w:r>
              <w:rPr>
                <w:color w:val="auto"/>
                <w:sz w:val="15"/>
                <w:szCs w:val="15"/>
              </w:rPr>
              <w:t>43</w:t>
            </w:r>
          </w:p>
        </w:tc>
        <w:tc>
          <w:tcPr>
            <w:tcW w:w="1101" w:type="dxa"/>
            <w:vAlign w:val="center"/>
          </w:tcPr>
          <w:p>
            <w:pPr>
              <w:pStyle w:val="36"/>
              <w:widowControl w:val="0"/>
              <w:rPr>
                <w:color w:val="auto"/>
                <w:sz w:val="15"/>
                <w:szCs w:val="15"/>
              </w:rPr>
            </w:pPr>
            <w:r>
              <w:rPr>
                <w:color w:val="auto"/>
                <w:sz w:val="15"/>
                <w:szCs w:val="15"/>
              </w:rPr>
              <w:t>45</w:t>
            </w:r>
          </w:p>
        </w:tc>
        <w:tc>
          <w:tcPr>
            <w:tcW w:w="1100" w:type="dxa"/>
            <w:vAlign w:val="center"/>
          </w:tcPr>
          <w:p>
            <w:pPr>
              <w:pStyle w:val="36"/>
              <w:widowControl w:val="0"/>
              <w:rPr>
                <w:color w:val="auto"/>
                <w:sz w:val="15"/>
                <w:szCs w:val="15"/>
              </w:rPr>
            </w:pPr>
            <w:r>
              <w:rPr>
                <w:color w:val="auto"/>
                <w:sz w:val="15"/>
                <w:szCs w:val="15"/>
              </w:rPr>
              <w:t>48</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continue"/>
            <w:tcBorders>
              <w:top w:val="nil"/>
              <w:left w:val="single" w:color="auto" w:sz="12" w:space="0"/>
              <w:bottom w:val="nil"/>
            </w:tcBorders>
            <w:vAlign w:val="center"/>
          </w:tcPr>
          <w:p>
            <w:pPr>
              <w:pStyle w:val="36"/>
              <w:widowControl w:val="0"/>
              <w:rPr>
                <w:color w:val="auto"/>
                <w:sz w:val="15"/>
                <w:szCs w:val="15"/>
              </w:rPr>
            </w:pPr>
          </w:p>
        </w:tc>
        <w:tc>
          <w:tcPr>
            <w:tcW w:w="3571" w:type="dxa"/>
            <w:vAlign w:val="center"/>
          </w:tcPr>
          <w:p>
            <w:pPr>
              <w:pStyle w:val="36"/>
              <w:widowControl w:val="0"/>
              <w:rPr>
                <w:color w:val="auto"/>
                <w:sz w:val="15"/>
                <w:szCs w:val="15"/>
              </w:rPr>
            </w:pPr>
            <w:r>
              <w:rPr>
                <w:color w:val="auto"/>
                <w:sz w:val="15"/>
                <w:szCs w:val="15"/>
              </w:rPr>
              <w:t>箱形截面壁板</w:t>
            </w:r>
          </w:p>
        </w:tc>
        <w:tc>
          <w:tcPr>
            <w:tcW w:w="1100" w:type="dxa"/>
            <w:vAlign w:val="center"/>
          </w:tcPr>
          <w:p>
            <w:pPr>
              <w:pStyle w:val="36"/>
              <w:widowControl w:val="0"/>
              <w:rPr>
                <w:color w:val="auto"/>
                <w:sz w:val="15"/>
                <w:szCs w:val="15"/>
              </w:rPr>
            </w:pPr>
            <w:r>
              <w:rPr>
                <w:color w:val="auto"/>
                <w:sz w:val="15"/>
                <w:szCs w:val="15"/>
              </w:rPr>
              <w:t>33</w:t>
            </w:r>
          </w:p>
        </w:tc>
        <w:tc>
          <w:tcPr>
            <w:tcW w:w="1101" w:type="dxa"/>
            <w:vAlign w:val="center"/>
          </w:tcPr>
          <w:p>
            <w:pPr>
              <w:pStyle w:val="36"/>
              <w:widowControl w:val="0"/>
              <w:rPr>
                <w:color w:val="auto"/>
                <w:sz w:val="15"/>
                <w:szCs w:val="15"/>
              </w:rPr>
            </w:pPr>
            <w:r>
              <w:rPr>
                <w:color w:val="auto"/>
                <w:sz w:val="15"/>
                <w:szCs w:val="15"/>
              </w:rPr>
              <w:t>36</w:t>
            </w:r>
          </w:p>
        </w:tc>
        <w:tc>
          <w:tcPr>
            <w:tcW w:w="1100" w:type="dxa"/>
            <w:vAlign w:val="center"/>
          </w:tcPr>
          <w:p>
            <w:pPr>
              <w:pStyle w:val="36"/>
              <w:widowControl w:val="0"/>
              <w:rPr>
                <w:color w:val="auto"/>
                <w:sz w:val="15"/>
                <w:szCs w:val="15"/>
              </w:rPr>
            </w:pPr>
            <w:r>
              <w:rPr>
                <w:color w:val="auto"/>
                <w:sz w:val="15"/>
                <w:szCs w:val="15"/>
              </w:rPr>
              <w:t>38</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continue"/>
            <w:tcBorders>
              <w:top w:val="nil"/>
              <w:left w:val="single" w:color="auto" w:sz="12" w:space="0"/>
              <w:bottom w:val="nil"/>
            </w:tcBorders>
            <w:vAlign w:val="center"/>
          </w:tcPr>
          <w:p>
            <w:pPr>
              <w:pStyle w:val="36"/>
              <w:widowControl w:val="0"/>
              <w:rPr>
                <w:color w:val="auto"/>
                <w:sz w:val="15"/>
                <w:szCs w:val="15"/>
              </w:rPr>
            </w:pPr>
          </w:p>
        </w:tc>
        <w:tc>
          <w:tcPr>
            <w:tcW w:w="3571" w:type="dxa"/>
            <w:vAlign w:val="center"/>
          </w:tcPr>
          <w:p>
            <w:pPr>
              <w:pStyle w:val="36"/>
              <w:widowControl w:val="0"/>
              <w:rPr>
                <w:color w:val="auto"/>
                <w:sz w:val="15"/>
                <w:szCs w:val="15"/>
              </w:rPr>
            </w:pPr>
            <w:r>
              <w:rPr>
                <w:color w:val="auto"/>
                <w:sz w:val="15"/>
                <w:szCs w:val="15"/>
              </w:rPr>
              <w:t>冷成型方管壁板</w:t>
            </w:r>
          </w:p>
        </w:tc>
        <w:tc>
          <w:tcPr>
            <w:tcW w:w="1100" w:type="dxa"/>
            <w:vAlign w:val="center"/>
          </w:tcPr>
          <w:p>
            <w:pPr>
              <w:pStyle w:val="36"/>
              <w:widowControl w:val="0"/>
              <w:rPr>
                <w:color w:val="auto"/>
                <w:sz w:val="15"/>
                <w:szCs w:val="15"/>
              </w:rPr>
            </w:pPr>
            <w:r>
              <w:rPr>
                <w:color w:val="auto"/>
                <w:sz w:val="15"/>
                <w:szCs w:val="15"/>
              </w:rPr>
              <w:t>32</w:t>
            </w:r>
          </w:p>
        </w:tc>
        <w:tc>
          <w:tcPr>
            <w:tcW w:w="1101" w:type="dxa"/>
            <w:vAlign w:val="center"/>
          </w:tcPr>
          <w:p>
            <w:pPr>
              <w:pStyle w:val="36"/>
              <w:widowControl w:val="0"/>
              <w:rPr>
                <w:color w:val="auto"/>
                <w:sz w:val="15"/>
                <w:szCs w:val="15"/>
              </w:rPr>
            </w:pPr>
            <w:r>
              <w:rPr>
                <w:color w:val="auto"/>
                <w:sz w:val="15"/>
                <w:szCs w:val="15"/>
              </w:rPr>
              <w:t>35</w:t>
            </w:r>
          </w:p>
        </w:tc>
        <w:tc>
          <w:tcPr>
            <w:tcW w:w="1100" w:type="dxa"/>
            <w:vAlign w:val="center"/>
          </w:tcPr>
          <w:p>
            <w:pPr>
              <w:pStyle w:val="36"/>
              <w:widowControl w:val="0"/>
              <w:rPr>
                <w:color w:val="auto"/>
                <w:sz w:val="15"/>
                <w:szCs w:val="15"/>
              </w:rPr>
            </w:pPr>
            <w:r>
              <w:rPr>
                <w:color w:val="auto"/>
                <w:sz w:val="15"/>
                <w:szCs w:val="15"/>
              </w:rPr>
              <w:t>37</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continue"/>
            <w:tcBorders>
              <w:top w:val="nil"/>
              <w:left w:val="single" w:color="auto" w:sz="12" w:space="0"/>
            </w:tcBorders>
            <w:vAlign w:val="center"/>
          </w:tcPr>
          <w:p>
            <w:pPr>
              <w:pStyle w:val="36"/>
              <w:widowControl w:val="0"/>
              <w:rPr>
                <w:color w:val="auto"/>
                <w:sz w:val="15"/>
                <w:szCs w:val="15"/>
              </w:rPr>
            </w:pPr>
          </w:p>
        </w:tc>
        <w:tc>
          <w:tcPr>
            <w:tcW w:w="3571" w:type="dxa"/>
            <w:vAlign w:val="center"/>
          </w:tcPr>
          <w:p>
            <w:pPr>
              <w:pStyle w:val="36"/>
              <w:widowControl w:val="0"/>
              <w:rPr>
                <w:color w:val="auto"/>
                <w:sz w:val="15"/>
                <w:szCs w:val="15"/>
              </w:rPr>
            </w:pPr>
            <w:r>
              <w:rPr>
                <w:color w:val="auto"/>
                <w:sz w:val="15"/>
                <w:szCs w:val="15"/>
              </w:rPr>
              <w:t>圆管(径厚比)</w:t>
            </w:r>
          </w:p>
        </w:tc>
        <w:tc>
          <w:tcPr>
            <w:tcW w:w="1100" w:type="dxa"/>
            <w:vAlign w:val="center"/>
          </w:tcPr>
          <w:p>
            <w:pPr>
              <w:pStyle w:val="36"/>
              <w:widowControl w:val="0"/>
              <w:rPr>
                <w:color w:val="auto"/>
                <w:sz w:val="15"/>
                <w:szCs w:val="15"/>
              </w:rPr>
            </w:pPr>
            <w:r>
              <w:rPr>
                <w:color w:val="auto"/>
                <w:sz w:val="15"/>
                <w:szCs w:val="15"/>
              </w:rPr>
              <w:t>50</w:t>
            </w:r>
          </w:p>
        </w:tc>
        <w:tc>
          <w:tcPr>
            <w:tcW w:w="1101" w:type="dxa"/>
            <w:vAlign w:val="center"/>
          </w:tcPr>
          <w:p>
            <w:pPr>
              <w:pStyle w:val="36"/>
              <w:widowControl w:val="0"/>
              <w:rPr>
                <w:color w:val="auto"/>
                <w:sz w:val="15"/>
                <w:szCs w:val="15"/>
              </w:rPr>
            </w:pPr>
            <w:r>
              <w:rPr>
                <w:color w:val="auto"/>
                <w:sz w:val="15"/>
                <w:szCs w:val="15"/>
              </w:rPr>
              <w:t>55</w:t>
            </w:r>
          </w:p>
        </w:tc>
        <w:tc>
          <w:tcPr>
            <w:tcW w:w="1100" w:type="dxa"/>
            <w:vAlign w:val="center"/>
          </w:tcPr>
          <w:p>
            <w:pPr>
              <w:pStyle w:val="36"/>
              <w:widowControl w:val="0"/>
              <w:rPr>
                <w:color w:val="auto"/>
                <w:sz w:val="15"/>
                <w:szCs w:val="15"/>
              </w:rPr>
            </w:pPr>
            <w:r>
              <w:rPr>
                <w:color w:val="auto"/>
                <w:sz w:val="15"/>
                <w:szCs w:val="15"/>
              </w:rPr>
              <w:t>60</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restart"/>
            <w:tcBorders>
              <w:left w:val="single" w:color="auto" w:sz="12" w:space="0"/>
              <w:bottom w:val="nil"/>
            </w:tcBorders>
            <w:vAlign w:val="center"/>
          </w:tcPr>
          <w:p>
            <w:pPr>
              <w:pStyle w:val="36"/>
              <w:widowControl w:val="0"/>
              <w:rPr>
                <w:color w:val="auto"/>
                <w:sz w:val="15"/>
                <w:szCs w:val="15"/>
              </w:rPr>
            </w:pPr>
          </w:p>
          <w:p>
            <w:pPr>
              <w:pStyle w:val="36"/>
              <w:widowControl w:val="0"/>
              <w:rPr>
                <w:color w:val="auto"/>
                <w:sz w:val="15"/>
                <w:szCs w:val="15"/>
              </w:rPr>
            </w:pPr>
            <w:r>
              <w:rPr>
                <w:color w:val="auto"/>
                <w:sz w:val="15"/>
                <w:szCs w:val="15"/>
              </w:rPr>
              <w:t>梁</w:t>
            </w:r>
          </w:p>
        </w:tc>
        <w:tc>
          <w:tcPr>
            <w:tcW w:w="3571" w:type="dxa"/>
            <w:vAlign w:val="center"/>
          </w:tcPr>
          <w:p>
            <w:pPr>
              <w:pStyle w:val="36"/>
              <w:widowControl w:val="0"/>
              <w:rPr>
                <w:color w:val="auto"/>
                <w:sz w:val="15"/>
                <w:szCs w:val="15"/>
              </w:rPr>
            </w:pPr>
            <w:r>
              <w:rPr>
                <w:color w:val="auto"/>
                <w:sz w:val="15"/>
                <w:szCs w:val="15"/>
              </w:rPr>
              <w:t>工字形截面和箱形截面翼缘 外伸部分</w:t>
            </w:r>
          </w:p>
        </w:tc>
        <w:tc>
          <w:tcPr>
            <w:tcW w:w="1100" w:type="dxa"/>
            <w:vAlign w:val="center"/>
          </w:tcPr>
          <w:p>
            <w:pPr>
              <w:pStyle w:val="36"/>
              <w:widowControl w:val="0"/>
              <w:rPr>
                <w:color w:val="auto"/>
                <w:sz w:val="15"/>
                <w:szCs w:val="15"/>
              </w:rPr>
            </w:pPr>
            <w:r>
              <w:rPr>
                <w:color w:val="auto"/>
                <w:sz w:val="15"/>
                <w:szCs w:val="15"/>
              </w:rPr>
              <w:t>9</w:t>
            </w:r>
          </w:p>
        </w:tc>
        <w:tc>
          <w:tcPr>
            <w:tcW w:w="1101" w:type="dxa"/>
            <w:vAlign w:val="center"/>
          </w:tcPr>
          <w:p>
            <w:pPr>
              <w:pStyle w:val="36"/>
              <w:widowControl w:val="0"/>
              <w:rPr>
                <w:color w:val="auto"/>
                <w:sz w:val="15"/>
                <w:szCs w:val="15"/>
              </w:rPr>
            </w:pPr>
            <w:r>
              <w:rPr>
                <w:color w:val="auto"/>
                <w:sz w:val="15"/>
                <w:szCs w:val="15"/>
              </w:rPr>
              <w:t>9</w:t>
            </w:r>
          </w:p>
        </w:tc>
        <w:tc>
          <w:tcPr>
            <w:tcW w:w="1100" w:type="dxa"/>
            <w:vAlign w:val="center"/>
          </w:tcPr>
          <w:p>
            <w:pPr>
              <w:pStyle w:val="36"/>
              <w:widowControl w:val="0"/>
              <w:rPr>
                <w:color w:val="auto"/>
                <w:sz w:val="15"/>
                <w:szCs w:val="15"/>
              </w:rPr>
            </w:pPr>
            <w:r>
              <w:rPr>
                <w:color w:val="auto"/>
                <w:sz w:val="15"/>
                <w:szCs w:val="15"/>
              </w:rPr>
              <w:t>10</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continue"/>
            <w:tcBorders>
              <w:top w:val="nil"/>
              <w:left w:val="single" w:color="auto" w:sz="12" w:space="0"/>
              <w:bottom w:val="nil"/>
            </w:tcBorders>
            <w:vAlign w:val="center"/>
          </w:tcPr>
          <w:p>
            <w:pPr>
              <w:pStyle w:val="36"/>
              <w:widowControl w:val="0"/>
              <w:rPr>
                <w:color w:val="auto"/>
                <w:sz w:val="15"/>
                <w:szCs w:val="15"/>
              </w:rPr>
            </w:pPr>
          </w:p>
        </w:tc>
        <w:tc>
          <w:tcPr>
            <w:tcW w:w="3571" w:type="dxa"/>
            <w:vAlign w:val="center"/>
          </w:tcPr>
          <w:p>
            <w:pPr>
              <w:pStyle w:val="36"/>
              <w:widowControl w:val="0"/>
              <w:rPr>
                <w:color w:val="auto"/>
                <w:sz w:val="15"/>
                <w:szCs w:val="15"/>
              </w:rPr>
            </w:pPr>
            <w:r>
              <w:rPr>
                <w:color w:val="auto"/>
                <w:sz w:val="15"/>
                <w:szCs w:val="15"/>
              </w:rPr>
              <w:t>箱形截面翼缘在两腹板间的 部分</w:t>
            </w:r>
          </w:p>
        </w:tc>
        <w:tc>
          <w:tcPr>
            <w:tcW w:w="1100" w:type="dxa"/>
            <w:vAlign w:val="center"/>
          </w:tcPr>
          <w:p>
            <w:pPr>
              <w:pStyle w:val="36"/>
              <w:widowControl w:val="0"/>
              <w:rPr>
                <w:color w:val="auto"/>
                <w:sz w:val="15"/>
                <w:szCs w:val="15"/>
              </w:rPr>
            </w:pPr>
            <w:r>
              <w:rPr>
                <w:color w:val="auto"/>
                <w:sz w:val="15"/>
                <w:szCs w:val="15"/>
              </w:rPr>
              <w:t>30</w:t>
            </w:r>
          </w:p>
        </w:tc>
        <w:tc>
          <w:tcPr>
            <w:tcW w:w="1101" w:type="dxa"/>
            <w:vAlign w:val="center"/>
          </w:tcPr>
          <w:p>
            <w:pPr>
              <w:pStyle w:val="36"/>
              <w:widowControl w:val="0"/>
              <w:rPr>
                <w:color w:val="auto"/>
                <w:sz w:val="15"/>
                <w:szCs w:val="15"/>
              </w:rPr>
            </w:pPr>
            <w:r>
              <w:rPr>
                <w:color w:val="auto"/>
                <w:sz w:val="15"/>
                <w:szCs w:val="15"/>
              </w:rPr>
              <w:t>30</w:t>
            </w:r>
          </w:p>
        </w:tc>
        <w:tc>
          <w:tcPr>
            <w:tcW w:w="1100" w:type="dxa"/>
            <w:vAlign w:val="center"/>
          </w:tcPr>
          <w:p>
            <w:pPr>
              <w:pStyle w:val="36"/>
              <w:widowControl w:val="0"/>
              <w:rPr>
                <w:color w:val="auto"/>
                <w:sz w:val="15"/>
                <w:szCs w:val="15"/>
              </w:rPr>
            </w:pPr>
            <w:r>
              <w:rPr>
                <w:color w:val="auto"/>
                <w:sz w:val="15"/>
                <w:szCs w:val="15"/>
              </w:rPr>
              <w:t>32</w:t>
            </w:r>
          </w:p>
        </w:tc>
        <w:tc>
          <w:tcPr>
            <w:tcW w:w="1101" w:type="dxa"/>
            <w:tcBorders>
              <w:right w:val="single" w:color="auto" w:sz="12" w:space="0"/>
            </w:tcBorders>
            <w:vAlign w:val="center"/>
          </w:tcPr>
          <w:p>
            <w:pPr>
              <w:pStyle w:val="36"/>
              <w:widowControl w:val="0"/>
              <w:rPr>
                <w:color w:val="auto"/>
                <w:sz w:val="15"/>
                <w:szCs w:val="15"/>
              </w:rPr>
            </w:pPr>
            <w:r>
              <w:rPr>
                <w:color w:val="auto"/>
                <w:sz w:val="15"/>
                <w:szCs w:val="15"/>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 w:hRule="atLeast"/>
          <w:jc w:val="center"/>
        </w:trPr>
        <w:tc>
          <w:tcPr>
            <w:tcW w:w="537" w:type="dxa"/>
            <w:vMerge w:val="continue"/>
            <w:tcBorders>
              <w:top w:val="nil"/>
              <w:left w:val="single" w:color="auto" w:sz="12" w:space="0"/>
              <w:bottom w:val="single" w:color="auto" w:sz="12" w:space="0"/>
            </w:tcBorders>
            <w:vAlign w:val="center"/>
          </w:tcPr>
          <w:p>
            <w:pPr>
              <w:pStyle w:val="36"/>
              <w:widowControl w:val="0"/>
              <w:rPr>
                <w:color w:val="auto"/>
                <w:sz w:val="15"/>
                <w:szCs w:val="15"/>
              </w:rPr>
            </w:pPr>
          </w:p>
        </w:tc>
        <w:tc>
          <w:tcPr>
            <w:tcW w:w="3571" w:type="dxa"/>
            <w:tcBorders>
              <w:bottom w:val="single" w:color="auto" w:sz="12" w:space="0"/>
            </w:tcBorders>
            <w:vAlign w:val="center"/>
          </w:tcPr>
          <w:p>
            <w:pPr>
              <w:pStyle w:val="36"/>
              <w:widowControl w:val="0"/>
              <w:rPr>
                <w:color w:val="auto"/>
                <w:sz w:val="15"/>
                <w:szCs w:val="15"/>
              </w:rPr>
            </w:pPr>
            <w:r>
              <w:rPr>
                <w:color w:val="auto"/>
                <w:sz w:val="15"/>
                <w:szCs w:val="15"/>
              </w:rPr>
              <w:t>工字形截面和箱形截面腹板</w:t>
            </w:r>
          </w:p>
        </w:tc>
        <w:tc>
          <w:tcPr>
            <w:tcW w:w="1100" w:type="dxa"/>
            <w:tcBorders>
              <w:bottom w:val="single" w:color="auto" w:sz="12" w:space="0"/>
            </w:tcBorders>
            <w:vAlign w:val="center"/>
          </w:tcPr>
          <w:p>
            <w:pPr>
              <w:pStyle w:val="36"/>
              <w:widowControl w:val="0"/>
              <w:rPr>
                <w:color w:val="auto"/>
                <w:sz w:val="15"/>
                <w:szCs w:val="15"/>
              </w:rPr>
            </w:pPr>
            <w:r>
              <w:rPr>
                <w:color w:val="auto"/>
                <w:sz w:val="15"/>
                <w:szCs w:val="15"/>
              </w:rPr>
              <w:t>72-120</w:t>
            </w:r>
            <w:r>
              <w:rPr>
                <w:rFonts w:ascii="Symbol" w:hAnsi="Symbol" w:eastAsia="Symbol" w:cs="Symbol"/>
              </w:rPr>
              <w:t></w:t>
            </w:r>
          </w:p>
        </w:tc>
        <w:tc>
          <w:tcPr>
            <w:tcW w:w="1101" w:type="dxa"/>
            <w:tcBorders>
              <w:bottom w:val="single" w:color="auto" w:sz="12" w:space="0"/>
            </w:tcBorders>
            <w:vAlign w:val="center"/>
          </w:tcPr>
          <w:p>
            <w:pPr>
              <w:pStyle w:val="36"/>
              <w:widowControl w:val="0"/>
              <w:rPr>
                <w:color w:val="auto"/>
                <w:sz w:val="15"/>
                <w:szCs w:val="15"/>
              </w:rPr>
            </w:pPr>
            <w:r>
              <w:rPr>
                <w:color w:val="auto"/>
                <w:sz w:val="15"/>
                <w:szCs w:val="15"/>
              </w:rPr>
              <w:t>72-100</w:t>
            </w:r>
            <w:r>
              <w:rPr>
                <w:rFonts w:ascii="Symbol" w:hAnsi="Symbol" w:eastAsia="Symbol" w:cs="Symbol"/>
              </w:rPr>
              <w:t></w:t>
            </w:r>
          </w:p>
        </w:tc>
        <w:tc>
          <w:tcPr>
            <w:tcW w:w="1100" w:type="dxa"/>
            <w:tcBorders>
              <w:bottom w:val="single" w:color="auto" w:sz="12" w:space="0"/>
            </w:tcBorders>
            <w:vAlign w:val="center"/>
          </w:tcPr>
          <w:p>
            <w:pPr>
              <w:pStyle w:val="36"/>
              <w:widowControl w:val="0"/>
              <w:rPr>
                <w:color w:val="auto"/>
                <w:sz w:val="15"/>
                <w:szCs w:val="15"/>
              </w:rPr>
            </w:pPr>
            <w:r>
              <w:rPr>
                <w:color w:val="auto"/>
                <w:sz w:val="15"/>
                <w:szCs w:val="15"/>
              </w:rPr>
              <w:t>80-110</w:t>
            </w:r>
            <w:r>
              <w:rPr>
                <w:rFonts w:ascii="Symbol" w:hAnsi="Symbol" w:eastAsia="Symbol" w:cs="Symbol"/>
              </w:rPr>
              <w:t></w:t>
            </w:r>
          </w:p>
        </w:tc>
        <w:tc>
          <w:tcPr>
            <w:tcW w:w="1101" w:type="dxa"/>
            <w:tcBorders>
              <w:bottom w:val="single" w:color="auto" w:sz="12" w:space="0"/>
              <w:right w:val="single" w:color="auto" w:sz="12" w:space="0"/>
            </w:tcBorders>
            <w:vAlign w:val="center"/>
          </w:tcPr>
          <w:p>
            <w:pPr>
              <w:pStyle w:val="36"/>
              <w:widowControl w:val="0"/>
              <w:rPr>
                <w:color w:val="auto"/>
                <w:sz w:val="15"/>
                <w:szCs w:val="15"/>
              </w:rPr>
            </w:pPr>
            <w:r>
              <w:rPr>
                <w:color w:val="auto"/>
                <w:sz w:val="15"/>
                <w:szCs w:val="15"/>
              </w:rPr>
              <w:t>85-120</w:t>
            </w:r>
            <w:r>
              <w:rPr>
                <w:rFonts w:ascii="Symbol" w:hAnsi="Symbol" w:eastAsia="Symbol" w:cs="Symbol"/>
              </w:rPr>
              <w:t></w:t>
            </w:r>
          </w:p>
        </w:tc>
      </w:tr>
    </w:tbl>
    <w:p>
      <w:pPr>
        <w:spacing w:line="240" w:lineRule="auto"/>
        <w:ind w:firstLine="420" w:firstLineChars="200"/>
        <w:rPr>
          <w:bCs/>
          <w:szCs w:val="21"/>
        </w:rPr>
      </w:pPr>
      <w:r>
        <w:rPr>
          <w:bCs/>
          <w:szCs w:val="21"/>
        </w:rPr>
        <w:t>注：表中</w:t>
      </w:r>
      <w:r>
        <w:rPr>
          <w:rFonts w:ascii="Symbol" w:hAnsi="Symbol" w:eastAsia="Symbol" w:cs="Symbol"/>
        </w:rPr>
        <w:t></w:t>
      </w:r>
      <w:r>
        <w:rPr>
          <w:rFonts w:hint="eastAsia" w:cs="Symbol" w:asciiTheme="minorEastAsia" w:hAnsiTheme="minorEastAsia" w:eastAsiaTheme="minorEastAsia"/>
        </w:rPr>
        <w:t>=</w:t>
      </w:r>
      <w:r>
        <w:rPr>
          <w:bCs/>
          <w:szCs w:val="21"/>
        </w:rPr>
        <w:t xml:space="preserve"> N/</w:t>
      </w:r>
      <w:r>
        <w:rPr>
          <w:rFonts w:hint="eastAsia"/>
          <w:bCs/>
          <w:szCs w:val="21"/>
        </w:rPr>
        <w:t>（</w:t>
      </w:r>
      <w:r>
        <w:rPr>
          <w:bCs/>
          <w:szCs w:val="21"/>
        </w:rPr>
        <w:t>Af</w:t>
      </w:r>
      <w:r>
        <w:rPr>
          <w:rFonts w:hint="eastAsia"/>
          <w:bCs/>
          <w:szCs w:val="21"/>
        </w:rPr>
        <w:t>）</w:t>
      </w:r>
      <w:r>
        <w:rPr>
          <w:bCs/>
          <w:szCs w:val="21"/>
        </w:rPr>
        <w:t>为梁轴压比；</w:t>
      </w:r>
    </w:p>
    <w:p>
      <w:pPr>
        <w:spacing w:line="240" w:lineRule="auto"/>
        <w:ind w:firstLine="420" w:firstLineChars="200"/>
        <w:rPr>
          <w:bCs/>
          <w:szCs w:val="21"/>
        </w:rPr>
      </w:pPr>
      <w:r>
        <w:rPr>
          <w:bCs/>
          <w:szCs w:val="21"/>
        </w:rPr>
        <w:t xml:space="preserve">表列数值适用于 Q235 钢，采用其他牌号钢材时应乘以 </w:t>
      </w:r>
      <w:r>
        <w:rPr>
          <w:bCs/>
          <w:szCs w:val="21"/>
        </w:rPr>
        <w:drawing>
          <wp:inline distT="0" distB="0" distL="0" distR="0">
            <wp:extent cx="396240" cy="155575"/>
            <wp:effectExtent l="0" t="0" r="3810" b="15875"/>
            <wp:docPr id="175" name="IM 175"/>
            <wp:cNvGraphicFramePr/>
            <a:graphic xmlns:a="http://schemas.openxmlformats.org/drawingml/2006/main">
              <a:graphicData uri="http://schemas.openxmlformats.org/drawingml/2006/picture">
                <pic:pic xmlns:pic="http://schemas.openxmlformats.org/drawingml/2006/picture">
                  <pic:nvPicPr>
                    <pic:cNvPr id="175" name="IM 175"/>
                    <pic:cNvPicPr/>
                  </pic:nvPicPr>
                  <pic:blipFill>
                    <a:blip r:embed="rId17"/>
                    <a:stretch>
                      <a:fillRect/>
                    </a:stretch>
                  </pic:blipFill>
                  <pic:spPr>
                    <a:xfrm>
                      <a:off x="0" y="0"/>
                      <a:ext cx="396502" cy="155712"/>
                    </a:xfrm>
                    <a:prstGeom prst="rect">
                      <a:avLst/>
                    </a:prstGeom>
                  </pic:spPr>
                </pic:pic>
              </a:graphicData>
            </a:graphic>
          </wp:inline>
        </w:drawing>
      </w:r>
      <w:r>
        <w:rPr>
          <w:bCs/>
          <w:szCs w:val="21"/>
        </w:rPr>
        <w:t>，圆管应乘以235 / f</w:t>
      </w:r>
      <w:r>
        <w:rPr>
          <w:bCs/>
          <w:szCs w:val="21"/>
          <w:vertAlign w:val="subscript"/>
        </w:rPr>
        <w:t>y</w:t>
      </w:r>
      <w:r>
        <w:rPr>
          <w:bCs/>
          <w:szCs w:val="21"/>
        </w:rPr>
        <w:t>；</w:t>
      </w:r>
    </w:p>
    <w:p>
      <w:pPr>
        <w:spacing w:line="240" w:lineRule="auto"/>
        <w:ind w:firstLine="420" w:firstLineChars="200"/>
        <w:rPr>
          <w:bCs/>
          <w:szCs w:val="21"/>
        </w:rPr>
      </w:pPr>
      <w:r>
        <w:rPr>
          <w:bCs/>
          <w:szCs w:val="21"/>
        </w:rPr>
        <w:t>工字形梁和箱形梁的腹板宽厚比， 一、二、三、四级分别不宜大于 60、65、70、75；</w:t>
      </w:r>
    </w:p>
    <w:p>
      <w:pPr>
        <w:spacing w:line="240" w:lineRule="auto"/>
        <w:ind w:firstLine="420" w:firstLineChars="200"/>
        <w:rPr>
          <w:bCs/>
          <w:szCs w:val="21"/>
        </w:rPr>
      </w:pPr>
      <w:r>
        <w:rPr>
          <w:bCs/>
          <w:szCs w:val="21"/>
        </w:rPr>
        <w:t>冷成型方管适用于 Q235GJ 或 Q345GJ 钢。</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钢框架柱的长细比应符合表</w:t>
      </w:r>
      <w:r>
        <w:rPr>
          <w:bCs/>
          <w:szCs w:val="21"/>
        </w:rPr>
        <w:t>2</w:t>
      </w:r>
      <w:r>
        <w:rPr>
          <w:rFonts w:hint="eastAsia"/>
          <w:bCs/>
          <w:szCs w:val="21"/>
        </w:rPr>
        <w:t xml:space="preserve"> 的规定：</w:t>
      </w:r>
    </w:p>
    <w:p>
      <w:pPr>
        <w:spacing w:line="240" w:lineRule="auto"/>
        <w:ind w:left="-6"/>
        <w:jc w:val="center"/>
        <w:rPr>
          <w:rFonts w:eastAsia="黑体" w:cs="黑体"/>
          <w:bCs/>
          <w:sz w:val="18"/>
          <w:szCs w:val="18"/>
        </w:rPr>
      </w:pPr>
      <w:r>
        <w:rPr>
          <w:rFonts w:eastAsia="黑体" w:cs="黑体"/>
          <w:bCs/>
          <w:sz w:val="18"/>
          <w:szCs w:val="18"/>
        </w:rPr>
        <w:t>表</w:t>
      </w:r>
      <w:r>
        <w:rPr>
          <w:rFonts w:eastAsia="黑体" w:cs="黑体"/>
          <w:b/>
          <w:bCs/>
          <w:sz w:val="18"/>
          <w:szCs w:val="18"/>
        </w:rPr>
        <w:t>2</w:t>
      </w:r>
      <w:r>
        <w:rPr>
          <w:rFonts w:eastAsia="黑体" w:cs="黑体"/>
          <w:bCs/>
          <w:sz w:val="18"/>
          <w:szCs w:val="18"/>
        </w:rPr>
        <w:t xml:space="preserve">  钢框架柱的长细比限值</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0" w:type="dxa"/>
          <w:bottom w:w="0" w:type="dxa"/>
          <w:right w:w="0" w:type="dxa"/>
        </w:tblCellMar>
      </w:tblPr>
      <w:tblGrid>
        <w:gridCol w:w="1823"/>
        <w:gridCol w:w="2008"/>
        <w:gridCol w:w="1908"/>
        <w:gridCol w:w="1906"/>
        <w:gridCol w:w="1649"/>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47" w:type="dxa"/>
          </w:tcPr>
          <w:p>
            <w:pPr>
              <w:pStyle w:val="36"/>
              <w:widowControl w:val="0"/>
              <w:rPr>
                <w:color w:val="auto"/>
                <w:sz w:val="15"/>
                <w:szCs w:val="15"/>
              </w:rPr>
            </w:pPr>
            <w:r>
              <w:rPr>
                <w:color w:val="auto"/>
                <w:sz w:val="15"/>
                <w:szCs w:val="15"/>
              </w:rPr>
              <w:t>抗震等级</w:t>
            </w:r>
          </w:p>
        </w:tc>
        <w:tc>
          <w:tcPr>
            <w:tcW w:w="1043" w:type="dxa"/>
          </w:tcPr>
          <w:p>
            <w:pPr>
              <w:pStyle w:val="36"/>
              <w:widowControl w:val="0"/>
              <w:rPr>
                <w:color w:val="auto"/>
                <w:sz w:val="15"/>
                <w:szCs w:val="15"/>
              </w:rPr>
            </w:pPr>
            <w:r>
              <w:rPr>
                <w:color w:val="auto"/>
                <w:sz w:val="15"/>
                <w:szCs w:val="15"/>
              </w:rPr>
              <w:t>一级</w:t>
            </w:r>
          </w:p>
        </w:tc>
        <w:tc>
          <w:tcPr>
            <w:tcW w:w="991" w:type="dxa"/>
          </w:tcPr>
          <w:p>
            <w:pPr>
              <w:pStyle w:val="36"/>
              <w:widowControl w:val="0"/>
              <w:rPr>
                <w:color w:val="auto"/>
                <w:sz w:val="15"/>
                <w:szCs w:val="15"/>
              </w:rPr>
            </w:pPr>
            <w:r>
              <w:rPr>
                <w:color w:val="auto"/>
                <w:sz w:val="15"/>
                <w:szCs w:val="15"/>
              </w:rPr>
              <w:t>二级</w:t>
            </w:r>
          </w:p>
        </w:tc>
        <w:tc>
          <w:tcPr>
            <w:tcW w:w="990" w:type="dxa"/>
          </w:tcPr>
          <w:p>
            <w:pPr>
              <w:pStyle w:val="36"/>
              <w:widowControl w:val="0"/>
              <w:rPr>
                <w:color w:val="auto"/>
                <w:sz w:val="15"/>
                <w:szCs w:val="15"/>
              </w:rPr>
            </w:pPr>
            <w:r>
              <w:rPr>
                <w:color w:val="auto"/>
                <w:sz w:val="15"/>
                <w:szCs w:val="15"/>
              </w:rPr>
              <w:t>三级</w:t>
            </w:r>
          </w:p>
        </w:tc>
        <w:tc>
          <w:tcPr>
            <w:tcW w:w="856" w:type="dxa"/>
          </w:tcPr>
          <w:p>
            <w:pPr>
              <w:pStyle w:val="36"/>
              <w:widowControl w:val="0"/>
              <w:rPr>
                <w:color w:val="auto"/>
                <w:sz w:val="15"/>
                <w:szCs w:val="15"/>
              </w:rPr>
            </w:pPr>
            <w:r>
              <w:rPr>
                <w:color w:val="auto"/>
                <w:sz w:val="15"/>
                <w:szCs w:val="15"/>
              </w:rPr>
              <w:t>四级</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947" w:type="dxa"/>
          </w:tcPr>
          <w:p>
            <w:pPr>
              <w:pStyle w:val="36"/>
              <w:widowControl w:val="0"/>
              <w:rPr>
                <w:color w:val="auto"/>
                <w:sz w:val="15"/>
                <w:szCs w:val="15"/>
              </w:rPr>
            </w:pPr>
            <w:r>
              <w:rPr>
                <w:color w:val="auto"/>
                <w:sz w:val="15"/>
                <w:szCs w:val="15"/>
              </w:rPr>
              <w:t>长细比</w:t>
            </w:r>
          </w:p>
        </w:tc>
        <w:tc>
          <w:tcPr>
            <w:tcW w:w="1043" w:type="dxa"/>
          </w:tcPr>
          <w:p>
            <w:pPr>
              <w:pStyle w:val="36"/>
              <w:widowControl w:val="0"/>
              <w:rPr>
                <w:color w:val="auto"/>
                <w:sz w:val="15"/>
                <w:szCs w:val="15"/>
              </w:rPr>
            </w:pPr>
            <w:r>
              <w:rPr>
                <w:color w:val="auto"/>
                <w:sz w:val="15"/>
                <w:szCs w:val="15"/>
              </w:rPr>
              <w:t>60</w:t>
            </w:r>
          </w:p>
        </w:tc>
        <w:tc>
          <w:tcPr>
            <w:tcW w:w="991" w:type="dxa"/>
          </w:tcPr>
          <w:p>
            <w:pPr>
              <w:pStyle w:val="36"/>
              <w:widowControl w:val="0"/>
              <w:rPr>
                <w:color w:val="auto"/>
                <w:sz w:val="15"/>
                <w:szCs w:val="15"/>
              </w:rPr>
            </w:pPr>
            <w:r>
              <w:rPr>
                <w:color w:val="auto"/>
                <w:sz w:val="15"/>
                <w:szCs w:val="15"/>
              </w:rPr>
              <w:t>70</w:t>
            </w:r>
          </w:p>
        </w:tc>
        <w:tc>
          <w:tcPr>
            <w:tcW w:w="990" w:type="dxa"/>
          </w:tcPr>
          <w:p>
            <w:pPr>
              <w:pStyle w:val="36"/>
              <w:widowControl w:val="0"/>
              <w:rPr>
                <w:color w:val="auto"/>
                <w:sz w:val="15"/>
                <w:szCs w:val="15"/>
              </w:rPr>
            </w:pPr>
            <w:r>
              <w:rPr>
                <w:color w:val="auto"/>
                <w:sz w:val="15"/>
                <w:szCs w:val="15"/>
              </w:rPr>
              <w:t>80</w:t>
            </w:r>
          </w:p>
        </w:tc>
        <w:tc>
          <w:tcPr>
            <w:tcW w:w="856" w:type="dxa"/>
          </w:tcPr>
          <w:p>
            <w:pPr>
              <w:pStyle w:val="36"/>
              <w:widowControl w:val="0"/>
              <w:rPr>
                <w:color w:val="auto"/>
                <w:sz w:val="15"/>
                <w:szCs w:val="15"/>
              </w:rPr>
            </w:pPr>
            <w:r>
              <w:rPr>
                <w:color w:val="auto"/>
                <w:sz w:val="15"/>
                <w:szCs w:val="15"/>
              </w:rPr>
              <w:t>100</w:t>
            </w:r>
          </w:p>
        </w:tc>
      </w:tr>
    </w:tbl>
    <w:p>
      <w:pPr>
        <w:spacing w:line="240" w:lineRule="auto"/>
        <w:ind w:firstLine="420" w:firstLineChars="200"/>
        <w:rPr>
          <w:bCs/>
          <w:szCs w:val="21"/>
        </w:rPr>
      </w:pPr>
      <w:r>
        <w:rPr>
          <w:bCs/>
          <w:szCs w:val="21"/>
        </w:rPr>
        <w:t xml:space="preserve">注：表列数值适用于 Q235 钢， 采用其他牌号钢材时应乘以 </w:t>
      </w:r>
      <w:r>
        <w:rPr>
          <w:bCs/>
          <w:szCs w:val="21"/>
        </w:rPr>
        <w:drawing>
          <wp:inline distT="0" distB="0" distL="0" distR="0">
            <wp:extent cx="415290" cy="162560"/>
            <wp:effectExtent l="0" t="0" r="3810" b="8890"/>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18"/>
                    <a:stretch>
                      <a:fillRect/>
                    </a:stretch>
                  </pic:blipFill>
                  <pic:spPr>
                    <a:xfrm>
                      <a:off x="0" y="0"/>
                      <a:ext cx="415549" cy="163029"/>
                    </a:xfrm>
                    <a:prstGeom prst="rect">
                      <a:avLst/>
                    </a:prstGeom>
                  </pic:spPr>
                </pic:pic>
              </a:graphicData>
            </a:graphic>
          </wp:inline>
        </w:drawing>
      </w:r>
      <w:r>
        <w:rPr>
          <w:bCs/>
          <w:szCs w:val="21"/>
        </w:rPr>
        <w:t>，圆管应乘以235 / f</w:t>
      </w:r>
      <w:r>
        <w:rPr>
          <w:bCs/>
          <w:szCs w:val="21"/>
          <w:vertAlign w:val="subscript"/>
        </w:rPr>
        <w:t>y</w:t>
      </w:r>
      <w:r>
        <w:rPr>
          <w:bCs/>
          <w:szCs w:val="21"/>
        </w:rPr>
        <w:t>。</w:t>
      </w:r>
    </w:p>
    <w:p>
      <w:pPr>
        <w:spacing w:line="240" w:lineRule="auto"/>
        <w:ind w:firstLine="421" w:firstLineChars="200"/>
        <w:rPr>
          <w:bCs/>
          <w:szCs w:val="21"/>
        </w:rPr>
      </w:pPr>
      <w:r>
        <w:rPr>
          <w:b/>
          <w:bCs/>
          <w:szCs w:val="21"/>
        </w:rPr>
        <w:t>3</w:t>
      </w:r>
      <w:r>
        <w:rPr>
          <w:bCs/>
          <w:szCs w:val="21"/>
        </w:rPr>
        <w:t xml:space="preserve">  中心支撑杆件的长细比，按压杆设计时</w:t>
      </w:r>
      <w:r>
        <w:rPr>
          <w:rFonts w:hint="eastAsia"/>
          <w:bCs/>
          <w:szCs w:val="21"/>
        </w:rPr>
        <w:t>，</w:t>
      </w:r>
      <w:r>
        <w:rPr>
          <w:bCs/>
          <w:szCs w:val="21"/>
        </w:rPr>
        <w:t xml:space="preserve">不应大于120 </w:t>
      </w:r>
      <w:r>
        <w:rPr>
          <w:bCs/>
          <w:szCs w:val="21"/>
        </w:rPr>
        <w:drawing>
          <wp:inline distT="0" distB="0" distL="0" distR="0">
            <wp:extent cx="396875" cy="155575"/>
            <wp:effectExtent l="0" t="0" r="3175" b="0"/>
            <wp:docPr id="25" name="IM 178"/>
            <wp:cNvGraphicFramePr/>
            <a:graphic xmlns:a="http://schemas.openxmlformats.org/drawingml/2006/main">
              <a:graphicData uri="http://schemas.openxmlformats.org/drawingml/2006/picture">
                <pic:pic xmlns:pic="http://schemas.openxmlformats.org/drawingml/2006/picture">
                  <pic:nvPicPr>
                    <pic:cNvPr id="25" name="IM 178"/>
                    <pic:cNvPicPr/>
                  </pic:nvPicPr>
                  <pic:blipFill>
                    <a:blip r:embed="rId19"/>
                    <a:stretch>
                      <a:fillRect/>
                    </a:stretch>
                  </pic:blipFill>
                  <pic:spPr>
                    <a:xfrm>
                      <a:off x="0" y="0"/>
                      <a:ext cx="403357" cy="158178"/>
                    </a:xfrm>
                    <a:prstGeom prst="rect">
                      <a:avLst/>
                    </a:prstGeom>
                  </pic:spPr>
                </pic:pic>
              </a:graphicData>
            </a:graphic>
          </wp:inline>
        </w:drawing>
      </w:r>
      <w:r>
        <w:rPr>
          <w:bCs/>
          <w:szCs w:val="21"/>
        </w:rPr>
        <w:t xml:space="preserve"> ，一级、 二级、三级中心支撑斜杆不得采用拉杆设计</w:t>
      </w:r>
      <w:r>
        <w:rPr>
          <w:rFonts w:hint="eastAsia"/>
          <w:bCs/>
          <w:szCs w:val="21"/>
        </w:rPr>
        <w:t>；</w:t>
      </w:r>
      <w:r>
        <w:rPr>
          <w:bCs/>
          <w:szCs w:val="21"/>
        </w:rPr>
        <w:t>四级采用拉杆设计时，其长细比不应大于 180。中心支撑杆件的板件宽厚比， 不应大于表3 规定的限值。采用节点板连接时，应注意节点板的强度和稳定。</w:t>
      </w:r>
    </w:p>
    <w:p>
      <w:pPr>
        <w:spacing w:line="240" w:lineRule="auto"/>
        <w:ind w:left="-6"/>
        <w:jc w:val="center"/>
        <w:rPr>
          <w:rFonts w:eastAsia="黑体" w:cs="黑体"/>
          <w:bCs/>
          <w:sz w:val="18"/>
          <w:szCs w:val="18"/>
        </w:rPr>
      </w:pPr>
      <w:r>
        <w:rPr>
          <w:rFonts w:eastAsia="黑体" w:cs="黑体"/>
          <w:bCs/>
          <w:sz w:val="18"/>
          <w:szCs w:val="18"/>
        </w:rPr>
        <w:t>表</w:t>
      </w:r>
      <w:r>
        <w:rPr>
          <w:rFonts w:eastAsia="黑体" w:cs="黑体"/>
          <w:b/>
          <w:bCs/>
          <w:sz w:val="18"/>
          <w:szCs w:val="18"/>
        </w:rPr>
        <w:t xml:space="preserve">3  </w:t>
      </w:r>
      <w:r>
        <w:rPr>
          <w:rFonts w:eastAsia="黑体" w:cs="黑体"/>
          <w:bCs/>
          <w:sz w:val="18"/>
          <w:szCs w:val="18"/>
        </w:rPr>
        <w:t>钢结构中心支撑板件宽厚比限值</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0" w:type="dxa"/>
          <w:bottom w:w="0" w:type="dxa"/>
          <w:right w:w="0" w:type="dxa"/>
        </w:tblCellMar>
      </w:tblPr>
      <w:tblGrid>
        <w:gridCol w:w="2872"/>
        <w:gridCol w:w="1584"/>
        <w:gridCol w:w="1621"/>
        <w:gridCol w:w="1586"/>
        <w:gridCol w:w="1631"/>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853" w:type="dxa"/>
          </w:tcPr>
          <w:p>
            <w:pPr>
              <w:pStyle w:val="36"/>
              <w:rPr>
                <w:color w:val="auto"/>
                <w:sz w:val="15"/>
                <w:szCs w:val="15"/>
              </w:rPr>
            </w:pPr>
            <w:r>
              <w:rPr>
                <w:color w:val="auto"/>
                <w:sz w:val="15"/>
                <w:szCs w:val="15"/>
              </w:rPr>
              <w:t>构件名称</w:t>
            </w:r>
          </w:p>
        </w:tc>
        <w:tc>
          <w:tcPr>
            <w:tcW w:w="1574" w:type="dxa"/>
          </w:tcPr>
          <w:p>
            <w:pPr>
              <w:pStyle w:val="36"/>
              <w:rPr>
                <w:color w:val="auto"/>
                <w:sz w:val="15"/>
                <w:szCs w:val="15"/>
              </w:rPr>
            </w:pPr>
            <w:r>
              <w:rPr>
                <w:color w:val="auto"/>
                <w:sz w:val="15"/>
                <w:szCs w:val="15"/>
              </w:rPr>
              <w:t>一级</w:t>
            </w:r>
          </w:p>
        </w:tc>
        <w:tc>
          <w:tcPr>
            <w:tcW w:w="1611" w:type="dxa"/>
          </w:tcPr>
          <w:p>
            <w:pPr>
              <w:pStyle w:val="36"/>
              <w:rPr>
                <w:color w:val="auto"/>
                <w:sz w:val="15"/>
                <w:szCs w:val="15"/>
              </w:rPr>
            </w:pPr>
            <w:r>
              <w:rPr>
                <w:color w:val="auto"/>
                <w:sz w:val="15"/>
                <w:szCs w:val="15"/>
              </w:rPr>
              <w:t>二级</w:t>
            </w:r>
          </w:p>
        </w:tc>
        <w:tc>
          <w:tcPr>
            <w:tcW w:w="1576" w:type="dxa"/>
          </w:tcPr>
          <w:p>
            <w:pPr>
              <w:pStyle w:val="36"/>
              <w:rPr>
                <w:color w:val="auto"/>
                <w:sz w:val="15"/>
                <w:szCs w:val="15"/>
              </w:rPr>
            </w:pPr>
            <w:r>
              <w:rPr>
                <w:color w:val="auto"/>
                <w:sz w:val="15"/>
                <w:szCs w:val="15"/>
              </w:rPr>
              <w:t>三级</w:t>
            </w:r>
          </w:p>
        </w:tc>
        <w:tc>
          <w:tcPr>
            <w:tcW w:w="1620" w:type="dxa"/>
          </w:tcPr>
          <w:p>
            <w:pPr>
              <w:pStyle w:val="36"/>
              <w:rPr>
                <w:color w:val="auto"/>
                <w:sz w:val="15"/>
                <w:szCs w:val="15"/>
              </w:rPr>
            </w:pPr>
            <w:r>
              <w:rPr>
                <w:color w:val="auto"/>
                <w:sz w:val="15"/>
                <w:szCs w:val="15"/>
              </w:rPr>
              <w:t>四级</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853" w:type="dxa"/>
          </w:tcPr>
          <w:p>
            <w:pPr>
              <w:pStyle w:val="36"/>
              <w:rPr>
                <w:color w:val="auto"/>
                <w:sz w:val="15"/>
                <w:szCs w:val="15"/>
              </w:rPr>
            </w:pPr>
            <w:r>
              <w:rPr>
                <w:color w:val="auto"/>
                <w:sz w:val="15"/>
                <w:szCs w:val="15"/>
              </w:rPr>
              <w:t>翼缘外伸部分</w:t>
            </w:r>
          </w:p>
        </w:tc>
        <w:tc>
          <w:tcPr>
            <w:tcW w:w="1574" w:type="dxa"/>
          </w:tcPr>
          <w:p>
            <w:pPr>
              <w:pStyle w:val="36"/>
              <w:rPr>
                <w:color w:val="auto"/>
                <w:sz w:val="15"/>
                <w:szCs w:val="15"/>
              </w:rPr>
            </w:pPr>
            <w:r>
              <w:rPr>
                <w:color w:val="auto"/>
                <w:sz w:val="15"/>
                <w:szCs w:val="15"/>
              </w:rPr>
              <w:t>8</w:t>
            </w:r>
          </w:p>
        </w:tc>
        <w:tc>
          <w:tcPr>
            <w:tcW w:w="1611" w:type="dxa"/>
          </w:tcPr>
          <w:p>
            <w:pPr>
              <w:pStyle w:val="36"/>
              <w:rPr>
                <w:color w:val="auto"/>
                <w:sz w:val="15"/>
                <w:szCs w:val="15"/>
              </w:rPr>
            </w:pPr>
            <w:r>
              <w:rPr>
                <w:color w:val="auto"/>
                <w:sz w:val="15"/>
                <w:szCs w:val="15"/>
              </w:rPr>
              <w:t>9</w:t>
            </w:r>
          </w:p>
        </w:tc>
        <w:tc>
          <w:tcPr>
            <w:tcW w:w="1576" w:type="dxa"/>
          </w:tcPr>
          <w:p>
            <w:pPr>
              <w:pStyle w:val="36"/>
              <w:rPr>
                <w:color w:val="auto"/>
                <w:sz w:val="15"/>
                <w:szCs w:val="15"/>
              </w:rPr>
            </w:pPr>
            <w:r>
              <w:rPr>
                <w:color w:val="auto"/>
                <w:sz w:val="15"/>
                <w:szCs w:val="15"/>
              </w:rPr>
              <w:t>10</w:t>
            </w:r>
          </w:p>
        </w:tc>
        <w:tc>
          <w:tcPr>
            <w:tcW w:w="1620" w:type="dxa"/>
          </w:tcPr>
          <w:p>
            <w:pPr>
              <w:pStyle w:val="36"/>
              <w:rPr>
                <w:color w:val="auto"/>
                <w:sz w:val="15"/>
                <w:szCs w:val="15"/>
              </w:rPr>
            </w:pPr>
            <w:r>
              <w:rPr>
                <w:color w:val="auto"/>
                <w:sz w:val="15"/>
                <w:szCs w:val="15"/>
              </w:rPr>
              <w:t>13</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853" w:type="dxa"/>
          </w:tcPr>
          <w:p>
            <w:pPr>
              <w:pStyle w:val="36"/>
              <w:rPr>
                <w:color w:val="auto"/>
                <w:sz w:val="15"/>
                <w:szCs w:val="15"/>
              </w:rPr>
            </w:pPr>
            <w:r>
              <w:rPr>
                <w:color w:val="auto"/>
                <w:sz w:val="15"/>
                <w:szCs w:val="15"/>
              </w:rPr>
              <w:t>H形截面腹板</w:t>
            </w:r>
          </w:p>
        </w:tc>
        <w:tc>
          <w:tcPr>
            <w:tcW w:w="1574" w:type="dxa"/>
          </w:tcPr>
          <w:p>
            <w:pPr>
              <w:pStyle w:val="36"/>
              <w:rPr>
                <w:color w:val="auto"/>
                <w:sz w:val="15"/>
                <w:szCs w:val="15"/>
              </w:rPr>
            </w:pPr>
            <w:r>
              <w:rPr>
                <w:color w:val="auto"/>
                <w:sz w:val="15"/>
                <w:szCs w:val="15"/>
              </w:rPr>
              <w:t>25</w:t>
            </w:r>
          </w:p>
        </w:tc>
        <w:tc>
          <w:tcPr>
            <w:tcW w:w="1611" w:type="dxa"/>
          </w:tcPr>
          <w:p>
            <w:pPr>
              <w:pStyle w:val="36"/>
              <w:rPr>
                <w:color w:val="auto"/>
                <w:sz w:val="15"/>
                <w:szCs w:val="15"/>
              </w:rPr>
            </w:pPr>
            <w:r>
              <w:rPr>
                <w:color w:val="auto"/>
                <w:sz w:val="15"/>
                <w:szCs w:val="15"/>
              </w:rPr>
              <w:t>26</w:t>
            </w:r>
          </w:p>
        </w:tc>
        <w:tc>
          <w:tcPr>
            <w:tcW w:w="1576" w:type="dxa"/>
          </w:tcPr>
          <w:p>
            <w:pPr>
              <w:pStyle w:val="36"/>
              <w:rPr>
                <w:color w:val="auto"/>
                <w:sz w:val="15"/>
                <w:szCs w:val="15"/>
              </w:rPr>
            </w:pPr>
            <w:r>
              <w:rPr>
                <w:color w:val="auto"/>
                <w:sz w:val="15"/>
                <w:szCs w:val="15"/>
              </w:rPr>
              <w:t>27</w:t>
            </w:r>
          </w:p>
        </w:tc>
        <w:tc>
          <w:tcPr>
            <w:tcW w:w="1620" w:type="dxa"/>
          </w:tcPr>
          <w:p>
            <w:pPr>
              <w:pStyle w:val="36"/>
              <w:rPr>
                <w:color w:val="auto"/>
                <w:sz w:val="15"/>
                <w:szCs w:val="15"/>
              </w:rPr>
            </w:pPr>
            <w:r>
              <w:rPr>
                <w:color w:val="auto"/>
                <w:sz w:val="15"/>
                <w:szCs w:val="15"/>
              </w:rPr>
              <w:t>33</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853" w:type="dxa"/>
          </w:tcPr>
          <w:p>
            <w:pPr>
              <w:pStyle w:val="36"/>
              <w:rPr>
                <w:color w:val="auto"/>
                <w:sz w:val="15"/>
                <w:szCs w:val="15"/>
              </w:rPr>
            </w:pPr>
            <w:r>
              <w:rPr>
                <w:color w:val="auto"/>
                <w:sz w:val="15"/>
                <w:szCs w:val="15"/>
              </w:rPr>
              <w:t>箱形截面腹板</w:t>
            </w:r>
          </w:p>
        </w:tc>
        <w:tc>
          <w:tcPr>
            <w:tcW w:w="1574" w:type="dxa"/>
          </w:tcPr>
          <w:p>
            <w:pPr>
              <w:pStyle w:val="36"/>
              <w:rPr>
                <w:color w:val="auto"/>
                <w:sz w:val="15"/>
                <w:szCs w:val="15"/>
              </w:rPr>
            </w:pPr>
            <w:r>
              <w:rPr>
                <w:color w:val="auto"/>
                <w:sz w:val="15"/>
                <w:szCs w:val="15"/>
              </w:rPr>
              <w:t>18</w:t>
            </w:r>
          </w:p>
        </w:tc>
        <w:tc>
          <w:tcPr>
            <w:tcW w:w="1611" w:type="dxa"/>
          </w:tcPr>
          <w:p>
            <w:pPr>
              <w:pStyle w:val="36"/>
              <w:rPr>
                <w:color w:val="auto"/>
                <w:sz w:val="15"/>
                <w:szCs w:val="15"/>
              </w:rPr>
            </w:pPr>
            <w:r>
              <w:rPr>
                <w:color w:val="auto"/>
                <w:sz w:val="15"/>
                <w:szCs w:val="15"/>
              </w:rPr>
              <w:t>20</w:t>
            </w:r>
          </w:p>
        </w:tc>
        <w:tc>
          <w:tcPr>
            <w:tcW w:w="1576" w:type="dxa"/>
          </w:tcPr>
          <w:p>
            <w:pPr>
              <w:pStyle w:val="36"/>
              <w:rPr>
                <w:color w:val="auto"/>
                <w:sz w:val="15"/>
                <w:szCs w:val="15"/>
              </w:rPr>
            </w:pPr>
            <w:r>
              <w:rPr>
                <w:color w:val="auto"/>
                <w:sz w:val="15"/>
                <w:szCs w:val="15"/>
              </w:rPr>
              <w:t>25</w:t>
            </w:r>
          </w:p>
        </w:tc>
        <w:tc>
          <w:tcPr>
            <w:tcW w:w="1620" w:type="dxa"/>
          </w:tcPr>
          <w:p>
            <w:pPr>
              <w:pStyle w:val="36"/>
              <w:rPr>
                <w:color w:val="auto"/>
                <w:sz w:val="15"/>
                <w:szCs w:val="15"/>
              </w:rPr>
            </w:pPr>
            <w:r>
              <w:rPr>
                <w:color w:val="auto"/>
                <w:sz w:val="15"/>
                <w:szCs w:val="15"/>
              </w:rPr>
              <w:t>30</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2853" w:type="dxa"/>
          </w:tcPr>
          <w:p>
            <w:pPr>
              <w:pStyle w:val="36"/>
              <w:rPr>
                <w:color w:val="auto"/>
                <w:sz w:val="15"/>
                <w:szCs w:val="15"/>
              </w:rPr>
            </w:pPr>
            <w:r>
              <w:rPr>
                <w:color w:val="auto"/>
                <w:sz w:val="15"/>
                <w:szCs w:val="15"/>
              </w:rPr>
              <w:t>圆管外径与壁厚比</w:t>
            </w:r>
          </w:p>
        </w:tc>
        <w:tc>
          <w:tcPr>
            <w:tcW w:w="1574" w:type="dxa"/>
          </w:tcPr>
          <w:p>
            <w:pPr>
              <w:pStyle w:val="36"/>
              <w:rPr>
                <w:color w:val="auto"/>
                <w:sz w:val="15"/>
                <w:szCs w:val="15"/>
              </w:rPr>
            </w:pPr>
            <w:r>
              <w:rPr>
                <w:color w:val="auto"/>
                <w:sz w:val="15"/>
                <w:szCs w:val="15"/>
              </w:rPr>
              <w:t>38</w:t>
            </w:r>
          </w:p>
        </w:tc>
        <w:tc>
          <w:tcPr>
            <w:tcW w:w="1611" w:type="dxa"/>
          </w:tcPr>
          <w:p>
            <w:pPr>
              <w:pStyle w:val="36"/>
              <w:rPr>
                <w:color w:val="auto"/>
                <w:sz w:val="15"/>
                <w:szCs w:val="15"/>
              </w:rPr>
            </w:pPr>
            <w:r>
              <w:rPr>
                <w:color w:val="auto"/>
                <w:sz w:val="15"/>
                <w:szCs w:val="15"/>
              </w:rPr>
              <w:t>40</w:t>
            </w:r>
          </w:p>
        </w:tc>
        <w:tc>
          <w:tcPr>
            <w:tcW w:w="1576" w:type="dxa"/>
          </w:tcPr>
          <w:p>
            <w:pPr>
              <w:pStyle w:val="36"/>
              <w:rPr>
                <w:color w:val="auto"/>
                <w:sz w:val="15"/>
                <w:szCs w:val="15"/>
              </w:rPr>
            </w:pPr>
            <w:r>
              <w:rPr>
                <w:color w:val="auto"/>
                <w:sz w:val="15"/>
                <w:szCs w:val="15"/>
              </w:rPr>
              <w:t>40</w:t>
            </w:r>
          </w:p>
        </w:tc>
        <w:tc>
          <w:tcPr>
            <w:tcW w:w="1620" w:type="dxa"/>
          </w:tcPr>
          <w:p>
            <w:pPr>
              <w:pStyle w:val="36"/>
              <w:rPr>
                <w:color w:val="auto"/>
                <w:sz w:val="15"/>
                <w:szCs w:val="15"/>
              </w:rPr>
            </w:pPr>
            <w:r>
              <w:rPr>
                <w:color w:val="auto"/>
                <w:sz w:val="15"/>
                <w:szCs w:val="15"/>
              </w:rPr>
              <w:t>42</w:t>
            </w:r>
          </w:p>
        </w:tc>
      </w:tr>
    </w:tbl>
    <w:p>
      <w:pPr>
        <w:spacing w:line="240" w:lineRule="auto"/>
        <w:ind w:firstLine="420" w:firstLineChars="200"/>
        <w:rPr>
          <w:bCs/>
          <w:szCs w:val="21"/>
        </w:rPr>
      </w:pPr>
      <w:r>
        <w:rPr>
          <w:bCs/>
          <w:szCs w:val="21"/>
        </w:rPr>
        <w:t xml:space="preserve">注： 表列数值适用于 Q235 钢， 采用其他牌号钢材应乘以 </w:t>
      </w:r>
      <w:r>
        <w:rPr>
          <w:bCs/>
          <w:szCs w:val="21"/>
        </w:rPr>
        <w:drawing>
          <wp:inline distT="0" distB="0" distL="0" distR="0">
            <wp:extent cx="396875" cy="155575"/>
            <wp:effectExtent l="0" t="0" r="3175" b="15875"/>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19"/>
                    <a:stretch>
                      <a:fillRect/>
                    </a:stretch>
                  </pic:blipFill>
                  <pic:spPr>
                    <a:xfrm>
                      <a:off x="0" y="0"/>
                      <a:ext cx="397069" cy="155712"/>
                    </a:xfrm>
                    <a:prstGeom prst="rect">
                      <a:avLst/>
                    </a:prstGeom>
                  </pic:spPr>
                </pic:pic>
              </a:graphicData>
            </a:graphic>
          </wp:inline>
        </w:drawing>
      </w:r>
      <w:r>
        <w:rPr>
          <w:bCs/>
          <w:szCs w:val="21"/>
        </w:rPr>
        <w:t>，圆管应乘以235 / f</w:t>
      </w:r>
      <w:r>
        <w:rPr>
          <w:bCs/>
          <w:szCs w:val="21"/>
          <w:vertAlign w:val="subscript"/>
        </w:rPr>
        <w:t>y</w:t>
      </w:r>
      <w:r>
        <w:rPr>
          <w:bCs/>
          <w:szCs w:val="21"/>
        </w:rPr>
        <w:t>。</w:t>
      </w:r>
    </w:p>
    <w:p>
      <w:pPr>
        <w:spacing w:line="240" w:lineRule="auto"/>
        <w:ind w:firstLine="421" w:firstLineChars="200"/>
        <w:rPr>
          <w:bCs/>
          <w:szCs w:val="21"/>
        </w:rPr>
      </w:pPr>
      <w:r>
        <w:rPr>
          <w:rFonts w:hint="eastAsia"/>
          <w:b/>
          <w:bCs/>
          <w:szCs w:val="21"/>
        </w:rPr>
        <w:t>4</w:t>
      </w:r>
      <w:r>
        <w:rPr>
          <w:b/>
          <w:bCs/>
          <w:szCs w:val="21"/>
        </w:rPr>
        <w:t xml:space="preserve"> </w:t>
      </w:r>
      <w:r>
        <w:rPr>
          <w:rFonts w:hint="eastAsia"/>
          <w:bCs/>
          <w:szCs w:val="21"/>
        </w:rPr>
        <w:t xml:space="preserve"> 当钢框架结构、钢框架-支撑结构无抗震等级要求时， 框架柱、支撑斜杆的长细比，框架梁、柱和支撑斜杆的板件宽厚比应符合现行国家标准《钢结构设计标准》GB 50017的有关规定。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4</w:t>
      </w:r>
      <w:r>
        <w:rPr>
          <w:b/>
          <w:bCs/>
          <w:szCs w:val="21"/>
        </w:rPr>
        <w:t xml:space="preserve"> </w:t>
      </w:r>
      <w:r>
        <w:rPr>
          <w:rFonts w:hint="eastAsia"/>
          <w:b/>
          <w:bCs/>
          <w:szCs w:val="21"/>
        </w:rPr>
        <w:t xml:space="preserve"> </w:t>
      </w:r>
      <w:r>
        <w:rPr>
          <w:rFonts w:hint="eastAsia"/>
          <w:bCs/>
          <w:szCs w:val="21"/>
        </w:rPr>
        <w:t>柱截面宜采用双轴对称截面形式。有可靠依据时也可采用异形柱截面。</w:t>
      </w:r>
    </w:p>
    <w:p>
      <w:pPr>
        <w:spacing w:line="240" w:lineRule="auto"/>
        <w:ind w:firstLine="420" w:firstLineChars="200"/>
        <w:rPr>
          <w:bCs/>
          <w:szCs w:val="21"/>
        </w:rPr>
      </w:pPr>
      <w:r>
        <w:rPr>
          <w:rFonts w:hint="eastAsia"/>
          <w:bCs/>
          <w:szCs w:val="21"/>
        </w:rPr>
        <w:t>一般情况下，高层钢结构柱为双向受弯构件。采用H型钢作为柱时，为使截面的两个主轴方向均有较好的抗弯性能，截面的翼缘宽度不宜太小。而柱由于受有较大轴压力，与H形梁相比，宜加大H形柱腹板的厚度，以有利于抗压。在箱形截面内填充混凝土形成钢管混凝土柱，可提高构件的承载力和抗火性能。</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6</w:t>
      </w:r>
      <w:r>
        <w:rPr>
          <w:b/>
          <w:bCs/>
          <w:szCs w:val="21"/>
        </w:rPr>
        <w:t xml:space="preserve">  </w:t>
      </w:r>
      <w:r>
        <w:rPr>
          <w:rFonts w:hint="eastAsia"/>
          <w:bCs/>
          <w:szCs w:val="21"/>
        </w:rPr>
        <w:t>支撑一般采用箱型或H型钢，但应注意与相邻梁或柱截面相适应，以使支撑内力的传递通畅。当藏于墙体内的斜支撑选择应考虑与墙体厚度及装修做法的协调。</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6</w:t>
      </w:r>
      <w:r>
        <w:rPr>
          <w:rFonts w:hint="eastAsia" w:ascii="宋体" w:hAnsi="宋体"/>
          <w:b/>
          <w:bCs/>
          <w:szCs w:val="21"/>
        </w:rPr>
        <w:t>.</w:t>
      </w:r>
      <w:r>
        <w:rPr>
          <w:rFonts w:hint="eastAsia"/>
          <w:b/>
          <w:bCs/>
          <w:szCs w:val="21"/>
        </w:rPr>
        <w:t>7</w:t>
      </w:r>
      <w:r>
        <w:rPr>
          <w:b/>
          <w:bCs/>
          <w:szCs w:val="21"/>
        </w:rPr>
        <w:t xml:space="preserve">  </w:t>
      </w:r>
      <w:r>
        <w:rPr>
          <w:rFonts w:hint="eastAsia"/>
          <w:bCs/>
          <w:szCs w:val="21"/>
        </w:rPr>
        <w:t xml:space="preserve">预制板式楼梯构造应符合下列要求： </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楼梯间平台板宜为装配整体式楼板且平台板的厚度不宜小于120mm，梯梁宜为钢梁，且预制梯板与预制外墙或外墙内的钢构件之间应每层设置连接件；</w:t>
      </w:r>
    </w:p>
    <w:p>
      <w:pPr>
        <w:spacing w:line="240" w:lineRule="auto"/>
        <w:ind w:firstLine="421" w:firstLineChars="200"/>
        <w:rPr>
          <w:bCs/>
          <w:szCs w:val="21"/>
        </w:rPr>
      </w:pPr>
      <w:r>
        <w:rPr>
          <w:rFonts w:hint="eastAsia"/>
          <w:b/>
          <w:bCs/>
          <w:szCs w:val="21"/>
        </w:rPr>
        <w:t>2</w:t>
      </w:r>
      <w:r>
        <w:rPr>
          <w:b/>
          <w:bCs/>
          <w:szCs w:val="21"/>
        </w:rPr>
        <w:t xml:space="preserve"> </w:t>
      </w:r>
      <w:r>
        <w:rPr>
          <w:rFonts w:hint="eastAsia"/>
          <w:b/>
          <w:bCs/>
          <w:szCs w:val="21"/>
        </w:rPr>
        <w:t xml:space="preserve"> </w:t>
      </w:r>
      <w:r>
        <w:rPr>
          <w:rFonts w:hint="eastAsia"/>
          <w:bCs/>
          <w:szCs w:val="21"/>
        </w:rPr>
        <w:t>预制梯板宜一端设置固定铰、另一端设置滑动铰，除应符合现行行业标准《装配式混凝土结构技术规程》JGJ</w:t>
      </w:r>
      <w:r>
        <w:rPr>
          <w:bCs/>
          <w:szCs w:val="21"/>
        </w:rPr>
        <w:t xml:space="preserve"> </w:t>
      </w:r>
      <w:r>
        <w:rPr>
          <w:rFonts w:hint="eastAsia"/>
          <w:bCs/>
          <w:szCs w:val="21"/>
        </w:rPr>
        <w:t>1相关规定，还应符合下列规定：</w:t>
      </w:r>
    </w:p>
    <w:p>
      <w:pPr>
        <w:spacing w:line="240" w:lineRule="auto"/>
        <w:ind w:firstLine="632" w:firstLineChars="300"/>
        <w:rPr>
          <w:bCs/>
          <w:szCs w:val="21"/>
        </w:rPr>
      </w:pPr>
      <w:r>
        <w:rPr>
          <w:rFonts w:hint="eastAsia"/>
          <w:b/>
          <w:bCs/>
          <w:szCs w:val="21"/>
        </w:rPr>
        <w:t>1</w:t>
      </w:r>
      <w:r>
        <w:rPr>
          <w:rFonts w:hint="eastAsia"/>
          <w:bCs/>
          <w:szCs w:val="21"/>
        </w:rPr>
        <w:t>）预制梯板板厚不应小于 120mm；</w:t>
      </w:r>
    </w:p>
    <w:p>
      <w:pPr>
        <w:spacing w:line="240" w:lineRule="auto"/>
        <w:ind w:firstLine="632" w:firstLineChars="300"/>
        <w:rPr>
          <w:bCs/>
          <w:szCs w:val="21"/>
        </w:rPr>
      </w:pPr>
      <w:r>
        <w:rPr>
          <w:rFonts w:hint="eastAsia"/>
          <w:b/>
          <w:bCs/>
          <w:szCs w:val="21"/>
        </w:rPr>
        <w:t>2</w:t>
      </w:r>
      <w:r>
        <w:rPr>
          <w:rFonts w:hint="eastAsia"/>
          <w:bCs/>
          <w:szCs w:val="21"/>
        </w:rPr>
        <w:t>）预制楼梯在支撑构件上的最小搁置长度不应小于 100mm；</w:t>
      </w:r>
    </w:p>
    <w:p>
      <w:pPr>
        <w:spacing w:line="240" w:lineRule="auto"/>
        <w:ind w:firstLine="632" w:firstLineChars="300"/>
        <w:rPr>
          <w:bCs/>
          <w:szCs w:val="21"/>
        </w:rPr>
      </w:pPr>
      <w:r>
        <w:rPr>
          <w:rFonts w:hint="eastAsia"/>
          <w:b/>
          <w:bCs/>
          <w:szCs w:val="21"/>
        </w:rPr>
        <w:t>3</w:t>
      </w:r>
      <w:r>
        <w:rPr>
          <w:rFonts w:hint="eastAsia"/>
          <w:bCs/>
          <w:szCs w:val="21"/>
        </w:rPr>
        <w:t>）预制楼梯设置滑动铰的端部应采取防止滑落的构造措施。</w:t>
      </w:r>
    </w:p>
    <w:p>
      <w:pPr>
        <w:spacing w:line="240" w:lineRule="auto"/>
        <w:ind w:firstLine="421" w:firstLineChars="200"/>
        <w:rPr>
          <w:bCs/>
          <w:szCs w:val="21"/>
        </w:rPr>
      </w:pPr>
      <w:r>
        <w:rPr>
          <w:rFonts w:hint="eastAsia"/>
          <w:b/>
          <w:bCs/>
          <w:szCs w:val="21"/>
        </w:rPr>
        <w:t>3</w:t>
      </w:r>
      <w:r>
        <w:rPr>
          <w:rFonts w:hint="eastAsia"/>
          <w:bCs/>
          <w:szCs w:val="21"/>
        </w:rPr>
        <w:t xml:space="preserve">  预制梯梁应搭置于剪力墙或钢梁上。</w:t>
      </w:r>
    </w:p>
    <w:p>
      <w:pPr>
        <w:pStyle w:val="4"/>
        <w:spacing w:before="240" w:after="240" w:line="240" w:lineRule="auto"/>
        <w:jc w:val="center"/>
        <w:rPr>
          <w:rFonts w:ascii="Times New Roman" w:hAnsi="Times New Roman"/>
          <w:b w:val="0"/>
          <w:sz w:val="21"/>
          <w:szCs w:val="21"/>
        </w:rPr>
      </w:pPr>
      <w:bookmarkStart w:id="122" w:name="_Toc118357502"/>
      <w:bookmarkStart w:id="123" w:name="_Toc118314506"/>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7 </w:t>
      </w:r>
      <w:r>
        <w:rPr>
          <w:rFonts w:hint="eastAsia" w:ascii="黑体" w:hAnsi="黑体" w:eastAsia="黑体"/>
          <w:sz w:val="21"/>
          <w:szCs w:val="21"/>
        </w:rPr>
        <w:t xml:space="preserve"> </w:t>
      </w:r>
      <w:r>
        <w:rPr>
          <w:rFonts w:hint="eastAsia" w:ascii="黑体" w:hAnsi="黑体" w:eastAsia="黑体"/>
          <w:b w:val="0"/>
          <w:sz w:val="21"/>
          <w:szCs w:val="21"/>
        </w:rPr>
        <w:t>节点与连接设计</w:t>
      </w:r>
      <w:bookmarkEnd w:id="122"/>
      <w:bookmarkEnd w:id="123"/>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节点的设计原则基于以下考虑：</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钢结构住宅的节点与所有钢结构体系一样，是结构整体的最关键部位之一，节点的设计应力图达到传力路线明确、构造简单、加工制作方便、造价低等要求：本节节点构造综合了《建筑抗震设计规范》GB</w:t>
      </w:r>
      <w:r>
        <w:rPr>
          <w:bCs/>
          <w:szCs w:val="21"/>
        </w:rPr>
        <w:t xml:space="preserve"> </w:t>
      </w:r>
      <w:r>
        <w:rPr>
          <w:rFonts w:hint="eastAsia"/>
          <w:bCs/>
          <w:szCs w:val="21"/>
        </w:rPr>
        <w:t>50011、《高层民用建筑钢结构技术规程》JGJ</w:t>
      </w:r>
      <w:r>
        <w:rPr>
          <w:bCs/>
          <w:szCs w:val="21"/>
        </w:rPr>
        <w:t xml:space="preserve"> </w:t>
      </w:r>
      <w:r>
        <w:rPr>
          <w:rFonts w:hint="eastAsia"/>
          <w:bCs/>
          <w:szCs w:val="21"/>
        </w:rPr>
        <w:t>99和其他团体与地方规范的相关规定，可根据不同的住宅结构体系，合理选用节点构造。</w:t>
      </w:r>
    </w:p>
    <w:p>
      <w:pPr>
        <w:spacing w:line="240" w:lineRule="auto"/>
        <w:ind w:firstLine="420" w:firstLineChars="200"/>
        <w:rPr>
          <w:bCs/>
          <w:szCs w:val="21"/>
        </w:rPr>
      </w:pPr>
      <w:r>
        <w:rPr>
          <w:rFonts w:hint="eastAsia"/>
          <w:bCs/>
          <w:szCs w:val="21"/>
        </w:rPr>
        <w:t>国内钢梁与钢柱或钢管混凝土柱的刚性连接常用做法有三种：</w:t>
      </w:r>
    </w:p>
    <w:p>
      <w:pPr>
        <w:spacing w:line="240" w:lineRule="auto"/>
        <w:ind w:firstLine="632" w:firstLineChars="300"/>
        <w:rPr>
          <w:bCs/>
          <w:szCs w:val="21"/>
        </w:rPr>
      </w:pPr>
      <w:r>
        <w:rPr>
          <w:rFonts w:hint="eastAsia"/>
          <w:b/>
          <w:bCs/>
          <w:szCs w:val="21"/>
        </w:rPr>
        <w:t>1</w:t>
      </w:r>
      <w:r>
        <w:rPr>
          <w:rFonts w:hint="eastAsia"/>
          <w:bCs/>
          <w:szCs w:val="21"/>
        </w:rPr>
        <w:t>）全部焊接；</w:t>
      </w:r>
    </w:p>
    <w:p>
      <w:pPr>
        <w:spacing w:line="240" w:lineRule="auto"/>
        <w:ind w:firstLine="632" w:firstLineChars="300"/>
        <w:rPr>
          <w:bCs/>
          <w:szCs w:val="21"/>
        </w:rPr>
      </w:pPr>
      <w:r>
        <w:rPr>
          <w:rFonts w:hint="eastAsia"/>
          <w:b/>
          <w:bCs/>
          <w:szCs w:val="21"/>
        </w:rPr>
        <w:t>2</w:t>
      </w:r>
      <w:r>
        <w:rPr>
          <w:rFonts w:hint="eastAsia"/>
          <w:bCs/>
          <w:szCs w:val="21"/>
        </w:rPr>
        <w:t>）全部高强螺栓连接；</w:t>
      </w:r>
    </w:p>
    <w:p>
      <w:pPr>
        <w:spacing w:line="240" w:lineRule="auto"/>
        <w:ind w:firstLine="632" w:firstLineChars="300"/>
        <w:rPr>
          <w:bCs/>
          <w:szCs w:val="21"/>
        </w:rPr>
      </w:pPr>
      <w:r>
        <w:rPr>
          <w:rFonts w:hint="eastAsia"/>
          <w:b/>
          <w:bCs/>
          <w:szCs w:val="21"/>
        </w:rPr>
        <w:t>3</w:t>
      </w:r>
      <w:r>
        <w:rPr>
          <w:rFonts w:hint="eastAsia"/>
          <w:bCs/>
          <w:szCs w:val="21"/>
        </w:rPr>
        <w:t>）栓焊混合连接。全部焊接不适于装配式建筑工地现场连接的建造方式，而全部高强螺栓在造价与楼板及围护体系整体考虑受到影响，目前大多采用栓焊混合的刚性连接方式。</w:t>
      </w:r>
    </w:p>
    <w:p>
      <w:pPr>
        <w:spacing w:line="240" w:lineRule="auto"/>
        <w:ind w:firstLine="421" w:firstLineChars="200"/>
        <w:rPr>
          <w:bCs/>
          <w:szCs w:val="21"/>
        </w:rPr>
      </w:pPr>
      <w:r>
        <w:rPr>
          <w:rFonts w:hint="eastAsia"/>
          <w:b/>
          <w:bCs/>
          <w:szCs w:val="21"/>
        </w:rPr>
        <w:t>5</w:t>
      </w:r>
      <w:r>
        <w:rPr>
          <w:b/>
          <w:bCs/>
          <w:szCs w:val="21"/>
        </w:rPr>
        <w:t xml:space="preserve"> </w:t>
      </w:r>
      <w:r>
        <w:rPr>
          <w:rFonts w:hint="eastAsia"/>
          <w:b/>
          <w:bCs/>
          <w:szCs w:val="21"/>
        </w:rPr>
        <w:t xml:space="preserve"> </w:t>
      </w:r>
      <w:r>
        <w:rPr>
          <w:rFonts w:hint="eastAsia"/>
          <w:bCs/>
          <w:szCs w:val="21"/>
        </w:rPr>
        <w:t>方钢管混凝土柱内隔板节点主要应用于焊接箱形柱中，一般情形下可以保证内隔板与柱型三面的全熔透焊接，在无法进行手工焊接的第四面，宜采用电渣焊工艺。对于冷弯方钢管及热轧方钢管柱梁节点提出了外环板式的节点体系，经过足尺试件的试验研充，证明节点具有很好刚度及承载能力，但在水平节点过渡区域内由于应力集中，个别试件出现了在过渡区破坏的现象，因此，强调圆角过渡，以减小应力集中的发生，当有可靠依据时，圆角过渡也可采用斜直线等方式过渡。</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7</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当采用埋入式柱脚时，其嵌固作用较好。如采用外包式柱脚，施工方便，但应注意保证混凝土与钢柱的共同工作，一般来讲其轴力、弯矩和剪力由不考虑钢柱作用的混凝土柱承担。</w:t>
      </w:r>
    </w:p>
    <w:p>
      <w:pPr>
        <w:pStyle w:val="4"/>
        <w:spacing w:before="240" w:after="240" w:line="240" w:lineRule="auto"/>
        <w:jc w:val="center"/>
        <w:rPr>
          <w:rFonts w:ascii="黑体" w:hAnsi="黑体" w:eastAsia="黑体"/>
          <w:b w:val="0"/>
          <w:sz w:val="21"/>
          <w:szCs w:val="21"/>
        </w:rPr>
      </w:pPr>
      <w:bookmarkStart w:id="124" w:name="_Toc118314507"/>
      <w:bookmarkStart w:id="125" w:name="_Toc118357503"/>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8 </w:t>
      </w:r>
      <w:r>
        <w:rPr>
          <w:rFonts w:hint="eastAsia" w:ascii="黑体" w:hAnsi="黑体" w:eastAsia="黑体"/>
          <w:sz w:val="21"/>
          <w:szCs w:val="21"/>
        </w:rPr>
        <w:t xml:space="preserve"> </w:t>
      </w:r>
      <w:r>
        <w:rPr>
          <w:rFonts w:hint="eastAsia" w:ascii="黑体" w:hAnsi="黑体" w:eastAsia="黑体"/>
          <w:b w:val="0"/>
          <w:sz w:val="21"/>
          <w:szCs w:val="21"/>
        </w:rPr>
        <w:t>楼盖与屋盖结构</w:t>
      </w:r>
      <w:bookmarkEnd w:id="124"/>
      <w:bookmarkEnd w:id="125"/>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1</w:t>
      </w:r>
      <w:r>
        <w:rPr>
          <w:rFonts w:hint="eastAsia"/>
          <w:bCs/>
          <w:szCs w:val="21"/>
        </w:rPr>
        <w:t xml:space="preserve"> </w:t>
      </w:r>
      <w:r>
        <w:rPr>
          <w:bCs/>
          <w:szCs w:val="21"/>
        </w:rPr>
        <w:t xml:space="preserve"> </w:t>
      </w:r>
      <w:r>
        <w:rPr>
          <w:rFonts w:hint="eastAsia"/>
          <w:bCs/>
          <w:szCs w:val="21"/>
        </w:rPr>
        <w:t>高层建筑结构计算中，一般都假定楼板在自身平面内刚度无限大，因此在构造上，要采取措施保证楼盖具有较大的平面内刚度，使计算假定与实际受力状态相符合。同时，必要的楼板刚度可保证建筑物结构整体性能和水平力的可靠有效传递。转换层楼盖、平面复杂或开洞较大楼层的楼板可在楼板平面内设置水平钢支撑。此条参见GB/T 51236装配式钢结构建筑技术标准中5</w:t>
      </w:r>
      <w:r>
        <w:rPr>
          <w:rFonts w:hint="eastAsia" w:ascii="宋体" w:hAnsi="宋体"/>
          <w:b/>
          <w:bCs/>
          <w:szCs w:val="21"/>
        </w:rPr>
        <w:t>.</w:t>
      </w:r>
      <w:r>
        <w:rPr>
          <w:rFonts w:hint="eastAsia"/>
          <w:bCs/>
          <w:szCs w:val="21"/>
        </w:rPr>
        <w:t>2</w:t>
      </w:r>
      <w:r>
        <w:rPr>
          <w:rFonts w:hint="eastAsia" w:ascii="宋体" w:hAnsi="宋体"/>
          <w:b/>
          <w:bCs/>
          <w:szCs w:val="21"/>
        </w:rPr>
        <w:t>.</w:t>
      </w:r>
      <w:r>
        <w:rPr>
          <w:rFonts w:hint="eastAsia"/>
          <w:bCs/>
          <w:szCs w:val="21"/>
        </w:rPr>
        <w:t>18条，增加了巨型框架结构中次结构的楼盖的内容。列出了常用的5种装配整体式结构的楼盖：</w:t>
      </w:r>
    </w:p>
    <w:p>
      <w:pPr>
        <w:spacing w:line="240" w:lineRule="auto"/>
        <w:ind w:firstLine="421" w:firstLineChars="200"/>
        <w:rPr>
          <w:bCs/>
          <w:szCs w:val="21"/>
        </w:rPr>
      </w:pPr>
      <w:r>
        <w:rPr>
          <w:rFonts w:hint="eastAsia"/>
          <w:b/>
          <w:bCs/>
          <w:szCs w:val="21"/>
        </w:rPr>
        <w:t>1</w:t>
      </w:r>
      <w:r>
        <w:rPr>
          <w:b/>
          <w:bCs/>
          <w:szCs w:val="21"/>
        </w:rPr>
        <w:t xml:space="preserve"> </w:t>
      </w:r>
      <w:r>
        <w:rPr>
          <w:rFonts w:hint="eastAsia"/>
          <w:b/>
          <w:bCs/>
          <w:szCs w:val="21"/>
        </w:rPr>
        <w:t xml:space="preserve"> </w:t>
      </w:r>
      <w:r>
        <w:rPr>
          <w:rFonts w:hint="eastAsia"/>
          <w:bCs/>
          <w:szCs w:val="21"/>
        </w:rPr>
        <w:t>钢筋桁架楼承板重量轻，安装方便，一般跨度可不做支撑，跨度较大时，可做少量支撑，且安装及管道铺设均方便，楼板强度达到要求后，底模板即可拆除，露出平整的混凝土板下表面；</w:t>
      </w:r>
    </w:p>
    <w:p>
      <w:pPr>
        <w:spacing w:line="240" w:lineRule="auto"/>
        <w:ind w:firstLine="421" w:firstLineChars="200"/>
        <w:rPr>
          <w:bCs/>
          <w:szCs w:val="21"/>
        </w:rPr>
      </w:pPr>
      <w:r>
        <w:rPr>
          <w:rFonts w:hint="eastAsia"/>
          <w:b/>
          <w:bCs/>
          <w:szCs w:val="21"/>
        </w:rPr>
        <w:t>2</w:t>
      </w:r>
      <w:r>
        <w:rPr>
          <w:b/>
          <w:bCs/>
          <w:szCs w:val="21"/>
        </w:rPr>
        <w:t xml:space="preserve"> </w:t>
      </w:r>
      <w:r>
        <w:rPr>
          <w:rFonts w:hint="eastAsia"/>
          <w:b/>
          <w:bCs/>
          <w:szCs w:val="21"/>
        </w:rPr>
        <w:t xml:space="preserve"> </w:t>
      </w:r>
      <w:r>
        <w:rPr>
          <w:rFonts w:hint="eastAsia"/>
          <w:bCs/>
          <w:szCs w:val="21"/>
        </w:rPr>
        <w:t>叠合板的预制板厚度小于等于60mm时应做好支顶，预制板的主筋锚入墙内或梁内应可靠；</w:t>
      </w:r>
    </w:p>
    <w:p>
      <w:pPr>
        <w:spacing w:line="240" w:lineRule="auto"/>
        <w:ind w:firstLine="421" w:firstLineChars="200"/>
        <w:rPr>
          <w:bCs/>
          <w:szCs w:val="21"/>
        </w:rPr>
      </w:pPr>
      <w:r>
        <w:rPr>
          <w:rFonts w:hint="eastAsia"/>
          <w:b/>
          <w:bCs/>
          <w:szCs w:val="21"/>
        </w:rPr>
        <w:t>3</w:t>
      </w:r>
      <w:r>
        <w:rPr>
          <w:b/>
          <w:bCs/>
          <w:szCs w:val="21"/>
        </w:rPr>
        <w:t xml:space="preserve"> </w:t>
      </w:r>
      <w:r>
        <w:rPr>
          <w:rFonts w:hint="eastAsia"/>
          <w:bCs/>
          <w:szCs w:val="21"/>
        </w:rPr>
        <w:t xml:space="preserve"> 标准化铝合金模板工具快拆支撑模板体系是目前高层建筑楼盖施工技术较先进的支撑模板体系；楼板强度达到设计要求后，模板体系即可拆分，模板部分先拆除，并保留立柱支顶承受上部施工荷载，重量轻，重复使用率高；</w:t>
      </w:r>
    </w:p>
    <w:p>
      <w:pPr>
        <w:spacing w:line="240" w:lineRule="auto"/>
        <w:ind w:firstLine="421" w:firstLineChars="200"/>
        <w:rPr>
          <w:bCs/>
          <w:szCs w:val="21"/>
        </w:rPr>
      </w:pPr>
      <w:r>
        <w:rPr>
          <w:rFonts w:hint="eastAsia"/>
          <w:b/>
          <w:bCs/>
          <w:szCs w:val="21"/>
        </w:rPr>
        <w:t>4</w:t>
      </w:r>
      <w:r>
        <w:rPr>
          <w:rFonts w:hint="eastAsia"/>
          <w:bCs/>
          <w:szCs w:val="21"/>
        </w:rPr>
        <w:t xml:space="preserve"> </w:t>
      </w:r>
      <w:r>
        <w:rPr>
          <w:bCs/>
          <w:szCs w:val="21"/>
        </w:rPr>
        <w:t xml:space="preserve"> </w:t>
      </w:r>
      <w:r>
        <w:rPr>
          <w:rFonts w:hint="eastAsia"/>
          <w:bCs/>
          <w:szCs w:val="21"/>
        </w:rPr>
        <w:t>缩口型和闭口型压型钢板槽口最小浇筑宽度不应小于50mm，最小凹槽宽度是混凝土骨科容易浇入压型钢板槽口内的保证；</w:t>
      </w:r>
    </w:p>
    <w:p>
      <w:pPr>
        <w:spacing w:line="240" w:lineRule="auto"/>
        <w:ind w:firstLine="421" w:firstLineChars="200"/>
        <w:rPr>
          <w:bCs/>
          <w:szCs w:val="21"/>
        </w:rPr>
      </w:pPr>
      <w:r>
        <w:rPr>
          <w:rFonts w:hint="eastAsia"/>
          <w:b/>
          <w:bCs/>
          <w:szCs w:val="21"/>
        </w:rPr>
        <w:t xml:space="preserve">5 </w:t>
      </w:r>
      <w:r>
        <w:rPr>
          <w:b/>
          <w:bCs/>
          <w:szCs w:val="21"/>
        </w:rPr>
        <w:t xml:space="preserve"> </w:t>
      </w:r>
      <w:r>
        <w:rPr>
          <w:rFonts w:hint="eastAsia"/>
          <w:bCs/>
          <w:szCs w:val="21"/>
        </w:rPr>
        <w:t>由主板桁架与压型钢板混凝土楼板组合形成的结构基本部品，并可将水、电、暖、通风等系统集成于其中。</w:t>
      </w:r>
    </w:p>
    <w:p>
      <w:pPr>
        <w:spacing w:line="240" w:lineRule="auto"/>
        <w:ind w:firstLine="420" w:firstLineChars="200"/>
        <w:rPr>
          <w:bCs/>
          <w:szCs w:val="21"/>
        </w:rPr>
      </w:pPr>
      <w:r>
        <w:rPr>
          <w:rFonts w:hint="eastAsia"/>
          <w:bCs/>
          <w:szCs w:val="21"/>
        </w:rPr>
        <w:t>交叉钢桁架组合楼板（主板），适用于大开间住宅钢结构楼盖使用，为集成水、电、暖、通风等系统的主板桁架与压型钢板混凝土楼板组合形成的装配式楼盖结构基本部品。主板桁架由钢桁架梁、柱座、隅撑等组成的支承混凝土楼板的受力骨架，其设计可参考湖南省地方标准《装配式斜支撑节点钢框架结构技术规程》DBJ</w:t>
      </w:r>
      <w:r>
        <w:rPr>
          <w:bCs/>
          <w:szCs w:val="21"/>
        </w:rPr>
        <w:t xml:space="preserve"> </w:t>
      </w:r>
      <w:r>
        <w:rPr>
          <w:rFonts w:hint="eastAsia"/>
          <w:bCs/>
          <w:szCs w:val="21"/>
        </w:rPr>
        <w:t>43／T311的相关规定。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宜在支承件上设置焊钉，直径同柱周边梁焊钉直径，其余要求应符合相关规范的规定：</w:t>
      </w:r>
    </w:p>
    <w:p>
      <w:pPr>
        <w:spacing w:line="240" w:lineRule="auto"/>
        <w:ind w:firstLine="421" w:firstLineChars="200"/>
        <w:rPr>
          <w:bCs/>
          <w:szCs w:val="21"/>
        </w:rPr>
      </w:pPr>
      <w:r>
        <w:rPr>
          <w:rFonts w:hint="eastAsia"/>
          <w:b/>
          <w:bCs/>
          <w:szCs w:val="21"/>
        </w:rPr>
        <w:t>1</w:t>
      </w:r>
      <w:r>
        <w:rPr>
          <w:b/>
          <w:bCs/>
          <w:szCs w:val="21"/>
        </w:rPr>
        <w:t xml:space="preserve"> </w:t>
      </w:r>
      <w:r>
        <w:rPr>
          <w:rFonts w:hint="eastAsia"/>
          <w:b/>
          <w:bCs/>
          <w:szCs w:val="21"/>
        </w:rPr>
        <w:t xml:space="preserve"> </w:t>
      </w:r>
      <w:r>
        <w:rPr>
          <w:rFonts w:hint="eastAsia"/>
          <w:bCs/>
          <w:szCs w:val="21"/>
        </w:rPr>
        <w:t>焊钉钉杆直径宜采用16mm、19mm；当焊钉位置不正对梁腹板时，如钢梁上翼缘承受拉力，则杆径不应大于钢梁上翼缘厚度的1</w:t>
      </w:r>
      <w:r>
        <w:rPr>
          <w:rFonts w:hint="eastAsia" w:ascii="宋体" w:hAnsi="宋体"/>
          <w:bCs/>
          <w:szCs w:val="21"/>
        </w:rPr>
        <w:t>.</w:t>
      </w:r>
      <w:r>
        <w:rPr>
          <w:rFonts w:hint="eastAsia"/>
          <w:bCs/>
          <w:szCs w:val="21"/>
        </w:rPr>
        <w:t>5倍；如钢梁上翼缘不承受拉力，杆径不应大于钢梁上翼缘厚度的2</w:t>
      </w:r>
      <w:r>
        <w:rPr>
          <w:rFonts w:hint="eastAsia" w:ascii="宋体" w:hAnsi="宋体"/>
          <w:b/>
          <w:bCs/>
          <w:szCs w:val="21"/>
        </w:rPr>
        <w:t>.</w:t>
      </w:r>
      <w:r>
        <w:rPr>
          <w:rFonts w:hint="eastAsia"/>
          <w:bCs/>
          <w:szCs w:val="21"/>
        </w:rPr>
        <w:t>5倍；压型钢板组合楼板中，杆径不宜大于19mm，且不应大于压型钢板凹槽宽度的0</w:t>
      </w:r>
      <w:r>
        <w:rPr>
          <w:rFonts w:hint="eastAsia" w:ascii="宋体" w:hAnsi="宋体"/>
          <w:bCs/>
          <w:szCs w:val="21"/>
        </w:rPr>
        <w:t>.</w:t>
      </w:r>
      <w:r>
        <w:rPr>
          <w:rFonts w:hint="eastAsia"/>
          <w:bCs/>
          <w:szCs w:val="21"/>
        </w:rPr>
        <w:t>4倍；</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焊钉长度不应小于杆径的4倍，且应高出压型钢板顶面30mm；</w:t>
      </w:r>
    </w:p>
    <w:p>
      <w:pPr>
        <w:spacing w:line="240" w:lineRule="auto"/>
        <w:ind w:firstLine="421" w:firstLineChars="200"/>
        <w:rPr>
          <w:bCs/>
          <w:szCs w:val="21"/>
        </w:rPr>
      </w:pPr>
      <w:r>
        <w:rPr>
          <w:rFonts w:hint="eastAsia"/>
          <w:b/>
          <w:bCs/>
          <w:szCs w:val="21"/>
        </w:rPr>
        <w:t xml:space="preserve">3 </w:t>
      </w:r>
      <w:r>
        <w:rPr>
          <w:b/>
          <w:bCs/>
          <w:szCs w:val="21"/>
        </w:rPr>
        <w:t xml:space="preserve"> </w:t>
      </w:r>
      <w:r>
        <w:rPr>
          <w:rFonts w:hint="eastAsia"/>
          <w:bCs/>
          <w:szCs w:val="21"/>
        </w:rPr>
        <w:t>焊钉沿梁轴线方向间距不应小于杆径的6倍，不应大于楼板厚度的4倍，且不应大于400mm；焊钉垂直于梁轴线方向间距不应小于杆径的4倍，且不应大于400mm；</w:t>
      </w:r>
    </w:p>
    <w:p>
      <w:pPr>
        <w:spacing w:line="240" w:lineRule="auto"/>
        <w:ind w:firstLine="421" w:firstLineChars="200"/>
        <w:rPr>
          <w:bCs/>
          <w:szCs w:val="21"/>
        </w:rPr>
      </w:pPr>
      <w:r>
        <w:rPr>
          <w:rFonts w:hint="eastAsia"/>
          <w:b/>
          <w:bCs/>
          <w:szCs w:val="21"/>
        </w:rPr>
        <w:t>4</w:t>
      </w:r>
      <w:r>
        <w:rPr>
          <w:b/>
          <w:bCs/>
          <w:szCs w:val="21"/>
        </w:rPr>
        <w:t xml:space="preserve"> </w:t>
      </w:r>
      <w:r>
        <w:rPr>
          <w:rFonts w:hint="eastAsia"/>
          <w:b/>
          <w:bCs/>
          <w:szCs w:val="21"/>
        </w:rPr>
        <w:t xml:space="preserve"> </w:t>
      </w:r>
      <w:r>
        <w:rPr>
          <w:rFonts w:hint="eastAsia"/>
          <w:bCs/>
          <w:szCs w:val="21"/>
        </w:rPr>
        <w:t>焊钉顶面混凝土保护层厚度不应小于15mm，焊钉中心至钢梁上翼缘侧边的距离不应小于35mm。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5 </w:t>
      </w:r>
      <w:r>
        <w:rPr>
          <w:b/>
          <w:bCs/>
          <w:szCs w:val="21"/>
        </w:rPr>
        <w:t xml:space="preserve"> </w:t>
      </w:r>
      <w:r>
        <w:rPr>
          <w:rFonts w:hint="eastAsia"/>
          <w:bCs/>
          <w:szCs w:val="21"/>
        </w:rPr>
        <w:t>钢筋桁架楼承板或压型钢板施工阶段挠度计算应基于其自身刚度采用荷载的标准组合。考虑的永久荷载包括钢筋桁架楼承板、压型钢板、钢筋和混凝土的自重，可变荷载可按施工实际情况取用，且不应小于1</w:t>
      </w:r>
      <w:r>
        <w:rPr>
          <w:rFonts w:hint="eastAsia" w:ascii="宋体" w:hAnsi="宋体"/>
          <w:b/>
          <w:bCs/>
          <w:szCs w:val="21"/>
        </w:rPr>
        <w:t>.</w:t>
      </w:r>
      <w:r>
        <w:rPr>
          <w:rFonts w:hint="eastAsia"/>
          <w:bCs/>
          <w:szCs w:val="21"/>
        </w:rPr>
        <w:t>5kN/m</w:t>
      </w:r>
      <w:r>
        <w:rPr>
          <w:rFonts w:hint="eastAsia"/>
          <w:bCs/>
          <w:szCs w:val="21"/>
          <w:vertAlign w:val="superscript"/>
        </w:rPr>
        <w:t>2</w:t>
      </w:r>
      <w:r>
        <w:rPr>
          <w:rFonts w:hint="eastAsia"/>
          <w:bCs/>
          <w:szCs w:val="21"/>
        </w:rPr>
        <w:t>。施工完成后，永久荷载产生的挠度，一般远低于跨度的1/200。</w:t>
      </w:r>
    </w:p>
    <w:p>
      <w:pPr>
        <w:spacing w:line="240" w:lineRule="auto"/>
        <w:rPr>
          <w:bCs/>
          <w:szCs w:val="21"/>
        </w:rPr>
      </w:pPr>
      <w:r>
        <w:rPr>
          <w:rFonts w:hint="eastAsia"/>
          <w:bCs/>
          <w:szCs w:val="21"/>
        </w:rPr>
        <w:t>使用阶段组合楼板挠度计算一般采用两阶段叠加的计算方法。组合楼板在使用阶段应基于组合楼板刚度，考虑面层、粉刷荷载及使用阶段的可变荷载计算挠度，并与施工阶段挠度计算结果叠加。</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6 </w:t>
      </w:r>
      <w:r>
        <w:rPr>
          <w:b/>
          <w:bCs/>
          <w:szCs w:val="21"/>
        </w:rPr>
        <w:t xml:space="preserve"> </w:t>
      </w:r>
      <w:r>
        <w:rPr>
          <w:rFonts w:hint="eastAsia"/>
          <w:bCs/>
          <w:szCs w:val="21"/>
        </w:rPr>
        <w:t>普通住宅建筑楼板底部一般不设吊顶，而仅做粉刷，为方便施工，钢筋桁架楼承板的底板在楼板混凝土达到设计强度后应便于拆除。钢筋桁架与底板的连接强度既要能满足施工期间承载力设计要求，又要便于后期底板拆除。底板与钢筋桁架之间可采用电阻点焊，也可采用机械连接。计算钢筋桁架和底板连接点的作用效应时，应采用荷载的基本组合。钢筋桁架与底板之间采用机械连接时，应安全可靠，构造合理，施工方便，机械连接的承载力应通过试验确定。钢筋桁架与底板之间采用电阻电焊时，电阻焊点的受剪承载力应符合下列规定：</w:t>
      </w:r>
    </w:p>
    <w:p>
      <w:pPr>
        <w:rPr>
          <w:kern w:val="0"/>
          <w:szCs w:val="21"/>
        </w:rPr>
      </w:pPr>
      <m:oMathPara>
        <m:oMathParaPr>
          <m:jc m:val="center"/>
        </m:oMathParaPr>
        <m:oMath>
          <m:r>
            <m:rPr/>
            <w:rPr>
              <w:rFonts w:ascii="Cambria Math" w:hAnsi="Cambria Math" w:eastAsia="Cambria Math"/>
              <w:kern w:val="0"/>
              <w:position w:val="-2"/>
              <w:szCs w:val="21"/>
            </w:rPr>
            <m:t>V</m:t>
          </m:r>
          <m:r>
            <m:rPr/>
            <w:rPr>
              <w:rFonts w:hint="eastAsia" w:ascii="Cambria Math" w:hAnsi="Cambria Math" w:eastAsiaTheme="minorEastAsia"/>
              <w:kern w:val="0"/>
              <w:position w:val="-2"/>
              <w:szCs w:val="21"/>
            </w:rPr>
            <m:t>≤</m:t>
          </m:r>
          <m:nary>
            <m:naryPr>
              <m:chr m:val="∑"/>
              <m:limLoc m:val="undOvr"/>
              <m:ctrlPr>
                <w:rPr>
                  <w:rFonts w:ascii="Cambria Math" w:hAnsi="Cambria Math" w:eastAsiaTheme="minorEastAsia" w:cstheme="minorBidi"/>
                  <w:iCs/>
                  <w:kern w:val="0"/>
                  <w:position w:val="-2"/>
                  <w:szCs w:val="21"/>
                </w:rPr>
              </m:ctrlPr>
            </m:naryPr>
            <m:sub>
              <m:r>
                <m:rPr/>
                <w:rPr>
                  <w:rFonts w:ascii="Cambria Math" w:hAnsi="Cambria Math"/>
                  <w:kern w:val="0"/>
                  <w:position w:val="-2"/>
                  <w:szCs w:val="21"/>
                </w:rPr>
                <m:t>1</m:t>
              </m:r>
              <m:ctrlPr>
                <w:rPr>
                  <w:rFonts w:ascii="Cambria Math" w:hAnsi="Cambria Math" w:eastAsiaTheme="minorEastAsia" w:cstheme="minorBidi"/>
                  <w:iCs/>
                  <w:kern w:val="0"/>
                  <w:position w:val="-2"/>
                  <w:szCs w:val="21"/>
                </w:rPr>
              </m:ctrlPr>
            </m:sub>
            <m:sup>
              <m:r>
                <m:rPr/>
                <w:rPr>
                  <w:rFonts w:ascii="Cambria Math" w:hAnsi="Cambria Math"/>
                  <w:kern w:val="0"/>
                  <w:position w:val="-2"/>
                  <w:szCs w:val="21"/>
                </w:rPr>
                <m:t>n</m:t>
              </m:r>
              <m:ctrlPr>
                <w:rPr>
                  <w:rFonts w:ascii="Cambria Math" w:hAnsi="Cambria Math" w:eastAsiaTheme="minorEastAsia" w:cstheme="minorBidi"/>
                  <w:iCs/>
                  <w:kern w:val="0"/>
                  <w:position w:val="-2"/>
                  <w:szCs w:val="21"/>
                </w:rPr>
              </m:ctrlPr>
            </m:sup>
            <m:e>
              <m:sSub>
                <m:sSubPr>
                  <m:ctrlPr>
                    <w:rPr>
                      <w:rFonts w:ascii="Cambria Math" w:hAnsi="Cambria Math" w:eastAsiaTheme="minorEastAsia" w:cstheme="minorBidi"/>
                      <w:i/>
                      <w:iCs/>
                      <w:kern w:val="0"/>
                      <w:position w:val="-2"/>
                      <w:szCs w:val="21"/>
                    </w:rPr>
                  </m:ctrlPr>
                </m:sSubPr>
                <m:e>
                  <m:r>
                    <m:rPr/>
                    <w:rPr>
                      <w:rFonts w:ascii="Cambria Math" w:hAnsi="Cambria Math"/>
                      <w:kern w:val="0"/>
                      <w:position w:val="-2"/>
                      <w:szCs w:val="21"/>
                    </w:rPr>
                    <m:t>N</m:t>
                  </m:r>
                  <m:ctrlPr>
                    <w:rPr>
                      <w:rFonts w:ascii="Cambria Math" w:hAnsi="Cambria Math" w:eastAsiaTheme="minorEastAsia" w:cstheme="minorBidi"/>
                      <w:i/>
                      <w:iCs/>
                      <w:kern w:val="0"/>
                      <w:position w:val="-2"/>
                      <w:szCs w:val="21"/>
                    </w:rPr>
                  </m:ctrlPr>
                </m:e>
                <m:sub>
                  <m:r>
                    <m:rPr/>
                    <w:rPr>
                      <w:rFonts w:ascii="Cambria Math" w:hAnsi="Cambria Math"/>
                      <w:kern w:val="0"/>
                      <w:position w:val="-2"/>
                      <w:szCs w:val="21"/>
                    </w:rPr>
                    <m:t>V</m:t>
                  </m:r>
                  <m:ctrlPr>
                    <w:rPr>
                      <w:rFonts w:ascii="Cambria Math" w:hAnsi="Cambria Math" w:eastAsiaTheme="minorEastAsia" w:cstheme="minorBidi"/>
                      <w:i/>
                      <w:iCs/>
                      <w:kern w:val="0"/>
                      <w:position w:val="-2"/>
                      <w:szCs w:val="21"/>
                    </w:rPr>
                  </m:ctrlPr>
                </m:sub>
              </m:sSub>
              <m:ctrlPr>
                <w:rPr>
                  <w:rFonts w:ascii="Cambria Math" w:hAnsi="Cambria Math" w:eastAsiaTheme="minorEastAsia" w:cstheme="minorBidi"/>
                  <w:iCs/>
                  <w:kern w:val="0"/>
                  <w:position w:val="-2"/>
                  <w:szCs w:val="21"/>
                </w:rPr>
              </m:ctrlPr>
            </m:e>
          </m:nary>
        </m:oMath>
      </m:oMathPara>
    </w:p>
    <w:p>
      <w:pPr>
        <w:spacing w:line="240" w:lineRule="auto"/>
        <w:ind w:firstLine="420" w:firstLineChars="200"/>
        <w:rPr>
          <w:bCs/>
          <w:szCs w:val="21"/>
        </w:rPr>
      </w:pPr>
      <w:r>
        <w:rPr>
          <w:rFonts w:hint="eastAsia"/>
          <w:bCs/>
          <w:szCs w:val="21"/>
        </w:rPr>
        <w:t>式中：V—施工阶段钢筋桁架楼承板的底板与钢筋桁架电阻焊点剪力设计值；</w:t>
      </w:r>
    </w:p>
    <w:p>
      <w:pPr>
        <w:spacing w:line="240" w:lineRule="auto"/>
        <w:ind w:firstLine="1050" w:firstLineChars="500"/>
        <w:rPr>
          <w:bCs/>
          <w:szCs w:val="21"/>
        </w:rPr>
      </w:pPr>
      <w:r>
        <w:rPr>
          <w:rFonts w:hint="eastAsia"/>
          <w:bCs/>
          <w:szCs w:val="21"/>
        </w:rPr>
        <w:t>NV—电阻焊点抗剪承载力设计值，按表</w:t>
      </w:r>
      <w:r>
        <w:rPr>
          <w:bCs/>
          <w:szCs w:val="21"/>
        </w:rPr>
        <w:t>4</w:t>
      </w:r>
      <w:r>
        <w:rPr>
          <w:rFonts w:hint="eastAsia"/>
          <w:bCs/>
          <w:szCs w:val="21"/>
        </w:rPr>
        <w:t>取值；</w:t>
      </w:r>
    </w:p>
    <w:p>
      <w:pPr>
        <w:spacing w:line="240" w:lineRule="auto"/>
        <w:ind w:firstLine="1050" w:firstLineChars="500"/>
        <w:rPr>
          <w:bCs/>
          <w:szCs w:val="21"/>
        </w:rPr>
      </w:pPr>
      <w:r>
        <w:rPr>
          <w:rFonts w:hint="eastAsia"/>
          <w:bCs/>
          <w:szCs w:val="21"/>
        </w:rPr>
        <w:t>n—(对应)底板计算面积内焊点个数。</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bCs/>
          <w:sz w:val="18"/>
          <w:szCs w:val="18"/>
        </w:rPr>
        <w:t>4</w:t>
      </w:r>
      <w:r>
        <w:rPr>
          <w:rFonts w:eastAsia="黑体" w:cs="黑体"/>
          <w:bCs/>
          <w:sz w:val="18"/>
          <w:szCs w:val="18"/>
        </w:rPr>
        <w:t xml:space="preserve">  </w:t>
      </w:r>
      <w:r>
        <w:rPr>
          <w:rFonts w:hint="eastAsia" w:eastAsia="黑体" w:cs="黑体"/>
          <w:bCs/>
          <w:sz w:val="18"/>
          <w:szCs w:val="18"/>
        </w:rPr>
        <w:t>钢筋桁架与底板焊点抗剪承载力设计值</w:t>
      </w:r>
      <w:r>
        <w:rPr>
          <w:rFonts w:eastAsia="黑体" w:cs="黑体"/>
          <w:bCs/>
          <w:sz w:val="18"/>
          <w:szCs w:val="18"/>
        </w:rPr>
        <w:t>(N)</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autofit"/>
        <w:tblCellMar>
          <w:top w:w="0" w:type="dxa"/>
          <w:left w:w="10" w:type="dxa"/>
          <w:bottom w:w="0" w:type="dxa"/>
          <w:right w:w="10" w:type="dxa"/>
        </w:tblCellMar>
      </w:tblPr>
      <w:tblGrid>
        <w:gridCol w:w="4659"/>
        <w:gridCol w:w="1071"/>
        <w:gridCol w:w="1071"/>
        <w:gridCol w:w="1072"/>
        <w:gridCol w:w="1421"/>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0" w:type="auto"/>
            <w:vAlign w:val="center"/>
          </w:tcPr>
          <w:p>
            <w:pPr>
              <w:pStyle w:val="36"/>
              <w:rPr>
                <w:color w:val="auto"/>
                <w:sz w:val="15"/>
                <w:szCs w:val="15"/>
              </w:rPr>
            </w:pPr>
            <w:r>
              <w:rPr>
                <w:rFonts w:hint="eastAsia"/>
                <w:color w:val="auto"/>
                <w:sz w:val="15"/>
                <w:szCs w:val="15"/>
              </w:rPr>
              <w:t>底板钢板厚度</w:t>
            </w:r>
            <w:r>
              <w:rPr>
                <w:color w:val="auto"/>
                <w:sz w:val="15"/>
                <w:szCs w:val="15"/>
              </w:rPr>
              <w:t>(mm)</w:t>
            </w:r>
          </w:p>
        </w:tc>
        <w:tc>
          <w:tcPr>
            <w:tcW w:w="0" w:type="auto"/>
            <w:vAlign w:val="center"/>
          </w:tcPr>
          <w:p>
            <w:pPr>
              <w:pStyle w:val="36"/>
              <w:rPr>
                <w:color w:val="auto"/>
                <w:sz w:val="15"/>
                <w:szCs w:val="15"/>
              </w:rPr>
            </w:pPr>
            <w:r>
              <w:rPr>
                <w:color w:val="auto"/>
                <w:sz w:val="15"/>
                <w:szCs w:val="15"/>
              </w:rPr>
              <w:t>0</w:t>
            </w:r>
            <w:r>
              <w:rPr>
                <w:rFonts w:ascii="宋体" w:hAnsi="宋体"/>
                <w:color w:val="auto"/>
                <w:szCs w:val="15"/>
              </w:rPr>
              <w:t>.</w:t>
            </w:r>
            <w:r>
              <w:rPr>
                <w:color w:val="auto"/>
                <w:sz w:val="15"/>
                <w:szCs w:val="15"/>
              </w:rPr>
              <w:t>4</w:t>
            </w:r>
          </w:p>
        </w:tc>
        <w:tc>
          <w:tcPr>
            <w:tcW w:w="0" w:type="auto"/>
            <w:vAlign w:val="center"/>
          </w:tcPr>
          <w:p>
            <w:pPr>
              <w:pStyle w:val="36"/>
              <w:rPr>
                <w:color w:val="auto"/>
                <w:sz w:val="15"/>
                <w:szCs w:val="15"/>
              </w:rPr>
            </w:pPr>
            <w:r>
              <w:rPr>
                <w:color w:val="auto"/>
                <w:sz w:val="15"/>
                <w:szCs w:val="15"/>
              </w:rPr>
              <w:t>0</w:t>
            </w:r>
            <w:r>
              <w:rPr>
                <w:rFonts w:ascii="宋体" w:hAnsi="宋体"/>
                <w:color w:val="auto"/>
                <w:szCs w:val="15"/>
              </w:rPr>
              <w:t>.</w:t>
            </w:r>
            <w:r>
              <w:rPr>
                <w:color w:val="auto"/>
                <w:sz w:val="15"/>
                <w:szCs w:val="15"/>
              </w:rPr>
              <w:t>5</w:t>
            </w:r>
          </w:p>
        </w:tc>
        <w:tc>
          <w:tcPr>
            <w:tcW w:w="0" w:type="auto"/>
            <w:vAlign w:val="center"/>
          </w:tcPr>
          <w:p>
            <w:pPr>
              <w:pStyle w:val="36"/>
              <w:rPr>
                <w:color w:val="auto"/>
                <w:sz w:val="15"/>
                <w:szCs w:val="15"/>
              </w:rPr>
            </w:pPr>
            <w:r>
              <w:rPr>
                <w:color w:val="auto"/>
                <w:sz w:val="15"/>
                <w:szCs w:val="15"/>
              </w:rPr>
              <w:t>0</w:t>
            </w:r>
            <w:r>
              <w:rPr>
                <w:rFonts w:ascii="宋体" w:hAnsi="宋体"/>
                <w:color w:val="auto"/>
                <w:szCs w:val="15"/>
              </w:rPr>
              <w:t>.</w:t>
            </w:r>
            <w:r>
              <w:rPr>
                <w:color w:val="auto"/>
                <w:sz w:val="15"/>
                <w:szCs w:val="15"/>
              </w:rPr>
              <w:t>6</w:t>
            </w:r>
          </w:p>
        </w:tc>
        <w:tc>
          <w:tcPr>
            <w:tcW w:w="0" w:type="auto"/>
            <w:vAlign w:val="center"/>
          </w:tcPr>
          <w:p>
            <w:pPr>
              <w:pStyle w:val="36"/>
              <w:rPr>
                <w:color w:val="auto"/>
                <w:sz w:val="15"/>
                <w:szCs w:val="15"/>
              </w:rPr>
            </w:pPr>
            <w:r>
              <w:rPr>
                <w:color w:val="auto"/>
                <w:sz w:val="15"/>
                <w:szCs w:val="15"/>
              </w:rPr>
              <w:t>0</w:t>
            </w:r>
            <w:r>
              <w:rPr>
                <w:rFonts w:ascii="宋体" w:hAnsi="宋体"/>
                <w:color w:val="auto"/>
                <w:szCs w:val="15"/>
              </w:rPr>
              <w:t>.</w:t>
            </w:r>
            <w:r>
              <w:rPr>
                <w:color w:val="auto"/>
                <w:sz w:val="15"/>
                <w:szCs w:val="15"/>
              </w:rPr>
              <w:t>8</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0" w:type="auto"/>
            <w:vAlign w:val="center"/>
          </w:tcPr>
          <w:p>
            <w:pPr>
              <w:pStyle w:val="36"/>
              <w:rPr>
                <w:color w:val="auto"/>
                <w:sz w:val="15"/>
                <w:szCs w:val="15"/>
              </w:rPr>
            </w:pPr>
            <w:r>
              <w:rPr>
                <w:rFonts w:hint="eastAsia"/>
                <w:color w:val="auto"/>
                <w:sz w:val="15"/>
                <w:szCs w:val="15"/>
              </w:rPr>
              <w:t>焊点抗剪承载力</w:t>
            </w:r>
          </w:p>
        </w:tc>
        <w:tc>
          <w:tcPr>
            <w:tcW w:w="0" w:type="auto"/>
            <w:vAlign w:val="center"/>
          </w:tcPr>
          <w:p>
            <w:pPr>
              <w:pStyle w:val="36"/>
              <w:rPr>
                <w:color w:val="auto"/>
                <w:sz w:val="15"/>
                <w:szCs w:val="15"/>
              </w:rPr>
            </w:pPr>
            <w:r>
              <w:rPr>
                <w:color w:val="auto"/>
                <w:sz w:val="15"/>
                <w:szCs w:val="15"/>
              </w:rPr>
              <w:t>375</w:t>
            </w:r>
          </w:p>
        </w:tc>
        <w:tc>
          <w:tcPr>
            <w:tcW w:w="0" w:type="auto"/>
            <w:vAlign w:val="center"/>
          </w:tcPr>
          <w:p>
            <w:pPr>
              <w:pStyle w:val="36"/>
              <w:rPr>
                <w:color w:val="auto"/>
                <w:sz w:val="15"/>
                <w:szCs w:val="15"/>
              </w:rPr>
            </w:pPr>
            <w:r>
              <w:rPr>
                <w:color w:val="auto"/>
                <w:sz w:val="15"/>
                <w:szCs w:val="15"/>
              </w:rPr>
              <w:t>500</w:t>
            </w:r>
          </w:p>
        </w:tc>
        <w:tc>
          <w:tcPr>
            <w:tcW w:w="0" w:type="auto"/>
            <w:vAlign w:val="center"/>
          </w:tcPr>
          <w:p>
            <w:pPr>
              <w:pStyle w:val="36"/>
              <w:rPr>
                <w:color w:val="auto"/>
                <w:sz w:val="15"/>
                <w:szCs w:val="15"/>
              </w:rPr>
            </w:pPr>
            <w:r>
              <w:rPr>
                <w:color w:val="auto"/>
                <w:sz w:val="15"/>
                <w:szCs w:val="15"/>
              </w:rPr>
              <w:t>675</w:t>
            </w:r>
          </w:p>
        </w:tc>
        <w:tc>
          <w:tcPr>
            <w:tcW w:w="0" w:type="auto"/>
            <w:vAlign w:val="center"/>
          </w:tcPr>
          <w:p>
            <w:pPr>
              <w:pStyle w:val="36"/>
              <w:rPr>
                <w:color w:val="auto"/>
                <w:sz w:val="15"/>
                <w:szCs w:val="15"/>
              </w:rPr>
            </w:pPr>
            <w:r>
              <w:rPr>
                <w:color w:val="auto"/>
                <w:sz w:val="15"/>
                <w:szCs w:val="15"/>
              </w:rPr>
              <w:t>1050</w:t>
            </w:r>
          </w:p>
        </w:tc>
      </w:tr>
    </w:tbl>
    <w:p>
      <w:pPr>
        <w:spacing w:line="240" w:lineRule="auto"/>
        <w:ind w:firstLine="420" w:firstLineChars="200"/>
        <w:rPr>
          <w:bCs/>
          <w:szCs w:val="21"/>
        </w:rPr>
      </w:pPr>
      <w:r>
        <w:rPr>
          <w:rFonts w:hint="eastAsia"/>
          <w:bCs/>
          <w:szCs w:val="21"/>
        </w:rPr>
        <w:t>使用阶段，钢筋桁架弦杆钢筋可作为混凝土中配置的上、下受力钢筋与混凝土共同工作，按钢筋混凝土板验算受弯、受剪承载力，不考虑钢筋桁架整体、桁架腹杆及底板的作用。</w:t>
      </w:r>
    </w:p>
    <w:p>
      <w:pPr>
        <w:spacing w:line="240" w:lineRule="auto"/>
        <w:ind w:firstLine="420" w:firstLineChars="200"/>
        <w:rPr>
          <w:bCs/>
          <w:szCs w:val="21"/>
        </w:rPr>
      </w:pPr>
      <w:r>
        <w:rPr>
          <w:rFonts w:hint="eastAsia"/>
          <w:bCs/>
          <w:szCs w:val="21"/>
        </w:rPr>
        <w:t>计算使用阶段钢筋桁架组合楼板内力时，计算模型应与楼板实际受力情况一致，包括荷载、约束条件、单双向模式等，并应按现行国家标准《混凝土结构设计规范》GB</w:t>
      </w:r>
      <w:r>
        <w:rPr>
          <w:bCs/>
          <w:szCs w:val="21"/>
        </w:rPr>
        <w:t xml:space="preserve"> </w:t>
      </w:r>
      <w:r>
        <w:rPr>
          <w:rFonts w:hint="eastAsia"/>
          <w:bCs/>
          <w:szCs w:val="21"/>
        </w:rPr>
        <w:t>50010进行配筋设计。钢筋桁架组合楼板根据具体工程情况可设计为单向板，也可设计为双向板。在确定设计为单向板还是双向板时，可不遵循楼板长边与短边长度的比例关系原则，即：当长边与短边长度之比小于等于2</w:t>
      </w:r>
      <w:r>
        <w:rPr>
          <w:rFonts w:hint="eastAsia" w:ascii="宋体" w:hAnsi="宋体"/>
          <w:bCs/>
          <w:szCs w:val="21"/>
        </w:rPr>
        <w:t>.</w:t>
      </w:r>
      <w:r>
        <w:rPr>
          <w:rFonts w:hint="eastAsia"/>
          <w:bCs/>
          <w:szCs w:val="21"/>
        </w:rPr>
        <w:t>0时，也可按单向板设计，但沿长边方向应布置足够数量的构造钢筋。</w:t>
      </w:r>
    </w:p>
    <w:p>
      <w:pPr>
        <w:spacing w:line="240" w:lineRule="auto"/>
        <w:ind w:firstLine="420" w:firstLineChars="200"/>
        <w:rPr>
          <w:bCs/>
          <w:szCs w:val="21"/>
        </w:rPr>
      </w:pPr>
      <w:r>
        <w:rPr>
          <w:rFonts w:hint="eastAsia"/>
          <w:bCs/>
          <w:szCs w:val="21"/>
        </w:rPr>
        <w:t xml:space="preserve">当施工阶段不设临时支撑时，钢筋桁架楼承板中弦杆钢筋存在“受拉钢筋应力超前”现象，即由于在施工阶段钢筋桁架承担该阶段全部荷载，使得在施工阶段桁架受拉钢筋的应力比假定组合楼板全截面承担同样荷载时要大，因此应验算钢筋桁架楼承板中弦杆钢筋的拉应力。 </w:t>
      </w:r>
    </w:p>
    <w:p>
      <w:pPr>
        <w:spacing w:line="240" w:lineRule="auto"/>
        <w:ind w:firstLine="420" w:firstLineChars="200"/>
        <w:rPr>
          <w:bCs/>
          <w:szCs w:val="21"/>
        </w:rPr>
      </w:pPr>
      <w:r>
        <w:rPr>
          <w:rFonts w:hint="eastAsia"/>
          <w:bCs/>
          <w:szCs w:val="21"/>
        </w:rPr>
        <w:t>钢筋桁架组合楼板的纵向连接应在支座处，应根据钢筋桁架组合楼板在梁支座处的支承情况，确定支座处板面连接钢筋的布置和构造要求。相邻钢筋桁架楼承板纵向连接处，板的板面、板底布置的连接钢筋与钢筋桁架的上弦、下弦钢筋可采用钢筋绑扎搭接连接，位于同一连接区段内的钢筋搭接接头面积百分率按100%考虑，钢筋绑扎搭接接头的搭接长度应符合现行国家标准《混凝土结构设计规范》GB</w:t>
      </w:r>
      <w:r>
        <w:rPr>
          <w:bCs/>
          <w:szCs w:val="21"/>
        </w:rPr>
        <w:t xml:space="preserve"> </w:t>
      </w:r>
      <w:r>
        <w:rPr>
          <w:rFonts w:hint="eastAsia"/>
          <w:bCs/>
          <w:szCs w:val="21"/>
        </w:rPr>
        <w:t>50010的有关规定。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剪力墙预留钢筋、预埋件的设置应符合现行国家标准《混凝土结构设计规范》GB</w:t>
      </w:r>
      <w:r>
        <w:rPr>
          <w:bCs/>
          <w:szCs w:val="21"/>
        </w:rPr>
        <w:t xml:space="preserve"> </w:t>
      </w:r>
      <w:r>
        <w:rPr>
          <w:rFonts w:hint="eastAsia"/>
          <w:bCs/>
          <w:szCs w:val="21"/>
        </w:rPr>
        <w:t>50010的要求。预埋槽钢或角钢尺寸及与预埋件的焊接应按现行国家标准《钢结构设计标准》GB</w:t>
      </w:r>
      <w:r>
        <w:rPr>
          <w:bCs/>
          <w:szCs w:val="21"/>
        </w:rPr>
        <w:t xml:space="preserve"> </w:t>
      </w:r>
      <w:r>
        <w:rPr>
          <w:rFonts w:hint="eastAsia"/>
          <w:bCs/>
          <w:szCs w:val="21"/>
        </w:rPr>
        <w:t>50017确定，槽钢或角钢不应小于[ 8或 L70x5，焊缝高度不应小于 5mm。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8</w:t>
      </w:r>
      <w:r>
        <w:rPr>
          <w:b/>
          <w:bCs/>
          <w:szCs w:val="21"/>
        </w:rPr>
        <w:t xml:space="preserve"> </w:t>
      </w:r>
      <w:r>
        <w:rPr>
          <w:rFonts w:hint="eastAsia"/>
          <w:b/>
          <w:bCs/>
          <w:szCs w:val="21"/>
        </w:rPr>
        <w:t xml:space="preserve"> </w:t>
      </w:r>
      <w:r>
        <w:rPr>
          <w:rFonts w:hint="eastAsia"/>
          <w:bCs/>
          <w:szCs w:val="21"/>
        </w:rPr>
        <w:t>混凝土叠合板可采用钢筋桁架混凝土叠合板、预制预应力混凝土叠合板、预制平板混凝土叠合板等形式，施工和使用阶段设计应符合现行有关标准的规定。</w:t>
      </w:r>
    </w:p>
    <w:p>
      <w:pPr>
        <w:spacing w:line="240" w:lineRule="auto"/>
        <w:ind w:firstLine="420" w:firstLineChars="200"/>
        <w:rPr>
          <w:bCs/>
          <w:szCs w:val="21"/>
        </w:rPr>
      </w:pPr>
      <w:r>
        <w:rPr>
          <w:rFonts w:hint="eastAsia"/>
          <w:bCs/>
          <w:szCs w:val="21"/>
        </w:rPr>
        <w:t>为保证楼板的整体性及传递水平力的要求，混凝土叠合楼板的预制板板底角部应设置预埋件，预埋件应与钢梁焊接。预制板端宜预留胡子筋，板端拼缝现浇混凝土应与钢梁通过圆柱头焊钉等方式可靠连接。</w:t>
      </w:r>
    </w:p>
    <w:p>
      <w:pPr>
        <w:spacing w:line="240" w:lineRule="auto"/>
        <w:ind w:firstLine="420" w:firstLineChars="200"/>
        <w:rPr>
          <w:bCs/>
          <w:szCs w:val="21"/>
        </w:rPr>
      </w:pPr>
      <w:r>
        <w:rPr>
          <w:rFonts w:hint="eastAsia"/>
          <w:bCs/>
          <w:szCs w:val="21"/>
        </w:rPr>
        <w:t xml:space="preserve">叠合板后浇层最小厚度的规定考虑了楼板整体性要求以及管线预埋、面筋铺设、施工误差等因素。预制板最小厚度的规定考虑了脱模、吊装、运输、施工等因素。在采取可靠的构造措施的情况下，如设置桁架钢筋或板肋等，增加了预制板刚度时，可以考虑将其厚度适当减少。  </w:t>
      </w:r>
    </w:p>
    <w:p>
      <w:pPr>
        <w:spacing w:line="240" w:lineRule="auto"/>
        <w:ind w:firstLine="420" w:firstLineChars="200"/>
        <w:rPr>
          <w:bCs/>
          <w:szCs w:val="21"/>
        </w:rPr>
      </w:pPr>
      <w:r>
        <w:rPr>
          <w:rFonts w:hint="eastAsia"/>
          <w:bCs/>
          <w:szCs w:val="21"/>
        </w:rPr>
        <w:t>当板跨度较大时，为了增加预制板的整体刚度和水平界面抗剪性能，可在预制板内设置桁架钢筋。钢筋桁架的下弦钢筋可视情况作为楼板下部的受力钢筋使用。施工阶段，验算预制板的承载力及变形时，可考虑桁架钢筋的作用，减小预制板下的临时支撑。</w:t>
      </w:r>
    </w:p>
    <w:p>
      <w:pPr>
        <w:spacing w:line="240" w:lineRule="auto"/>
        <w:ind w:firstLine="420" w:firstLineChars="200"/>
        <w:rPr>
          <w:bCs/>
          <w:szCs w:val="21"/>
        </w:rPr>
      </w:pPr>
      <w:r>
        <w:rPr>
          <w:rFonts w:hint="eastAsia"/>
          <w:bCs/>
          <w:szCs w:val="21"/>
        </w:rPr>
        <w:t>当板跨度超过6m时，采用预应力混凝土预制板经济性较好。板厚大于180mm时，为了减轻楼板自重，节约材料，推荐采用空心楼板；可在预制板上设置各种轻质模具，浇筑混凝土后形成空心。</w:t>
      </w:r>
    </w:p>
    <w:p>
      <w:pPr>
        <w:spacing w:line="240" w:lineRule="auto"/>
        <w:ind w:firstLine="420" w:firstLineChars="200"/>
        <w:rPr>
          <w:bCs/>
          <w:szCs w:val="21"/>
        </w:rPr>
      </w:pPr>
      <w:r>
        <w:rPr>
          <w:rFonts w:hint="eastAsia"/>
          <w:bCs/>
          <w:szCs w:val="21"/>
        </w:rPr>
        <w:t>预制板内的纵向受力钢筋在板端宜伸入支座，并应符合现浇楼板下部纵向钢筋的构造要求。在预制板侧面，即单向板长边支座，为了加工及施工方便，可不伸出构造钢筋，但应采用附加钢筋的方式，保证楼面的整体性及连续性。</w:t>
      </w:r>
    </w:p>
    <w:p>
      <w:pPr>
        <w:spacing w:line="240" w:lineRule="auto"/>
        <w:ind w:firstLine="420" w:firstLineChars="200"/>
        <w:rPr>
          <w:bCs/>
          <w:szCs w:val="21"/>
        </w:rPr>
      </w:pPr>
      <w:r>
        <w:rPr>
          <w:rFonts w:hint="eastAsia"/>
          <w:bCs/>
          <w:szCs w:val="21"/>
        </w:rPr>
        <w:t>叠合板支座处的纵向钢筋构造应符合下列规定：</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 xml:space="preserve">当板端和板侧为钢筋混凝土构件时应符合下列规定： </w:t>
      </w:r>
    </w:p>
    <w:p>
      <w:pPr>
        <w:spacing w:line="240" w:lineRule="auto"/>
        <w:ind w:firstLine="632" w:firstLineChars="300"/>
        <w:rPr>
          <w:bCs/>
          <w:szCs w:val="21"/>
        </w:rPr>
      </w:pPr>
      <w:r>
        <w:rPr>
          <w:rFonts w:hint="eastAsia"/>
          <w:b/>
          <w:bCs/>
          <w:szCs w:val="21"/>
        </w:rPr>
        <w:t>1</w:t>
      </w:r>
      <w:r>
        <w:rPr>
          <w:rFonts w:hint="eastAsia"/>
          <w:bCs/>
          <w:szCs w:val="21"/>
        </w:rPr>
        <w:t xml:space="preserve">）板端支座处，预制板内的纵向受力钢筋宜从板端伸出并锚入支承梁或墙的后浇混凝土中，锚固长度不应小于5倍纵向受力钢筋直径，且宜伸过支座中心线； </w:t>
      </w:r>
    </w:p>
    <w:p>
      <w:pPr>
        <w:spacing w:line="240" w:lineRule="auto"/>
        <w:ind w:firstLine="632" w:firstLineChars="300"/>
        <w:rPr>
          <w:bCs/>
          <w:szCs w:val="21"/>
        </w:rPr>
      </w:pPr>
      <w:r>
        <w:rPr>
          <w:rFonts w:hint="eastAsia"/>
          <w:b/>
          <w:bCs/>
          <w:szCs w:val="21"/>
        </w:rPr>
        <w:t>2</w:t>
      </w:r>
      <w:r>
        <w:rPr>
          <w:rFonts w:hint="eastAsia"/>
          <w:bCs/>
          <w:szCs w:val="21"/>
        </w:rPr>
        <w:t>）单向叠合板的板侧支座处，当预制板内的板底分布钢筋伸入支承梁或墙的后浇混凝土中时，应符合本条第1款的要求；当板底分布钢筋不伸入时，宜在紧邻预制板顶面的后浇混凝土叠合层中设置附加钢筋，附加钢筋截面面积不宜小于预制板内的同向分布钢筋面积，且直径不宜小于6mm，间距不宜大于300mm，在板的后浇混凝土叠合层内锚固长度不应小于15d，在支座内锚固长度不应小于15倍附加钢筋直径，且宜伸过支座中心线；</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 xml:space="preserve">当板端和板侧为钢骨混凝土构件时，应符合下列规定： </w:t>
      </w:r>
    </w:p>
    <w:p>
      <w:pPr>
        <w:spacing w:line="240" w:lineRule="auto"/>
        <w:ind w:firstLine="632" w:firstLineChars="300"/>
        <w:rPr>
          <w:bCs/>
          <w:szCs w:val="21"/>
        </w:rPr>
      </w:pPr>
      <w:r>
        <w:rPr>
          <w:rFonts w:hint="eastAsia"/>
          <w:b/>
          <w:bCs/>
          <w:szCs w:val="21"/>
        </w:rPr>
        <w:t>1</w:t>
      </w:r>
      <w:r>
        <w:rPr>
          <w:rFonts w:hint="eastAsia"/>
          <w:bCs/>
          <w:szCs w:val="21"/>
        </w:rPr>
        <w:t>）预制板内的纵向受力钢筋应伸至钢骨混凝土后浇段内钢骨处，锚固长度不应小于15d；</w:t>
      </w:r>
    </w:p>
    <w:p>
      <w:pPr>
        <w:spacing w:line="240" w:lineRule="auto"/>
        <w:ind w:firstLine="632" w:firstLineChars="300"/>
        <w:rPr>
          <w:bCs/>
          <w:szCs w:val="21"/>
        </w:rPr>
      </w:pPr>
      <w:r>
        <w:rPr>
          <w:rFonts w:hint="eastAsia"/>
          <w:b/>
          <w:bCs/>
          <w:szCs w:val="21"/>
        </w:rPr>
        <w:t>2</w:t>
      </w:r>
      <w:r>
        <w:rPr>
          <w:rFonts w:hint="eastAsia"/>
          <w:bCs/>
          <w:szCs w:val="21"/>
        </w:rPr>
        <w:t xml:space="preserve">）叠合板的上部负筋应穿过钢骨的预留孔，贯通连接，当仅为一侧有楼板时，则钢筋应穿过钢骨孔至对侧边，锚固长度应满足抗震锚固长度的要求。 </w:t>
      </w:r>
    </w:p>
    <w:p>
      <w:pPr>
        <w:spacing w:line="240" w:lineRule="auto"/>
        <w:ind w:firstLine="945" w:firstLineChars="450"/>
        <w:rPr>
          <w:bCs/>
          <w:szCs w:val="21"/>
        </w:rPr>
      </w:pPr>
      <w:r>
        <w:rPr>
          <w:rFonts w:hint="eastAsia"/>
          <w:bCs/>
          <w:szCs w:val="21"/>
        </w:rPr>
        <w:t>根据叠合板尺寸、预制板尺寸及接缝构造，叠合板可按照单向叠合板或者双向叠合板进行设计。当按照双向板设计时，同一板块内，可采用整块的叠合双向板或者几块预制板通过整体式接缝组合成的叠合双向板；当按照单向板设计时，几块叠合板各自作为单向板进行设计，板侧采用分离式拼缝即可。支座及接缝构造详见本节后几条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8</w:t>
      </w:r>
      <w:r>
        <w:rPr>
          <w:rFonts w:hint="eastAsia" w:ascii="宋体" w:hAnsi="宋体"/>
          <w:b/>
          <w:bCs/>
          <w:szCs w:val="21"/>
        </w:rPr>
        <w:t>.</w:t>
      </w:r>
      <w:r>
        <w:rPr>
          <w:rFonts w:hint="eastAsia"/>
          <w:b/>
          <w:bCs/>
          <w:szCs w:val="21"/>
        </w:rPr>
        <w:t>9</w:t>
      </w:r>
      <w:r>
        <w:rPr>
          <w:rFonts w:hint="eastAsia"/>
          <w:bCs/>
          <w:szCs w:val="21"/>
        </w:rPr>
        <w:t xml:space="preserve"> </w:t>
      </w:r>
      <w:r>
        <w:rPr>
          <w:bCs/>
          <w:szCs w:val="21"/>
        </w:rPr>
        <w:t xml:space="preserve"> </w:t>
      </w:r>
      <w:r>
        <w:rPr>
          <w:rFonts w:hint="eastAsia"/>
          <w:bCs/>
          <w:szCs w:val="21"/>
        </w:rPr>
        <w:t>在叠合板跨度较大、有相邻悬挑板的上部钢筋锚入等情况下，叠合面在外力、温度等作用下，截面上会产生较大的水平剪力，需配置界面抗剪构造钢筋来保证水平界面的抗剪能力。当有桁架钢筋时，可不单独配置抗剪钢筋；当没有桁架钢筋时，配置的抗剪钢筋可采用马镫形状，钢筋直径、间距及锚固长度应满足叠合面抗剪的需求。</w:t>
      </w:r>
    </w:p>
    <w:p>
      <w:pPr>
        <w:pStyle w:val="4"/>
        <w:spacing w:before="240" w:after="240" w:line="240" w:lineRule="auto"/>
        <w:jc w:val="center"/>
        <w:rPr>
          <w:rFonts w:ascii="黑体" w:hAnsi="黑体" w:eastAsia="黑体"/>
          <w:b w:val="0"/>
          <w:sz w:val="21"/>
          <w:szCs w:val="21"/>
        </w:rPr>
      </w:pPr>
      <w:bookmarkStart w:id="126" w:name="_Toc118314508"/>
      <w:bookmarkStart w:id="127" w:name="_Toc118357504"/>
      <w:r>
        <w:rPr>
          <w:rFonts w:hint="eastAsia" w:ascii="Times New Roman" w:hAnsi="Times New Roman"/>
          <w:sz w:val="21"/>
          <w:szCs w:val="21"/>
        </w:rPr>
        <w:t>5</w:t>
      </w:r>
      <w:r>
        <w:rPr>
          <w:rFonts w:hint="eastAsia" w:ascii="宋体" w:hAnsi="宋体"/>
          <w:sz w:val="21"/>
          <w:szCs w:val="21"/>
        </w:rPr>
        <w:t>.</w:t>
      </w:r>
      <w:r>
        <w:rPr>
          <w:rFonts w:hint="eastAsia" w:ascii="Times New Roman" w:hAnsi="Times New Roman"/>
          <w:sz w:val="21"/>
          <w:szCs w:val="21"/>
        </w:rPr>
        <w:t xml:space="preserve">10 </w:t>
      </w:r>
      <w:r>
        <w:rPr>
          <w:rFonts w:hint="eastAsia" w:ascii="Times New Roman" w:hAnsi="Times New Roman"/>
          <w:b w:val="0"/>
          <w:sz w:val="21"/>
          <w:szCs w:val="21"/>
        </w:rPr>
        <w:t xml:space="preserve"> </w:t>
      </w:r>
      <w:r>
        <w:rPr>
          <w:rFonts w:hint="eastAsia" w:ascii="黑体" w:hAnsi="黑体" w:eastAsia="黑体"/>
          <w:b w:val="0"/>
          <w:sz w:val="21"/>
          <w:szCs w:val="21"/>
        </w:rPr>
        <w:t>结 构 防 护</w:t>
      </w:r>
      <w:bookmarkEnd w:id="126"/>
      <w:bookmarkEnd w:id="127"/>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本着“预防为主，防护结合”的原则，钢结构的防腐绝不仅仅是简单的涂装防护，而是一个完善的防护体系。工程中应避免仅考虑初期投资费用，片面要求经济上的低成本，而忽视了后续使用、维修的费用，直接导致钢结构工程耐久性的降低和工程全寿命周期总成本费用的增加。对永久性承重钢结构应采用较严格的除锈标准和长效防护方案。</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2</w:t>
      </w:r>
      <w:r>
        <w:rPr>
          <w:b/>
          <w:bCs/>
          <w:szCs w:val="21"/>
        </w:rPr>
        <w:t xml:space="preserve"> </w:t>
      </w:r>
      <w:r>
        <w:rPr>
          <w:rFonts w:hint="eastAsia"/>
          <w:b/>
          <w:bCs/>
          <w:szCs w:val="21"/>
        </w:rPr>
        <w:t xml:space="preserve"> </w:t>
      </w:r>
      <w:r>
        <w:rPr>
          <w:rFonts w:hint="eastAsia"/>
          <w:bCs/>
          <w:szCs w:val="21"/>
        </w:rPr>
        <w:t>厨房和卫生间等部位与水接触的钢构件和节点，宜加强防腐措施。在维修条件受限并易受腐蚀的钢结构部位，可采用增加板件厚度的腐蚀裕量方法，腐蚀裕量不宜小于1mm。</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4、5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5</w:t>
      </w:r>
      <w:r>
        <w:rPr>
          <w:rFonts w:hint="eastAsia"/>
          <w:bCs/>
          <w:szCs w:val="21"/>
        </w:rPr>
        <w:t xml:space="preserve"> </w:t>
      </w:r>
      <w:r>
        <w:rPr>
          <w:bCs/>
          <w:szCs w:val="21"/>
        </w:rPr>
        <w:t xml:space="preserve"> </w:t>
      </w:r>
      <w:r>
        <w:rPr>
          <w:rFonts w:hint="eastAsia"/>
          <w:bCs/>
          <w:szCs w:val="21"/>
        </w:rPr>
        <w:t>底涂应与钢材表面有较好的附着力和长效防锈性能，中涂应具有优异屏蔽功能。涂层间不应发生互融和咬底现象。新建钢结构工程不得采用带锈涂料（即允许钢材表面带锈涂刷的化学除锈涂料）作防锈涂装。</w:t>
      </w:r>
    </w:p>
    <w:p>
      <w:pPr>
        <w:spacing w:line="240" w:lineRule="auto"/>
        <w:ind w:firstLine="420" w:firstLineChars="200"/>
        <w:rPr>
          <w:bCs/>
          <w:szCs w:val="21"/>
        </w:rPr>
      </w:pPr>
      <w:r>
        <w:rPr>
          <w:rFonts w:hint="eastAsia"/>
          <w:bCs/>
          <w:szCs w:val="21"/>
        </w:rPr>
        <w:t>钢结构表面防腐涂层的最小厚度应综合考虑环境腐蚀条件，涂料品种、防腐蚀涂层使用条件等因素确定。底涂层可采用富锌底涂料，中间涂层可采用环氧云铁中间涂料。室外工程钢结构表面防腐蚀涂层厚度宜增加20 m~40 m。</w:t>
      </w:r>
    </w:p>
    <w:p>
      <w:pPr>
        <w:spacing w:line="240" w:lineRule="auto"/>
        <w:ind w:firstLine="420" w:firstLineChars="200"/>
        <w:rPr>
          <w:bCs/>
          <w:szCs w:val="21"/>
        </w:rPr>
      </w:pPr>
      <w:r>
        <w:rPr>
          <w:rFonts w:hint="eastAsia"/>
          <w:bCs/>
          <w:szCs w:val="21"/>
        </w:rPr>
        <w:t>钢结构防火涂料一般不具有防腐效能，不应将防火涂料作为防腐涂料使用，应在构件表面先涂覆防腐涂层，在其上施工防火涂料，防火涂料与防腐涂层之间应具有良好的附着力。</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6</w:t>
      </w:r>
      <w:r>
        <w:rPr>
          <w:b/>
          <w:bCs/>
          <w:szCs w:val="21"/>
        </w:rPr>
        <w:t xml:space="preserve"> </w:t>
      </w:r>
      <w:r>
        <w:rPr>
          <w:rFonts w:hint="eastAsia"/>
          <w:b/>
          <w:bCs/>
          <w:szCs w:val="21"/>
        </w:rPr>
        <w:t xml:space="preserve"> </w:t>
      </w:r>
      <w:r>
        <w:rPr>
          <w:rFonts w:hint="eastAsia"/>
          <w:bCs/>
          <w:szCs w:val="21"/>
        </w:rPr>
        <w:t>维护计划通常由工程业主和防火、防腐蚀施工单位以及防火、防腐蚀材料供应商在工程建造时制定，投入使用后按照该维护计划进行定期检查，并根据检查结果进行维护。</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7</w:t>
      </w:r>
      <w:r>
        <w:rPr>
          <w:b/>
          <w:bCs/>
          <w:szCs w:val="21"/>
        </w:rPr>
        <w:t xml:space="preserve"> </w:t>
      </w:r>
      <w:r>
        <w:rPr>
          <w:rFonts w:hint="eastAsia"/>
          <w:bCs/>
          <w:szCs w:val="21"/>
        </w:rPr>
        <w:t>钢构件包括钢柱、钢梁、钢支撑等构件，本规范所指钢与混凝土组合构件包括钢管混凝土柱、压型钢板组合楼板、钢筋桁架组合楼板等。</w:t>
      </w:r>
    </w:p>
    <w:p>
      <w:pPr>
        <w:spacing w:line="240" w:lineRule="auto"/>
        <w:ind w:firstLine="420" w:firstLineChars="200"/>
        <w:rPr>
          <w:bCs/>
          <w:szCs w:val="21"/>
        </w:rPr>
      </w:pPr>
      <w:r>
        <w:rPr>
          <w:rFonts w:hint="eastAsia"/>
          <w:bCs/>
          <w:szCs w:val="21"/>
        </w:rPr>
        <w:t>建筑构件的耐火极限是指在标准耐火试验条件下，建筑构件从受到火的作用时起，至失去承载能力、完整性或隔热性时止所用时间，用小时表示。现行国家标准《建筑设计防火规范》GB</w:t>
      </w:r>
      <w:r>
        <w:rPr>
          <w:bCs/>
          <w:szCs w:val="21"/>
        </w:rPr>
        <w:t xml:space="preserve"> </w:t>
      </w:r>
      <w:r>
        <w:rPr>
          <w:rFonts w:hint="eastAsia"/>
          <w:bCs/>
          <w:szCs w:val="21"/>
        </w:rPr>
        <w:t>50016中将高层住宅建筑分为一类和二类，一类指建筑高度大于54米的住宅建筑，二类指建筑高度大于27米，但不大于54米的住宅建筑。不同耐火等级建筑相应构件的燃烧性能和耐火极限要求应符合表</w:t>
      </w:r>
      <w:r>
        <w:rPr>
          <w:bCs/>
          <w:szCs w:val="21"/>
        </w:rPr>
        <w:t>5</w:t>
      </w:r>
      <w:r>
        <w:rPr>
          <w:rFonts w:hint="eastAsia"/>
          <w:bCs/>
          <w:szCs w:val="21"/>
        </w:rPr>
        <w:t>的规定：</w:t>
      </w:r>
    </w:p>
    <w:p>
      <w:pPr>
        <w:spacing w:line="240" w:lineRule="auto"/>
        <w:ind w:left="-6"/>
        <w:jc w:val="center"/>
        <w:rPr>
          <w:rFonts w:eastAsia="黑体" w:cs="黑体"/>
          <w:bCs/>
          <w:sz w:val="18"/>
          <w:szCs w:val="18"/>
        </w:rPr>
      </w:pPr>
      <w:r>
        <w:rPr>
          <w:rFonts w:hint="eastAsia" w:eastAsia="黑体" w:cs="黑体"/>
          <w:bCs/>
          <w:sz w:val="18"/>
          <w:szCs w:val="18"/>
        </w:rPr>
        <w:t>表</w:t>
      </w:r>
      <w:r>
        <w:rPr>
          <w:rFonts w:eastAsia="黑体" w:cs="黑体"/>
          <w:b/>
          <w:bCs/>
          <w:sz w:val="18"/>
          <w:szCs w:val="18"/>
        </w:rPr>
        <w:t xml:space="preserve">5 </w:t>
      </w:r>
      <w:r>
        <w:rPr>
          <w:rFonts w:eastAsia="黑体" w:cs="黑体"/>
          <w:bCs/>
          <w:sz w:val="18"/>
          <w:szCs w:val="18"/>
        </w:rPr>
        <w:t xml:space="preserve"> </w:t>
      </w:r>
      <w:r>
        <w:rPr>
          <w:rFonts w:hint="eastAsia" w:eastAsia="黑体" w:cs="黑体"/>
          <w:bCs/>
          <w:sz w:val="18"/>
          <w:szCs w:val="18"/>
        </w:rPr>
        <w:t>构件的燃烧性能和耐火极限</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Layout w:type="fixed"/>
        <w:tblCellMar>
          <w:top w:w="0" w:type="dxa"/>
          <w:left w:w="10" w:type="dxa"/>
          <w:bottom w:w="0" w:type="dxa"/>
          <w:right w:w="10" w:type="dxa"/>
        </w:tblCellMar>
      </w:tblPr>
      <w:tblGrid>
        <w:gridCol w:w="3196"/>
        <w:gridCol w:w="3044"/>
        <w:gridCol w:w="3055"/>
      </w:tblGrid>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2100" w:type="dxa"/>
            <w:vMerge w:val="restart"/>
            <w:vAlign w:val="center"/>
          </w:tcPr>
          <w:p>
            <w:pPr>
              <w:pStyle w:val="36"/>
              <w:rPr>
                <w:color w:val="auto"/>
                <w:sz w:val="15"/>
                <w:szCs w:val="15"/>
              </w:rPr>
            </w:pPr>
            <w:r>
              <w:rPr>
                <w:rFonts w:hint="eastAsia"/>
                <w:color w:val="auto"/>
                <w:sz w:val="15"/>
                <w:szCs w:val="15"/>
              </w:rPr>
              <w:t>构件名称</w:t>
            </w:r>
          </w:p>
        </w:tc>
        <w:tc>
          <w:tcPr>
            <w:tcW w:w="4007" w:type="dxa"/>
            <w:gridSpan w:val="2"/>
            <w:vAlign w:val="center"/>
          </w:tcPr>
          <w:p>
            <w:pPr>
              <w:pStyle w:val="36"/>
              <w:rPr>
                <w:color w:val="auto"/>
                <w:sz w:val="15"/>
                <w:szCs w:val="15"/>
              </w:rPr>
            </w:pPr>
            <w:r>
              <w:rPr>
                <w:rFonts w:hint="eastAsia"/>
                <w:color w:val="auto"/>
                <w:sz w:val="15"/>
                <w:szCs w:val="15"/>
              </w:rPr>
              <w:t>耐火极限</w:t>
            </w:r>
            <w:r>
              <w:rPr>
                <w:color w:val="auto"/>
                <w:sz w:val="15"/>
                <w:szCs w:val="15"/>
              </w:rPr>
              <w:t>(</w:t>
            </w:r>
            <w:r>
              <w:rPr>
                <w:rFonts w:hint="eastAsia"/>
                <w:color w:val="auto"/>
                <w:sz w:val="15"/>
                <w:szCs w:val="15"/>
              </w:rPr>
              <w:t>小时</w:t>
            </w:r>
            <w:r>
              <w:rPr>
                <w:color w:val="auto"/>
                <w:sz w:val="15"/>
                <w:szCs w:val="15"/>
              </w:rPr>
              <w:t>)</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2100" w:type="dxa"/>
            <w:vMerge w:val="continue"/>
            <w:vAlign w:val="center"/>
          </w:tcPr>
          <w:p>
            <w:pPr>
              <w:pStyle w:val="36"/>
              <w:rPr>
                <w:color w:val="auto"/>
                <w:sz w:val="15"/>
                <w:szCs w:val="15"/>
              </w:rPr>
            </w:pPr>
          </w:p>
        </w:tc>
        <w:tc>
          <w:tcPr>
            <w:tcW w:w="2000" w:type="dxa"/>
            <w:vAlign w:val="center"/>
          </w:tcPr>
          <w:p>
            <w:pPr>
              <w:pStyle w:val="36"/>
              <w:rPr>
                <w:color w:val="auto"/>
                <w:sz w:val="15"/>
                <w:szCs w:val="15"/>
              </w:rPr>
            </w:pPr>
            <w:r>
              <w:rPr>
                <w:rFonts w:hint="eastAsia"/>
                <w:color w:val="auto"/>
                <w:sz w:val="15"/>
                <w:szCs w:val="15"/>
              </w:rPr>
              <w:t>一级</w:t>
            </w:r>
          </w:p>
        </w:tc>
        <w:tc>
          <w:tcPr>
            <w:tcW w:w="2007" w:type="dxa"/>
            <w:vAlign w:val="center"/>
          </w:tcPr>
          <w:p>
            <w:pPr>
              <w:pStyle w:val="36"/>
              <w:rPr>
                <w:color w:val="auto"/>
                <w:sz w:val="15"/>
                <w:szCs w:val="15"/>
              </w:rPr>
            </w:pPr>
            <w:r>
              <w:rPr>
                <w:rFonts w:hint="eastAsia"/>
                <w:color w:val="auto"/>
                <w:sz w:val="15"/>
                <w:szCs w:val="15"/>
              </w:rPr>
              <w:t>二级</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2100" w:type="dxa"/>
            <w:vAlign w:val="center"/>
          </w:tcPr>
          <w:p>
            <w:pPr>
              <w:pStyle w:val="36"/>
              <w:rPr>
                <w:color w:val="auto"/>
                <w:sz w:val="15"/>
                <w:szCs w:val="15"/>
              </w:rPr>
            </w:pPr>
            <w:r>
              <w:rPr>
                <w:rFonts w:hint="eastAsia"/>
                <w:color w:val="auto"/>
                <w:sz w:val="15"/>
                <w:szCs w:val="15"/>
              </w:rPr>
              <w:t>柱</w:t>
            </w:r>
          </w:p>
        </w:tc>
        <w:tc>
          <w:tcPr>
            <w:tcW w:w="2000"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3</w:t>
            </w:r>
            <w:r>
              <w:rPr>
                <w:rFonts w:ascii="宋体" w:hAnsi="宋体"/>
                <w:b/>
                <w:color w:val="auto"/>
                <w:szCs w:val="15"/>
              </w:rPr>
              <w:t>.</w:t>
            </w:r>
            <w:r>
              <w:rPr>
                <w:color w:val="auto"/>
                <w:sz w:val="15"/>
                <w:szCs w:val="15"/>
              </w:rPr>
              <w:t>00</w:t>
            </w:r>
          </w:p>
        </w:tc>
        <w:tc>
          <w:tcPr>
            <w:tcW w:w="2007"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2</w:t>
            </w:r>
            <w:r>
              <w:rPr>
                <w:rFonts w:ascii="宋体" w:hAnsi="宋体"/>
                <w:b/>
                <w:color w:val="auto"/>
                <w:szCs w:val="15"/>
              </w:rPr>
              <w:t>.</w:t>
            </w:r>
            <w:r>
              <w:rPr>
                <w:color w:val="auto"/>
                <w:sz w:val="15"/>
                <w:szCs w:val="15"/>
              </w:rPr>
              <w:t>50</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2100" w:type="dxa"/>
            <w:vAlign w:val="center"/>
          </w:tcPr>
          <w:p>
            <w:pPr>
              <w:pStyle w:val="36"/>
              <w:rPr>
                <w:color w:val="auto"/>
                <w:sz w:val="15"/>
                <w:szCs w:val="15"/>
              </w:rPr>
            </w:pPr>
            <w:r>
              <w:rPr>
                <w:rFonts w:hint="eastAsia"/>
                <w:color w:val="auto"/>
                <w:sz w:val="15"/>
                <w:szCs w:val="15"/>
              </w:rPr>
              <w:t>梁</w:t>
            </w:r>
          </w:p>
        </w:tc>
        <w:tc>
          <w:tcPr>
            <w:tcW w:w="2000"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2</w:t>
            </w:r>
            <w:r>
              <w:rPr>
                <w:rFonts w:ascii="宋体" w:hAnsi="宋体"/>
                <w:b/>
                <w:color w:val="auto"/>
                <w:szCs w:val="15"/>
              </w:rPr>
              <w:t>.</w:t>
            </w:r>
            <w:r>
              <w:rPr>
                <w:color w:val="auto"/>
                <w:sz w:val="15"/>
                <w:szCs w:val="15"/>
              </w:rPr>
              <w:t>00</w:t>
            </w:r>
          </w:p>
        </w:tc>
        <w:tc>
          <w:tcPr>
            <w:tcW w:w="2007"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50</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2100" w:type="dxa"/>
            <w:vAlign w:val="center"/>
          </w:tcPr>
          <w:p>
            <w:pPr>
              <w:pStyle w:val="36"/>
              <w:rPr>
                <w:color w:val="auto"/>
                <w:sz w:val="15"/>
                <w:szCs w:val="15"/>
              </w:rPr>
            </w:pPr>
            <w:r>
              <w:rPr>
                <w:rFonts w:hint="eastAsia"/>
                <w:color w:val="auto"/>
                <w:sz w:val="15"/>
                <w:szCs w:val="15"/>
              </w:rPr>
              <w:t>楼板</w:t>
            </w:r>
          </w:p>
        </w:tc>
        <w:tc>
          <w:tcPr>
            <w:tcW w:w="2000"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50</w:t>
            </w:r>
          </w:p>
        </w:tc>
        <w:tc>
          <w:tcPr>
            <w:tcW w:w="2007"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00</w:t>
            </w:r>
          </w:p>
        </w:tc>
      </w:tr>
      <w:tr>
        <w:tblPrEx>
          <w:tblBorders>
            <w:top w:val="single" w:color="auto" w:sz="12" w:space="0"/>
            <w:left w:val="single" w:color="auto" w:sz="12" w:space="0"/>
            <w:bottom w:val="single" w:color="auto" w:sz="12" w:space="0"/>
            <w:right w:val="single" w:color="auto" w:sz="12" w:space="0"/>
            <w:insideH w:val="single" w:color="000000" w:sz="2" w:space="0"/>
            <w:insideV w:val="single" w:color="000000" w:sz="2" w:space="0"/>
          </w:tblBorders>
          <w:tblCellMar>
            <w:top w:w="0" w:type="dxa"/>
            <w:left w:w="10" w:type="dxa"/>
            <w:bottom w:w="0" w:type="dxa"/>
            <w:right w:w="10" w:type="dxa"/>
          </w:tblCellMar>
        </w:tblPrEx>
        <w:trPr>
          <w:trHeight w:val="20" w:hRule="atLeast"/>
          <w:jc w:val="center"/>
        </w:trPr>
        <w:tc>
          <w:tcPr>
            <w:tcW w:w="2100" w:type="dxa"/>
            <w:vAlign w:val="center"/>
          </w:tcPr>
          <w:p>
            <w:pPr>
              <w:pStyle w:val="36"/>
              <w:rPr>
                <w:color w:val="auto"/>
                <w:sz w:val="15"/>
                <w:szCs w:val="15"/>
              </w:rPr>
            </w:pPr>
            <w:r>
              <w:rPr>
                <w:rFonts w:hint="eastAsia"/>
                <w:color w:val="auto"/>
                <w:sz w:val="15"/>
                <w:szCs w:val="15"/>
              </w:rPr>
              <w:t>屋顶承重构件</w:t>
            </w:r>
          </w:p>
        </w:tc>
        <w:tc>
          <w:tcPr>
            <w:tcW w:w="2000"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50</w:t>
            </w:r>
          </w:p>
        </w:tc>
        <w:tc>
          <w:tcPr>
            <w:tcW w:w="2007" w:type="dxa"/>
            <w:vAlign w:val="center"/>
          </w:tcPr>
          <w:p>
            <w:pPr>
              <w:pStyle w:val="36"/>
              <w:rPr>
                <w:color w:val="auto"/>
                <w:sz w:val="15"/>
                <w:szCs w:val="15"/>
              </w:rPr>
            </w:pPr>
            <w:r>
              <w:rPr>
                <w:rFonts w:hint="eastAsia"/>
                <w:color w:val="auto"/>
                <w:sz w:val="15"/>
                <w:szCs w:val="15"/>
              </w:rPr>
              <w:t>不燃性</w:t>
            </w:r>
          </w:p>
          <w:p>
            <w:pPr>
              <w:pStyle w:val="36"/>
              <w:rPr>
                <w:color w:val="auto"/>
                <w:sz w:val="15"/>
                <w:szCs w:val="15"/>
              </w:rPr>
            </w:pPr>
            <w:r>
              <w:rPr>
                <w:color w:val="auto"/>
                <w:sz w:val="15"/>
                <w:szCs w:val="15"/>
              </w:rPr>
              <w:t>1</w:t>
            </w:r>
            <w:r>
              <w:rPr>
                <w:rFonts w:ascii="宋体" w:hAnsi="宋体"/>
                <w:b/>
                <w:color w:val="auto"/>
                <w:szCs w:val="15"/>
              </w:rPr>
              <w:t>.</w:t>
            </w:r>
            <w:r>
              <w:rPr>
                <w:color w:val="auto"/>
                <w:sz w:val="15"/>
                <w:szCs w:val="15"/>
              </w:rPr>
              <w:t>00</w:t>
            </w:r>
          </w:p>
        </w:tc>
      </w:tr>
    </w:tbl>
    <w:p>
      <w:pPr>
        <w:spacing w:line="240" w:lineRule="auto"/>
        <w:ind w:firstLine="420" w:firstLineChars="200"/>
        <w:rPr>
          <w:bCs/>
          <w:szCs w:val="21"/>
        </w:rPr>
      </w:pPr>
      <w:r>
        <w:rPr>
          <w:rFonts w:hint="eastAsia"/>
          <w:bCs/>
          <w:szCs w:val="21"/>
        </w:rPr>
        <w:t>连接节点的防火保护层厚度不得小于被连接构件保护层厚度的较大值。</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8~5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10</w:t>
      </w:r>
      <w:r>
        <w:rPr>
          <w:rFonts w:hint="eastAsia"/>
          <w:bCs/>
          <w:szCs w:val="21"/>
        </w:rPr>
        <w:t xml:space="preserve"> </w:t>
      </w:r>
      <w:r>
        <w:rPr>
          <w:bCs/>
          <w:szCs w:val="21"/>
        </w:rPr>
        <w:t xml:space="preserve"> </w:t>
      </w:r>
      <w:r>
        <w:rPr>
          <w:rFonts w:hint="eastAsia"/>
          <w:bCs/>
          <w:szCs w:val="21"/>
        </w:rPr>
        <w:t>无防火保护的普通钢结构的耐火时间通常仅为15~20min，极易在火灾下破坏。因此，为了防止和减小建筑钢结构的火灾危害，必须对钢结构进行抗火设计，采取安全可靠、经济合理的防火保护措施。</w:t>
      </w:r>
    </w:p>
    <w:p>
      <w:pPr>
        <w:spacing w:line="240" w:lineRule="auto"/>
        <w:ind w:firstLine="420" w:firstLineChars="200"/>
        <w:rPr>
          <w:bCs/>
          <w:szCs w:val="21"/>
        </w:rPr>
      </w:pPr>
      <w:r>
        <w:rPr>
          <w:rFonts w:hint="eastAsia"/>
          <w:bCs/>
          <w:szCs w:val="21"/>
        </w:rPr>
        <w:t>钢结构工程中常用的钢构件防火保护措施有：外包混凝土或水泥砂浆、砌筑砌体、涂覆防火涂料、包覆防火板、包覆柔性毡状隔热材料等，这些保护措施各有其特点及适用范围。</w:t>
      </w:r>
    </w:p>
    <w:p>
      <w:pPr>
        <w:spacing w:line="240" w:lineRule="auto"/>
        <w:ind w:firstLine="420" w:firstLineChars="200"/>
        <w:rPr>
          <w:bCs/>
          <w:szCs w:val="21"/>
        </w:rPr>
      </w:pPr>
      <w:r>
        <w:rPr>
          <w:rFonts w:hint="eastAsia"/>
          <w:bCs/>
          <w:szCs w:val="21"/>
        </w:rPr>
        <w:t>根据高温下涂层变化情况，防火涂料可分为膨胀型和非膨胀型两大系列。膨胀型防火涂料又称薄涂型防火涂料，遇火后自身会发泡膨胀，形成比原涂层厚度厚十几倍到数十倍的多孔碳质层，用于钢构件防火，耐火极限可达0</w:t>
      </w:r>
      <w:r>
        <w:rPr>
          <w:rFonts w:hint="eastAsia" w:ascii="宋体" w:hAnsi="宋体"/>
          <w:b/>
          <w:bCs/>
          <w:szCs w:val="21"/>
        </w:rPr>
        <w:t>.</w:t>
      </w:r>
      <w:r>
        <w:rPr>
          <w:rFonts w:hint="eastAsia"/>
          <w:bCs/>
          <w:szCs w:val="21"/>
        </w:rPr>
        <w:t>5~1</w:t>
      </w:r>
      <w:r>
        <w:rPr>
          <w:rFonts w:hint="eastAsia" w:ascii="宋体" w:hAnsi="宋体"/>
          <w:b/>
          <w:bCs/>
          <w:szCs w:val="21"/>
        </w:rPr>
        <w:t>.</w:t>
      </w:r>
      <w:r>
        <w:rPr>
          <w:rFonts w:hint="eastAsia"/>
          <w:bCs/>
          <w:szCs w:val="21"/>
        </w:rPr>
        <w:t>5小时。非膨胀型防火涂料又称厚涂型防火涂料，自身具有良好的隔热性，遇火不膨胀，用于钢构件防火，耐火极限可达0</w:t>
      </w:r>
      <w:r>
        <w:rPr>
          <w:rFonts w:hint="eastAsia" w:ascii="宋体" w:hAnsi="宋体"/>
          <w:b/>
          <w:bCs/>
          <w:szCs w:val="21"/>
        </w:rPr>
        <w:t>.</w:t>
      </w:r>
      <w:r>
        <w:rPr>
          <w:rFonts w:hint="eastAsia"/>
          <w:bCs/>
          <w:szCs w:val="21"/>
        </w:rPr>
        <w:t>5~3</w:t>
      </w:r>
      <w:r>
        <w:rPr>
          <w:rFonts w:hint="eastAsia" w:ascii="宋体" w:hAnsi="宋体"/>
          <w:b/>
          <w:bCs/>
          <w:szCs w:val="21"/>
        </w:rPr>
        <w:t>.</w:t>
      </w:r>
      <w:r>
        <w:rPr>
          <w:rFonts w:hint="eastAsia"/>
          <w:bCs/>
          <w:szCs w:val="21"/>
        </w:rPr>
        <w:t>0小时。薄涂型防火涂料涂层薄，有较好的装饰性，但涂层易老化。厚涂型防火涂料一般无毒、耐老化、耐久性较可靠，可采用喷涂施工。室内钢结构防火涂料的技术性能应符合现行国家标准《钢结构防火涂料》GB</w:t>
      </w:r>
      <w:r>
        <w:rPr>
          <w:bCs/>
          <w:szCs w:val="21"/>
        </w:rPr>
        <w:t xml:space="preserve"> </w:t>
      </w:r>
      <w:r>
        <w:rPr>
          <w:rFonts w:hint="eastAsia"/>
          <w:bCs/>
          <w:szCs w:val="21"/>
        </w:rPr>
        <w:t>14907的有关规定。</w:t>
      </w:r>
    </w:p>
    <w:p>
      <w:pPr>
        <w:spacing w:line="240" w:lineRule="auto"/>
        <w:rPr>
          <w:bCs/>
          <w:szCs w:val="21"/>
        </w:rPr>
      </w:pPr>
      <w:r>
        <w:rPr>
          <w:rFonts w:hint="eastAsia"/>
          <w:b/>
          <w:bCs/>
          <w:szCs w:val="21"/>
        </w:rPr>
        <w:t>5</w:t>
      </w:r>
      <w:r>
        <w:rPr>
          <w:rFonts w:hint="eastAsia" w:ascii="宋体" w:hAnsi="宋体"/>
          <w:b/>
          <w:bCs/>
          <w:szCs w:val="21"/>
        </w:rPr>
        <w:t>.</w:t>
      </w:r>
      <w:r>
        <w:rPr>
          <w:rFonts w:hint="eastAsia"/>
          <w:b/>
          <w:bCs/>
          <w:szCs w:val="21"/>
        </w:rPr>
        <w:t>10</w:t>
      </w:r>
      <w:r>
        <w:rPr>
          <w:rFonts w:hint="eastAsia" w:ascii="宋体" w:hAnsi="宋体"/>
          <w:b/>
          <w:bCs/>
          <w:szCs w:val="21"/>
        </w:rPr>
        <w:t>.</w:t>
      </w:r>
      <w:r>
        <w:rPr>
          <w:rFonts w:hint="eastAsia"/>
          <w:b/>
          <w:bCs/>
          <w:szCs w:val="21"/>
        </w:rPr>
        <w:t xml:space="preserve">11 </w:t>
      </w:r>
      <w:r>
        <w:rPr>
          <w:b/>
          <w:bCs/>
          <w:szCs w:val="21"/>
        </w:rPr>
        <w:t xml:space="preserve"> </w:t>
      </w:r>
      <w:r>
        <w:rPr>
          <w:rFonts w:hint="eastAsia"/>
          <w:bCs/>
          <w:szCs w:val="21"/>
        </w:rPr>
        <w:t>钢筋桁架组合楼板、压型钢板组合楼板中，当底板仅作混凝土楼板的模板使用，不充当板底受拉钢筋参与结构受力时，可不采取防火保护措施，其耐火极限按普通钢筋混凝土楼板考虑。</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28" w:name="_Toc118314509"/>
      <w:bookmarkStart w:id="129" w:name="_Toc118357505"/>
      <w:r>
        <w:rPr>
          <w:rFonts w:hint="eastAsia"/>
          <w:sz w:val="28"/>
          <w:szCs w:val="21"/>
        </w:rPr>
        <w:t xml:space="preserve">6  </w:t>
      </w:r>
      <w:r>
        <w:rPr>
          <w:rFonts w:hint="eastAsia" w:ascii="宋体" w:hAnsi="宋体"/>
          <w:b/>
          <w:bCs/>
          <w:sz w:val="28"/>
          <w:szCs w:val="21"/>
        </w:rPr>
        <w:t>外围护系统设计</w:t>
      </w:r>
      <w:bookmarkEnd w:id="128"/>
      <w:bookmarkEnd w:id="129"/>
    </w:p>
    <w:p>
      <w:pPr>
        <w:pStyle w:val="4"/>
        <w:spacing w:before="240" w:after="240" w:line="240" w:lineRule="auto"/>
        <w:jc w:val="center"/>
        <w:rPr>
          <w:rFonts w:ascii="Times New Roman" w:hAnsi="Times New Roman"/>
          <w:sz w:val="21"/>
          <w:szCs w:val="21"/>
        </w:rPr>
      </w:pPr>
      <w:bookmarkStart w:id="130" w:name="_Toc118357506"/>
      <w:bookmarkStart w:id="131" w:name="_Toc118314510"/>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30"/>
      <w:bookmarkEnd w:id="131"/>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钢结构装配式住宅建筑外围护系统包括屋面围护系统和外墙围护系统，系统设计应同时满足安全可靠、功能适用、稳定耐久等综合性能要求。</w:t>
      </w:r>
    </w:p>
    <w:p>
      <w:pPr>
        <w:spacing w:line="240" w:lineRule="auto"/>
        <w:ind w:firstLine="421" w:firstLineChars="200"/>
        <w:rPr>
          <w:bCs/>
          <w:szCs w:val="21"/>
        </w:rPr>
      </w:pPr>
      <w:r>
        <w:rPr>
          <w:rFonts w:hint="eastAsia"/>
          <w:b/>
          <w:bCs/>
          <w:szCs w:val="21"/>
        </w:rPr>
        <w:t xml:space="preserve">1 </w:t>
      </w:r>
      <w:r>
        <w:rPr>
          <w:rFonts w:hint="eastAsia"/>
          <w:bCs/>
          <w:szCs w:val="21"/>
        </w:rPr>
        <w:t xml:space="preserve"> 安全性能要求是指关系人身安全的关键性能指标；</w:t>
      </w:r>
    </w:p>
    <w:p>
      <w:pPr>
        <w:spacing w:line="240" w:lineRule="auto"/>
        <w:ind w:firstLine="421" w:firstLineChars="200"/>
        <w:rPr>
          <w:bCs/>
          <w:szCs w:val="21"/>
        </w:rPr>
      </w:pPr>
      <w:r>
        <w:rPr>
          <w:rFonts w:hint="eastAsia"/>
          <w:b/>
          <w:bCs/>
          <w:szCs w:val="21"/>
        </w:rPr>
        <w:t xml:space="preserve">2 </w:t>
      </w:r>
      <w:r>
        <w:rPr>
          <w:rFonts w:hint="eastAsia"/>
          <w:bCs/>
          <w:szCs w:val="21"/>
        </w:rPr>
        <w:t xml:space="preserve"> 适用性能要求是指作为外围护系统应该满足居住使用功能的基本要求；</w:t>
      </w:r>
    </w:p>
    <w:p>
      <w:pPr>
        <w:spacing w:line="240" w:lineRule="auto"/>
        <w:ind w:firstLine="421" w:firstLineChars="200"/>
        <w:rPr>
          <w:bCs/>
          <w:szCs w:val="21"/>
        </w:rPr>
      </w:pPr>
      <w:r>
        <w:rPr>
          <w:rFonts w:hint="eastAsia"/>
          <w:b/>
          <w:bCs/>
          <w:szCs w:val="21"/>
        </w:rPr>
        <w:t xml:space="preserve">3 </w:t>
      </w:r>
      <w:r>
        <w:rPr>
          <w:rFonts w:hint="eastAsia"/>
          <w:bCs/>
          <w:szCs w:val="21"/>
        </w:rPr>
        <w:t xml:space="preserve"> 耐久性能要求直接影响外围护系统使用寿命和维护保养时限。</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2</w:t>
      </w:r>
      <w:r>
        <w:rPr>
          <w:rFonts w:hint="eastAsia"/>
          <w:bCs/>
          <w:szCs w:val="21"/>
        </w:rPr>
        <w:t xml:space="preserve"> </w:t>
      </w:r>
      <w:r>
        <w:rPr>
          <w:bCs/>
          <w:szCs w:val="21"/>
        </w:rPr>
        <w:t xml:space="preserve"> </w:t>
      </w:r>
      <w:r>
        <w:rPr>
          <w:rFonts w:hint="eastAsia"/>
          <w:bCs/>
          <w:szCs w:val="21"/>
        </w:rPr>
        <w:t>本条文是对设计文件提出的要求。其中，系统材料性能参数包括对外围护系统的性能指标及系统中所用材料的性能参数；系统构造至少应包含的内容有：外墙板及屋面板的模数协调要求，外墙板连接、接缝及外门窗洞口等构造节点，阳台、空调板及装饰件等连接构造节点等。</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外围护系统中的结构构(部)件的设计使用年限应与主体结构设计使用年限相同，且不应低于50年；与结构构(部)件复合的防水材料、保温材料、装饰材料也应尽可能选用耐久性较好的材料，并注明其使用维护、检查及更新要求，为建筑长寿化和检查、维护更新创造良好条件。</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标准化是外墙产品应符合工业化、标准化和批量化生产，标准化施工的要求。模块化是将各种规格和功能模块进行组合，满足建筑装饰、使用功能需求。通用化是不同类型的外墙或不同规格的同类外墙宜选用通用部品及零配件，可实现通用性和互换性。装配式外围护系统合理选型是关键环节，应根据广东省的实际情况并结合工程实践，针对不同建筑类型和应用制定。现有常见产品类型和适用项目类型，非承重外墙可选用预制外挂墙板、轻质条板外墙、轻钢龙骨式复合墙板、建筑幕墙、一体化组合外墙等类型，根据不同功能、结构和装饰效果要求，也可采用多种类型组合使用。屋面可选用金属屋面、压型钢板混凝土组合屋面、一体化组合成品屋面、单层屋面系统、工业化装配式屋面系统等类型。单层屋面系统是指使用单层TPO、PVC、EPDM等防水卷材外露使用，以机械固定、空铺压顶、满粘方式进行施工的屋面系统。单层屋面系统适用于工业与民用建筑的屋面防水，特别是钢结构的工业厂房及商业建筑的屋面工程。工业化装配式屋面系统，指屋盖部分防水、保温及外保护系统采用装配集成，避免现场湿作业的一种屋面系统。有抗震要求的外墙板应采用合理的抗震设计和连接节点，8度区宜采用柔性连接，7度区及以下可采用柔性连接与刚性连接相结合。外围护系统宜采用与钢构件一体化设计，对管线采取预设预埋，或部分采用可装拆的围蔽结构，除满足防火、防水、防腐等要求外，尚应满足二次装修和升级改造的需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6 </w:t>
      </w:r>
      <w:r>
        <w:rPr>
          <w:b/>
          <w:bCs/>
          <w:szCs w:val="21"/>
        </w:rPr>
        <w:t xml:space="preserve"> </w:t>
      </w:r>
      <w:r>
        <w:rPr>
          <w:rFonts w:hint="eastAsia"/>
          <w:bCs/>
          <w:szCs w:val="21"/>
        </w:rPr>
        <w:t>深圳属于亚热带地区，普通住宅每年的空调能耗很高，随着全社会对节能的重视，对外墙保温性能的要求越来越高。由于广东地区的气候台风多、降雨量大，多数外墙外保温技术难以适应本地区气候特征，容易造成开裂、脱落的风险，对于外墙内保温技术，一般很难避免热桥的存在。随着装配式建筑技术在国内的兴起，夹心三明治保温外墙逐渐成为预制外墙的主流，在钢结构住宅中可以采用外挂式夹心三明治墙板、自立式夹心三明治墙板、夹心三明治剪力墙等技术，外挂式夹心三明治墙板及自立式夹心三明治墙板的设计可参考《预制混凝土外挂墙板应用技术标准》JGJ/T</w:t>
      </w:r>
      <w:r>
        <w:rPr>
          <w:bCs/>
          <w:szCs w:val="21"/>
        </w:rPr>
        <w:t xml:space="preserve"> </w:t>
      </w:r>
      <w:r>
        <w:rPr>
          <w:rFonts w:hint="eastAsia"/>
          <w:bCs/>
          <w:szCs w:val="21"/>
        </w:rPr>
        <w:t>458，预制实心夹心三明治剪力墙的设计可参考《装配式混凝土结构技术规程》JGJ</w:t>
      </w:r>
      <w:r>
        <w:rPr>
          <w:bCs/>
          <w:szCs w:val="21"/>
        </w:rPr>
        <w:t xml:space="preserve"> </w:t>
      </w:r>
      <w:r>
        <w:rPr>
          <w:rFonts w:hint="eastAsia"/>
          <w:bCs/>
          <w:szCs w:val="21"/>
        </w:rPr>
        <w:t>1-2014，双面预制叠合式夹心三明治剪力墙设计可参考广东《装配整体式叠合剪力墙结构技术规程》DBJ</w:t>
      </w:r>
      <w:r>
        <w:rPr>
          <w:bCs/>
          <w:szCs w:val="21"/>
        </w:rPr>
        <w:t xml:space="preserve"> </w:t>
      </w:r>
      <w:r>
        <w:rPr>
          <w:rFonts w:hint="eastAsia"/>
          <w:bCs/>
          <w:szCs w:val="21"/>
        </w:rPr>
        <w:t>15-210。宜采用增大系统遮阳系数或减少窗墙比等措施，尽量不采取围护结构受力构件选用抗风性能差的断热型材的做法。</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当外墙采用嵌入式安装时，钢结构梁柱及悬挑阳台容易暴露大气中形成热桥，钢材的导热系数是保温材料导热系数的几百倍甚至上千倍，即使是存在1~5%的热桥面积，外墙传热系数也会增大10~50%，导致局部形成较大温差，一旦形成冷凝结露，该部位就会产生霉菌滋生，造成室内环境对人体健康的不利影响，宜采取断桥措施，或在结构面外采取增强保温隔热的技术措施。</w:t>
      </w:r>
    </w:p>
    <w:p>
      <w:pPr>
        <w:spacing w:line="240" w:lineRule="auto"/>
        <w:ind w:firstLine="420" w:firstLineChars="200"/>
        <w:rPr>
          <w:bCs/>
          <w:szCs w:val="21"/>
        </w:rPr>
      </w:pPr>
      <w:r>
        <w:rPr>
          <w:rFonts w:hint="eastAsia"/>
          <w:bCs/>
          <w:szCs w:val="21"/>
        </w:rPr>
        <w:t>钢是热的良导体，在钢结构局部温度低于露点温度时，空气中的水蒸气会凝结成液态水，导致该部位发生锈蚀。这些部位往往发生在外围护系统的热桥部位，以及钢结构的梁柱、金属连接件等与外墙围护系统交接的位置。外围护系统的防结露设计应确保热桥部位的内表面温度不应低于室内空气露点温度。</w:t>
      </w:r>
    </w:p>
    <w:p>
      <w:pPr>
        <w:spacing w:line="240" w:lineRule="auto"/>
        <w:rPr>
          <w:bCs/>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9</w:t>
      </w:r>
      <w:r>
        <w:rPr>
          <w:bCs/>
          <w:szCs w:val="21"/>
        </w:rPr>
        <w:t xml:space="preserve">  </w:t>
      </w:r>
      <w:r>
        <w:rPr>
          <w:rFonts w:hint="eastAsia"/>
          <w:bCs/>
          <w:szCs w:val="21"/>
        </w:rPr>
        <w:t>国家标准《建筑设计防火规范》</w:t>
      </w:r>
      <w:r>
        <w:rPr>
          <w:bCs/>
          <w:szCs w:val="21"/>
        </w:rPr>
        <w:t>GB 50016-2014</w:t>
      </w:r>
      <w:r>
        <w:rPr>
          <w:rFonts w:hint="eastAsia"/>
          <w:bCs/>
          <w:szCs w:val="21"/>
        </w:rPr>
        <w:t>规定，采用非承重外墙构件设计时，耐火等级为一级、二级的建筑应采用不燃材料，耐火极限为</w:t>
      </w:r>
      <w:r>
        <w:rPr>
          <w:bCs/>
          <w:szCs w:val="21"/>
        </w:rPr>
        <w:t>1</w:t>
      </w:r>
      <w:r>
        <w:rPr>
          <w:rFonts w:hint="eastAsia"/>
          <w:bCs/>
          <w:szCs w:val="21"/>
        </w:rPr>
        <w:t>．</w:t>
      </w:r>
      <w:r>
        <w:rPr>
          <w:bCs/>
          <w:szCs w:val="21"/>
        </w:rPr>
        <w:t>0h</w:t>
      </w:r>
      <w:r>
        <w:rPr>
          <w:rFonts w:hint="eastAsia"/>
          <w:bCs/>
          <w:szCs w:val="21"/>
        </w:rPr>
        <w:t>；耐火等级为三级的建筑应采用不燃材料，耐火极限为</w:t>
      </w:r>
      <w:r>
        <w:rPr>
          <w:bCs/>
          <w:szCs w:val="21"/>
        </w:rPr>
        <w:t>0</w:t>
      </w:r>
      <w:r>
        <w:rPr>
          <w:rFonts w:hint="eastAsia"/>
          <w:bCs/>
          <w:szCs w:val="21"/>
        </w:rPr>
        <w:t>．</w:t>
      </w:r>
      <w:r>
        <w:rPr>
          <w:bCs/>
          <w:szCs w:val="21"/>
        </w:rPr>
        <w:t>5h</w:t>
      </w:r>
      <w:r>
        <w:rPr>
          <w:rFonts w:hint="eastAsia"/>
          <w:bCs/>
          <w:szCs w:val="21"/>
        </w:rPr>
        <w:t>。</w:t>
      </w:r>
    </w:p>
    <w:p>
      <w:pPr>
        <w:spacing w:line="240" w:lineRule="auto"/>
        <w:rPr>
          <w:bCs/>
          <w:szCs w:val="21"/>
        </w:rPr>
      </w:pPr>
      <w:r>
        <w:rPr>
          <w:b/>
          <w:bCs/>
          <w:szCs w:val="21"/>
        </w:rPr>
        <w:t>6</w:t>
      </w:r>
      <w:r>
        <w:rPr>
          <w:rFonts w:ascii="宋体" w:hAnsi="宋体"/>
          <w:b/>
          <w:bCs/>
          <w:szCs w:val="21"/>
        </w:rPr>
        <w:t>.</w:t>
      </w:r>
      <w:r>
        <w:rPr>
          <w:b/>
          <w:bCs/>
          <w:szCs w:val="21"/>
        </w:rPr>
        <w:t>1</w:t>
      </w:r>
      <w:r>
        <w:rPr>
          <w:rFonts w:ascii="宋体" w:hAnsi="宋体"/>
          <w:b/>
          <w:bCs/>
          <w:szCs w:val="21"/>
        </w:rPr>
        <w:t>.</w:t>
      </w:r>
      <w:r>
        <w:rPr>
          <w:b/>
          <w:bCs/>
          <w:szCs w:val="21"/>
        </w:rPr>
        <w:t>10  </w:t>
      </w:r>
      <w:r>
        <w:rPr>
          <w:rFonts w:hint="eastAsia"/>
          <w:bCs/>
          <w:szCs w:val="21"/>
        </w:rPr>
        <w:t>当外墙采用外保温技术施工前，宜在基墙、墙板外侧先进行第一道防水和防裂处理，可采用聚合物防水砂浆、防水界面剂、水泥基防水涂料等处理方法；点挂保温装饰板材时，也可内衬防水透气膜等处理方法。</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12 </w:t>
      </w:r>
      <w:r>
        <w:rPr>
          <w:b/>
          <w:bCs/>
          <w:szCs w:val="21"/>
        </w:rPr>
        <w:t xml:space="preserve"> </w:t>
      </w:r>
      <w:r>
        <w:rPr>
          <w:rFonts w:hint="eastAsia"/>
          <w:bCs/>
          <w:szCs w:val="21"/>
        </w:rPr>
        <w:t>门窗洞口与外门窗框接缝是节能及防渗漏的薄弱环节，接缝处的气密性能、水密性能和保温性能直接影响外围护系统的性能指标。门窗框与墙体间的缝隙宜采用发泡聚氨酯填充；外墙防水层应延伸至门窗框，防水层与门窗框间应预留凹槽，应嵌填密封胶；门窗上框的外口应做滴水线；外窗台应设置不小于5％的外排水坡度。</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13</w:t>
      </w:r>
      <w:r>
        <w:rPr>
          <w:rFonts w:hint="eastAsia"/>
          <w:bCs/>
          <w:szCs w:val="21"/>
        </w:rPr>
        <w:t xml:space="preserve"> </w:t>
      </w:r>
      <w:r>
        <w:rPr>
          <w:bCs/>
          <w:szCs w:val="21"/>
        </w:rPr>
        <w:t xml:space="preserve"> </w:t>
      </w:r>
      <w:r>
        <w:rPr>
          <w:rFonts w:hint="eastAsia"/>
          <w:bCs/>
          <w:szCs w:val="21"/>
        </w:rPr>
        <w:t>适当提高外围护连接承载力设计要求，对提升外围护防风、抗震性能很有必要，也与现行国家相关标准要求一致。对于外挂墙板，自重和地震作用均较大(还有放大系数)，连接节点仅靠计算是不够的，还应按实际受力方向做相应的静力破坏试验，由于各节点不一定协同工作，要能保证仅用一个节点就能满足承载力要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14</w:t>
      </w:r>
      <w:r>
        <w:rPr>
          <w:rFonts w:hint="eastAsia"/>
          <w:bCs/>
          <w:szCs w:val="21"/>
        </w:rPr>
        <w:t xml:space="preserve"> </w:t>
      </w:r>
      <w:r>
        <w:rPr>
          <w:bCs/>
          <w:szCs w:val="21"/>
        </w:rPr>
        <w:t xml:space="preserve"> </w:t>
      </w:r>
      <w:r>
        <w:rPr>
          <w:rFonts w:hint="eastAsia"/>
          <w:bCs/>
          <w:szCs w:val="21"/>
        </w:rPr>
        <w:t>外墙板与主体结构用预埋件、安装用连接件，应考虑环境类别的影响，可采用碳素结构钢、低合金结构钢或耐候钢等材料制作。所有外露金属件(连接件、墙板埋件和结构埋件)要在设计时提出耐久性防腐措施，明确工程应用的材质选择和防腐做法，并应考虑在长期使用条件下铁件锈蚀的腐蚀裕量。薄壁连接件也可以根据工程要求采用热浸镀锌、铝合金或不锈钢等材料制作。</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15</w:t>
      </w:r>
      <w:r>
        <w:rPr>
          <w:b/>
          <w:bCs/>
          <w:szCs w:val="21"/>
        </w:rPr>
        <w:t xml:space="preserve"> </w:t>
      </w:r>
      <w:r>
        <w:rPr>
          <w:rFonts w:hint="eastAsia"/>
          <w:b/>
          <w:bCs/>
          <w:szCs w:val="21"/>
        </w:rPr>
        <w:t xml:space="preserve"> </w:t>
      </w:r>
      <w:r>
        <w:rPr>
          <w:rFonts w:hint="eastAsia"/>
          <w:bCs/>
          <w:szCs w:val="21"/>
        </w:rPr>
        <w:t>外围护系统结构分析的计算模型应与实际构造相符合。结构分析的基本假定和简化计算，应有理论或试验依据。多点支承板可采用有限元模型分析计算。</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16 </w:t>
      </w:r>
      <w:r>
        <w:rPr>
          <w:b/>
          <w:bCs/>
          <w:szCs w:val="21"/>
        </w:rPr>
        <w:t xml:space="preserve"> </w:t>
      </w:r>
      <w:r>
        <w:rPr>
          <w:rFonts w:hint="eastAsia"/>
          <w:bCs/>
          <w:szCs w:val="21"/>
        </w:rPr>
        <w:t>外围护结构的墙体是钢结构住宅的关键技术，选择其墙板的必要条件是其耐久性。</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17 </w:t>
      </w:r>
      <w:r>
        <w:rPr>
          <w:b/>
          <w:bCs/>
          <w:szCs w:val="21"/>
        </w:rPr>
        <w:t xml:space="preserve"> </w:t>
      </w:r>
      <w:r>
        <w:rPr>
          <w:rFonts w:hint="eastAsia"/>
          <w:bCs/>
          <w:szCs w:val="21"/>
        </w:rPr>
        <w:t>建筑外围护系统在使用期间很难维修，一旦形成开裂，不但影响美观，而且会形成渗漏影响正常使用，渗水也会进一步影响钢结构的使用寿命。墙体裂缝防治措施应有试验或工程实践经验验证其可靠性。</w:t>
      </w:r>
    </w:p>
    <w:p>
      <w:pPr>
        <w:pStyle w:val="4"/>
        <w:spacing w:before="240" w:after="240" w:line="240" w:lineRule="auto"/>
        <w:jc w:val="center"/>
        <w:rPr>
          <w:rFonts w:ascii="黑体" w:hAnsi="黑体" w:eastAsia="黑体"/>
          <w:b w:val="0"/>
          <w:sz w:val="21"/>
          <w:szCs w:val="21"/>
        </w:rPr>
      </w:pPr>
      <w:bookmarkStart w:id="132" w:name="_Toc118314511"/>
      <w:bookmarkStart w:id="133" w:name="_Toc118357507"/>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材料与部品</w:t>
      </w:r>
      <w:bookmarkEnd w:id="132"/>
      <w:bookmarkEnd w:id="133"/>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钢结构装配式住宅建筑应根据当地材料生产、气候分区条件，选用质量可靠、技术成熟、经济适用的墙体、屋面材料及部品构成的建筑外围护系统。</w:t>
      </w:r>
    </w:p>
    <w:p>
      <w:pPr>
        <w:spacing w:line="240" w:lineRule="auto"/>
        <w:ind w:firstLine="420" w:firstLineChars="200"/>
        <w:rPr>
          <w:bCs/>
          <w:szCs w:val="21"/>
        </w:rPr>
      </w:pPr>
      <w:r>
        <w:rPr>
          <w:rFonts w:hint="eastAsia"/>
          <w:bCs/>
          <w:szCs w:val="21"/>
        </w:rPr>
        <w:t>可选用蒸压</w:t>
      </w:r>
      <w:r>
        <w:rPr>
          <w:bCs/>
          <w:szCs w:val="21"/>
        </w:rPr>
        <w:t>(</w:t>
      </w:r>
      <w:r>
        <w:rPr>
          <w:rFonts w:hint="eastAsia"/>
          <w:bCs/>
          <w:szCs w:val="21"/>
        </w:rPr>
        <w:t>砂</w:t>
      </w:r>
      <w:r>
        <w:rPr>
          <w:bCs/>
          <w:szCs w:val="21"/>
        </w:rPr>
        <w:t>)</w:t>
      </w:r>
      <w:r>
        <w:rPr>
          <w:rFonts w:hint="eastAsia"/>
          <w:bCs/>
          <w:szCs w:val="21"/>
        </w:rPr>
        <w:t>加气混凝土墙板、</w:t>
      </w:r>
      <w:r>
        <w:rPr>
          <w:bCs/>
          <w:szCs w:val="21"/>
        </w:rPr>
        <w:t>GRC</w:t>
      </w:r>
      <w:r>
        <w:rPr>
          <w:rFonts w:hint="eastAsia"/>
          <w:bCs/>
          <w:szCs w:val="21"/>
        </w:rPr>
        <w:t>墙板、轻骨料混凝土墙板、泡沫混凝土墙板、挤出成型水泥墙板和预制钢筋混凝土墙板等工厂生产的墙板。</w:t>
      </w:r>
      <w:r>
        <w:rPr>
          <w:bCs/>
          <w:szCs w:val="21"/>
        </w:rPr>
        <w:t> </w:t>
      </w:r>
      <w:r>
        <w:rPr>
          <w:rFonts w:hint="eastAsia"/>
          <w:bCs/>
          <w:szCs w:val="21"/>
        </w:rPr>
        <w:t>设计选用时，应注意外墙板材和内墙板材选用要求的区别，外墙板材应有强度、刚度、连接等设计计算参数，并应同时满足耐水、耐候、耐冻等相关性能要求。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外墙材料应根据气候分区、使用年限、外观造型、节能要求，选用外围护材料及部品，确定建筑外围护的系统组成及系统构造。</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应考虑建筑所在地环境类别、建筑使用部位的影响。热浸镀锌件的镀锌层，干燥环境下不宜低于180g/m</w:t>
      </w:r>
      <w:r>
        <w:rPr>
          <w:rFonts w:hint="eastAsia"/>
          <w:bCs/>
          <w:szCs w:val="21"/>
          <w:vertAlign w:val="superscript"/>
        </w:rPr>
        <w:t>2</w:t>
      </w:r>
      <w:r>
        <w:rPr>
          <w:rFonts w:hint="eastAsia"/>
          <w:bCs/>
          <w:szCs w:val="21"/>
        </w:rPr>
        <w:t>(双面)；近海大气、工业化工大气、潮湿环境不宜低于275g/㎡(双面)。不应采用电镀锌件。</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8 </w:t>
      </w:r>
      <w:r>
        <w:rPr>
          <w:b/>
          <w:bCs/>
          <w:szCs w:val="21"/>
        </w:rPr>
        <w:t xml:space="preserve"> </w:t>
      </w:r>
      <w:r>
        <w:rPr>
          <w:rFonts w:hint="eastAsia"/>
          <w:bCs/>
          <w:szCs w:val="21"/>
        </w:rPr>
        <w:t>密封胶种类较多，主要包括：硅酮密封胶、硅烷改性聚醚密封胶、聚氨酯密封胶、聚硫密封胶、丙烯酸密封胶、环氧密封胶、丁基密封胶、氯丁密封胶、PVC密封胶等。对钢筋混凝土、金属等界面材料可按相对应的技术标准选用密封胶。</w:t>
      </w:r>
    </w:p>
    <w:p>
      <w:pPr>
        <w:spacing w:line="240" w:lineRule="auto"/>
        <w:ind w:firstLine="420" w:firstLineChars="200"/>
        <w:rPr>
          <w:bCs/>
          <w:szCs w:val="21"/>
        </w:rPr>
      </w:pPr>
      <w:r>
        <w:rPr>
          <w:rFonts w:hint="eastAsia"/>
          <w:bCs/>
          <w:szCs w:val="21"/>
        </w:rPr>
        <w:t>密封胶主要性能要求包括：断裂强度、粘结强度、断裂伸长率、抗老化能力、外观、保型性、保质期、固化时间等。</w:t>
      </w:r>
    </w:p>
    <w:p>
      <w:pPr>
        <w:pStyle w:val="4"/>
        <w:spacing w:before="240" w:after="240" w:line="240" w:lineRule="auto"/>
        <w:jc w:val="center"/>
        <w:rPr>
          <w:rFonts w:ascii="黑体" w:hAnsi="黑体" w:eastAsia="黑体"/>
          <w:b w:val="0"/>
          <w:sz w:val="21"/>
          <w:szCs w:val="21"/>
        </w:rPr>
      </w:pPr>
      <w:bookmarkStart w:id="134" w:name="_Toc118314512"/>
      <w:bookmarkStart w:id="135" w:name="_Toc118357508"/>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sz w:val="21"/>
          <w:szCs w:val="21"/>
        </w:rPr>
        <w:t xml:space="preserve"> </w:t>
      </w:r>
      <w:r>
        <w:rPr>
          <w:rFonts w:hint="eastAsia" w:ascii="黑体" w:hAnsi="黑体" w:eastAsia="黑体"/>
          <w:b w:val="0"/>
          <w:sz w:val="21"/>
          <w:szCs w:val="21"/>
        </w:rPr>
        <w:t>外墙围护系统</w:t>
      </w:r>
      <w:bookmarkEnd w:id="134"/>
      <w:bookmarkEnd w:id="135"/>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钢结构装配式住宅建筑的此项要求在建筑方案、集成设计策划阶段应予以重视，也是装配式建筑、绿色建筑的要求。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rFonts w:hint="eastAsia"/>
          <w:bCs/>
          <w:szCs w:val="21"/>
        </w:rPr>
        <w:t xml:space="preserve"> 外墙围护系统可根据构成及安装方式选用下列系统：</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装配式轻型条板一般由混凝土、轻质混凝土、石膏等无机非金属材料制造，既可以镶嵌在结构之间，也可以挂装在结构之外，每层的外墙自重由各层结构分担，如：预制混凝土空心条板外墙、预制石膏条板、ALC条板、发泡陶瓷条板等。当镶嵌在结构平面内时，由于非金属材料与钢结构的温度涨缩模量差别较大，容易在结合部位形成开裂，宜采用弹性连接方案，以释放温度应力，外表面宜采用柔性材料饰面。</w:t>
      </w:r>
    </w:p>
    <w:p>
      <w:pPr>
        <w:spacing w:line="240" w:lineRule="auto"/>
        <w:ind w:firstLine="420" w:firstLineChars="200"/>
        <w:rPr>
          <w:bCs/>
          <w:szCs w:val="21"/>
        </w:rPr>
      </w:pPr>
      <w:r>
        <w:rPr>
          <w:rFonts w:hint="eastAsia"/>
          <w:bCs/>
          <w:szCs w:val="21"/>
        </w:rPr>
        <w:t>装配式轻型条板外墙围护系统，一般在其外侧设置装饰板材或保温装饰一体板材，应满足装饰、防水、保温、防冷桥等要求。当单一外墙板材外挂满足要求时，也可采用外墙体单一材料自保温的装配式轻型条板外墙围护系统构造。</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装配式骨架复合墙板系统一般由金属龙骨制成骨架，将外墙的内外层面板用连接件固定在龙骨上，内外层面板之间填充保温隔热材料。此类外墙自重既可以由各层结构分担，也可以按照自承重设计，每层与主体结构进行连接以保持稳定性，如：干挂石材外墙、干挂铝板外墙。</w:t>
      </w:r>
    </w:p>
    <w:p>
      <w:pPr>
        <w:spacing w:line="240" w:lineRule="auto"/>
        <w:ind w:firstLine="420" w:firstLineChars="200"/>
        <w:rPr>
          <w:bCs/>
          <w:szCs w:val="21"/>
        </w:rPr>
      </w:pPr>
      <w:r>
        <w:rPr>
          <w:rFonts w:hint="eastAsia"/>
          <w:bCs/>
          <w:szCs w:val="21"/>
        </w:rPr>
        <w:t>采用装配式骨架复合板外墙围护系统，外墙围护的结构骨架可采用钢结构、铝合金结构的材料，其钢材性能应符合现行国家标准《钢结构设计标准》</w:t>
      </w:r>
      <w:r>
        <w:rPr>
          <w:bCs/>
          <w:szCs w:val="21"/>
        </w:rPr>
        <w:t>GB 50017</w:t>
      </w:r>
      <w:r>
        <w:rPr>
          <w:rFonts w:hint="eastAsia"/>
          <w:bCs/>
          <w:szCs w:val="21"/>
        </w:rPr>
        <w:t>、《冷弯薄壁型钢结构技术规范》</w:t>
      </w:r>
      <w:r>
        <w:rPr>
          <w:bCs/>
          <w:szCs w:val="21"/>
        </w:rPr>
        <w:t>GB 50018</w:t>
      </w:r>
      <w:r>
        <w:rPr>
          <w:rFonts w:hint="eastAsia"/>
          <w:bCs/>
          <w:szCs w:val="21"/>
        </w:rPr>
        <w:t>的要求，钢骨架构件应采用镀锌或其他有效防腐处理，铝合金结构的材料应符合现行国家标准《铝合金结构设计规范》</w:t>
      </w:r>
      <w:r>
        <w:rPr>
          <w:bCs/>
          <w:szCs w:val="21"/>
        </w:rPr>
        <w:t>GB 50429</w:t>
      </w:r>
      <w:r>
        <w:rPr>
          <w:rFonts w:hint="eastAsia"/>
          <w:bCs/>
          <w:szCs w:val="21"/>
        </w:rPr>
        <w:t>的有关规定。</w:t>
      </w:r>
    </w:p>
    <w:p>
      <w:pPr>
        <w:spacing w:line="240" w:lineRule="auto"/>
        <w:ind w:firstLine="421" w:firstLineChars="200"/>
        <w:rPr>
          <w:bCs/>
          <w:szCs w:val="21"/>
        </w:rPr>
      </w:pPr>
      <w:r>
        <w:rPr>
          <w:rFonts w:hint="eastAsia"/>
          <w:b/>
          <w:bCs/>
          <w:szCs w:val="21"/>
        </w:rPr>
        <w:t xml:space="preserve">3 </w:t>
      </w:r>
      <w:r>
        <w:rPr>
          <w:b/>
          <w:bCs/>
          <w:szCs w:val="21"/>
        </w:rPr>
        <w:t xml:space="preserve"> </w:t>
      </w:r>
      <w:r>
        <w:rPr>
          <w:rFonts w:hint="eastAsia"/>
          <w:bCs/>
          <w:szCs w:val="21"/>
        </w:rPr>
        <w:t>采用装配式预制外挂墙板系统，宜区别装配式混凝土建筑的外墙板技术方式，宜采用轻质材料或复合轻质大板与钢结构配合采用。</w:t>
      </w:r>
    </w:p>
    <w:p>
      <w:pPr>
        <w:spacing w:line="240" w:lineRule="auto"/>
        <w:ind w:firstLine="420" w:firstLineChars="200"/>
        <w:rPr>
          <w:bCs/>
          <w:szCs w:val="21"/>
        </w:rPr>
      </w:pPr>
      <w:r>
        <w:rPr>
          <w:rFonts w:hint="eastAsia"/>
          <w:bCs/>
          <w:szCs w:val="21"/>
        </w:rPr>
        <w:t>装配式预制钢筋混凝土外墙板系统包括外挂式的预制钢筋混凝土外墙板、自立式的预制钢筋混凝土外墙板、预制钢筋混凝土剪力墙三类。</w:t>
      </w:r>
    </w:p>
    <w:p>
      <w:pPr>
        <w:spacing w:line="240" w:lineRule="auto"/>
        <w:ind w:firstLine="420" w:firstLineChars="200"/>
        <w:rPr>
          <w:bCs/>
          <w:szCs w:val="21"/>
        </w:rPr>
      </w:pPr>
      <w:r>
        <w:rPr>
          <w:rFonts w:hint="eastAsia"/>
          <w:bCs/>
          <w:szCs w:val="21"/>
        </w:rPr>
        <w:t>外挂式的预制外墙板一般是自重作用在上一层结构，与下部结构的连接件在限制墙板平面外位移的同时，能够保持在平面内滑移；</w:t>
      </w:r>
    </w:p>
    <w:p>
      <w:pPr>
        <w:spacing w:line="240" w:lineRule="auto"/>
        <w:ind w:firstLine="420" w:firstLineChars="200"/>
        <w:rPr>
          <w:bCs/>
          <w:szCs w:val="21"/>
        </w:rPr>
      </w:pPr>
      <w:r>
        <w:rPr>
          <w:rFonts w:hint="eastAsia"/>
          <w:bCs/>
          <w:szCs w:val="21"/>
        </w:rPr>
        <w:t>自立式的预制钢筋混凝土外墙板的自重一般是作用在下层结构或通过下层墙板连续传递至基础，与上部结构的连接件在限制墙板平面外位移的同时，能够保持在平面内滑移；</w:t>
      </w:r>
    </w:p>
    <w:p>
      <w:pPr>
        <w:spacing w:line="240" w:lineRule="auto"/>
        <w:ind w:firstLine="420" w:firstLineChars="200"/>
        <w:rPr>
          <w:bCs/>
          <w:szCs w:val="21"/>
        </w:rPr>
      </w:pPr>
      <w:r>
        <w:rPr>
          <w:rFonts w:hint="eastAsia"/>
          <w:bCs/>
          <w:szCs w:val="21"/>
        </w:rPr>
        <w:t>预制钢筋混凝土剪力墙是建筑的抗侧力体系组成部分，可以减少主体结构的水平位移，墙体顶面需要与主体结构在楼面形成刚性连接，一般随主体结构同步施工。</w:t>
      </w:r>
    </w:p>
    <w:p>
      <w:pPr>
        <w:spacing w:line="240" w:lineRule="auto"/>
        <w:ind w:firstLine="420" w:firstLineChars="200"/>
        <w:rPr>
          <w:bCs/>
          <w:szCs w:val="21"/>
        </w:rPr>
      </w:pPr>
      <w:r>
        <w:rPr>
          <w:rFonts w:hint="eastAsia"/>
          <w:bCs/>
          <w:szCs w:val="21"/>
        </w:rPr>
        <w:t>另外还有一种薄灰浆干法砌筑的块体材料外墙系统，目前多采用蒸压(砂)加气混凝土砌块，对砌块的要求是尺寸精度高(砌块尺寸偏差一般控制在2mm～3mm)、高温高压养护定型、吸水率小，配套专用粘结剂、界面剂、批土(专用腻子)使用。现场干法施工无须抹水泥砂浆找平，自保温性能好，防水防裂性能高。工程经验表明，薄灰浆干法砌筑的块体材料墙体与钢结构配套时，其防水防裂、保温性能远优于其他砌体填充材料。</w:t>
      </w:r>
    </w:p>
    <w:p>
      <w:pPr>
        <w:spacing w:line="240" w:lineRule="auto"/>
        <w:ind w:firstLine="421" w:firstLineChars="200"/>
        <w:rPr>
          <w:bCs/>
          <w:szCs w:val="21"/>
        </w:rPr>
      </w:pPr>
      <w:r>
        <w:rPr>
          <w:rFonts w:hint="eastAsia"/>
          <w:b/>
          <w:bCs/>
          <w:szCs w:val="21"/>
        </w:rPr>
        <w:t xml:space="preserve">4 </w:t>
      </w:r>
      <w:r>
        <w:rPr>
          <w:b/>
          <w:bCs/>
          <w:szCs w:val="21"/>
        </w:rPr>
        <w:t xml:space="preserve"> </w:t>
      </w:r>
      <w:r>
        <w:rPr>
          <w:rFonts w:hint="eastAsia"/>
          <w:bCs/>
          <w:szCs w:val="21"/>
        </w:rPr>
        <w:t>装配式复合外墙系统类似于单元式幕墙，如木质复合墙板、硅酸钙复合墙板、金属复合板等，一般安装在主体结构之外，按照外墙挂板设计。</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外墙板种类不同，安装连接方式也不相同，目前，主要的连接方式为内嵌式、外挂式、嵌挂结合式三种，设计施工时应根据外墙板的特点合理选择连接方式。采用外挂墙板时，单块墙板高度不宜超过两个层高，一方面可以降低对起重设备的要求，另一方面墙板可以适应主体结构在地震作用下的变形，防止损坏。</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外墙外保温系统具有热桥少，保温效果好的优点，聚苯薄抹灰和岩棉薄抹灰系统在北方地区得到普及，由于南方地区台风大、雨水多，这类保温系统容易出现保温层脱落，因此并不适用，宜采用干挂幕墙的保温做法；外墙内保温系统的热桥较多，保温效果不好；外墙夹心保温系统是将保温材料夹在两层混凝土之间，不但克服了外保温和内保温的缺点，同时也可避免保温脱落和或者危险，在国内已经成为装配式建筑的主流外墙保温形式；墙体自保温系统一般采用轻质墙板或轻质保温砌块，填充在外立面的主体结构之间，缺点是与主体结构连接部位容易开裂渗漏。</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5</w:t>
      </w:r>
      <w:r>
        <w:rPr>
          <w:b/>
          <w:bCs/>
          <w:szCs w:val="21"/>
        </w:rPr>
        <w:t xml:space="preserve"> </w:t>
      </w:r>
      <w:r>
        <w:rPr>
          <w:rFonts w:hint="eastAsia"/>
          <w:b/>
          <w:bCs/>
          <w:szCs w:val="21"/>
        </w:rPr>
        <w:t xml:space="preserve"> </w:t>
      </w:r>
      <w:r>
        <w:rPr>
          <w:rFonts w:hint="eastAsia"/>
          <w:bCs/>
          <w:szCs w:val="21"/>
        </w:rPr>
        <w:t>采用保温装饰一体化板技术或部品，相对于传统外保温做法，具有施工效率高、使用寿命长等优势。常见的有粘挂结合工法和点挂连接工法。</w:t>
      </w:r>
    </w:p>
    <w:p>
      <w:pPr>
        <w:spacing w:line="240" w:lineRule="auto"/>
        <w:ind w:firstLine="420" w:firstLineChars="200"/>
        <w:rPr>
          <w:bCs/>
          <w:szCs w:val="21"/>
        </w:rPr>
      </w:pPr>
      <w:r>
        <w:rPr>
          <w:rFonts w:hint="eastAsia"/>
          <w:bCs/>
          <w:szCs w:val="21"/>
        </w:rPr>
        <w:t>其系统性能应能适应基层的正常变形而不产生裂缝或空鼓，应能长期承受自重而不产生有害的变形，应能承受风荷载的作用而不产生破坏，应能耐受室外气候的长期反复作用而不产生破坏，在规定的抗震设防烈度下不应从基层上脱落，应采取防火构造措施，应具有防水渗透性能。</w:t>
      </w:r>
    </w:p>
    <w:p>
      <w:pPr>
        <w:spacing w:line="240" w:lineRule="auto"/>
        <w:ind w:firstLine="420" w:firstLineChars="200"/>
        <w:rPr>
          <w:bCs/>
          <w:szCs w:val="21"/>
        </w:rPr>
      </w:pPr>
      <w:r>
        <w:rPr>
          <w:rFonts w:hint="eastAsia"/>
          <w:bCs/>
          <w:szCs w:val="21"/>
        </w:rPr>
        <w:t>外保温复合墙体的保温、隔热和防潮性能应符合现行国家标准《民用建筑热工设计规范》</w:t>
      </w:r>
      <w:r>
        <w:rPr>
          <w:bCs/>
          <w:szCs w:val="21"/>
        </w:rPr>
        <w:t>GB 50176</w:t>
      </w:r>
      <w:r>
        <w:rPr>
          <w:rFonts w:hint="eastAsia"/>
          <w:bCs/>
          <w:szCs w:val="21"/>
        </w:rPr>
        <w:t>和国家现行相关建筑节能设计标准的规定。在正确使用和正常维护的条件下，外墙外保温工程的使用年限应不少于</w:t>
      </w:r>
      <w:r>
        <w:rPr>
          <w:bCs/>
          <w:szCs w:val="21"/>
        </w:rPr>
        <w:t>25</w:t>
      </w:r>
      <w:r>
        <w:rPr>
          <w:rFonts w:hint="eastAsia"/>
          <w:bCs/>
          <w:szCs w:val="21"/>
        </w:rPr>
        <w:t>年。</w:t>
      </w:r>
    </w:p>
    <w:p>
      <w:pPr>
        <w:spacing w:line="240" w:lineRule="auto"/>
        <w:ind w:firstLine="420" w:firstLineChars="200"/>
        <w:rPr>
          <w:bCs/>
          <w:szCs w:val="21"/>
        </w:rPr>
      </w:pPr>
      <w:r>
        <w:rPr>
          <w:rFonts w:hint="eastAsia"/>
          <w:bCs/>
          <w:szCs w:val="21"/>
        </w:rPr>
        <w:t>其主要技术参数包括：保温性能、抗风性能、抗冲击性能、耐冻性能、防水性能等。</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6</w:t>
      </w:r>
      <w:r>
        <w:rPr>
          <w:b/>
          <w:bCs/>
          <w:szCs w:val="21"/>
        </w:rPr>
        <w:t xml:space="preserve"> </w:t>
      </w:r>
      <w:r>
        <w:rPr>
          <w:rFonts w:hint="eastAsia"/>
          <w:b/>
          <w:bCs/>
          <w:szCs w:val="21"/>
        </w:rPr>
        <w:t xml:space="preserve"> </w:t>
      </w:r>
      <w:r>
        <w:rPr>
          <w:rFonts w:hint="eastAsia"/>
          <w:bCs/>
          <w:szCs w:val="21"/>
        </w:rPr>
        <w:t>此条文主要是针对外挂墙板的构造要求，一般采用固定支座与滑动支座或摇摆支座结合的构造，以满足结构层间变形要求；嵌入式墙体与柱之间宜采用留有变形缝隙的柔性连接构造。</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内嵌式、外挂式、嵌挂结合式连接示意图（图</w:t>
      </w:r>
      <w:r>
        <w:rPr>
          <w:bCs/>
          <w:szCs w:val="21"/>
        </w:rPr>
        <w:t>1</w:t>
      </w:r>
      <w:r>
        <w:rPr>
          <w:rFonts w:hint="eastAsia"/>
          <w:bCs/>
          <w:szCs w:val="21"/>
        </w:rPr>
        <w:t>）。</w:t>
      </w:r>
    </w:p>
    <w:p>
      <w:pPr>
        <w:spacing w:line="240" w:lineRule="auto"/>
        <w:ind w:left="-6"/>
        <w:jc w:val="center"/>
        <w:rPr>
          <w:rFonts w:eastAsia="黑体" w:cs="黑体"/>
          <w:bCs/>
          <w:sz w:val="18"/>
          <w:szCs w:val="18"/>
        </w:rPr>
      </w:pPr>
      <w:r>
        <w:rPr>
          <w:rFonts w:eastAsia="黑体" w:cs="黑体"/>
          <w:bCs/>
          <w:sz w:val="18"/>
          <w:szCs w:val="18"/>
        </w:rPr>
        <w:drawing>
          <wp:inline distT="0" distB="0" distL="114300" distR="114300">
            <wp:extent cx="4661535" cy="2001520"/>
            <wp:effectExtent l="0" t="0" r="5715" b="0"/>
            <wp:docPr id="17" name="图片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true"/>
                    </pic:cNvPicPr>
                  </pic:nvPicPr>
                  <pic:blipFill>
                    <a:blip r:embed="rId20"/>
                    <a:srcRect t="4504"/>
                    <a:stretch>
                      <a:fillRect/>
                    </a:stretch>
                  </pic:blipFill>
                  <pic:spPr>
                    <a:xfrm>
                      <a:off x="0" y="0"/>
                      <a:ext cx="4685383" cy="2011878"/>
                    </a:xfrm>
                    <a:prstGeom prst="rect">
                      <a:avLst/>
                    </a:prstGeom>
                    <a:noFill/>
                    <a:ln>
                      <a:noFill/>
                    </a:ln>
                  </pic:spPr>
                </pic:pic>
              </a:graphicData>
            </a:graphic>
          </wp:inline>
        </w:drawing>
      </w:r>
    </w:p>
    <w:p>
      <w:pPr>
        <w:spacing w:line="240" w:lineRule="auto"/>
        <w:ind w:left="-6"/>
        <w:jc w:val="center"/>
        <w:rPr>
          <w:rFonts w:eastAsia="黑体" w:cs="黑体"/>
          <w:bCs/>
          <w:sz w:val="18"/>
          <w:szCs w:val="18"/>
        </w:rPr>
      </w:pPr>
      <w:r>
        <w:rPr>
          <w:rFonts w:hint="eastAsia" w:eastAsia="黑体" w:cs="黑体"/>
          <w:bCs/>
          <w:sz w:val="18"/>
          <w:szCs w:val="18"/>
        </w:rPr>
        <w:t>图</w:t>
      </w:r>
      <w:r>
        <w:rPr>
          <w:rFonts w:eastAsia="黑体" w:cs="黑体"/>
          <w:b/>
          <w:bCs/>
          <w:sz w:val="18"/>
          <w:szCs w:val="18"/>
        </w:rPr>
        <w:t>1</w:t>
      </w:r>
      <w:r>
        <w:rPr>
          <w:rFonts w:hint="eastAsia" w:eastAsia="黑体" w:cs="黑体"/>
          <w:bCs/>
          <w:sz w:val="18"/>
          <w:szCs w:val="18"/>
        </w:rPr>
        <w:t xml:space="preserve"> </w:t>
      </w:r>
      <w:r>
        <w:rPr>
          <w:rFonts w:eastAsia="黑体" w:cs="黑体"/>
          <w:bCs/>
          <w:sz w:val="18"/>
          <w:szCs w:val="18"/>
        </w:rPr>
        <w:t xml:space="preserve"> 连接示意图</w:t>
      </w:r>
    </w:p>
    <w:p>
      <w:pPr>
        <w:spacing w:line="240" w:lineRule="auto"/>
        <w:ind w:firstLine="421" w:firstLineChars="200"/>
        <w:rPr>
          <w:bCs/>
          <w:szCs w:val="21"/>
        </w:rPr>
      </w:pPr>
      <w:r>
        <w:rPr>
          <w:rFonts w:hint="eastAsia"/>
          <w:b/>
          <w:bCs/>
          <w:szCs w:val="21"/>
        </w:rPr>
        <w:t xml:space="preserve">1 </w:t>
      </w:r>
      <w:r>
        <w:rPr>
          <w:b/>
          <w:bCs/>
          <w:szCs w:val="21"/>
        </w:rPr>
        <w:t xml:space="preserve"> </w:t>
      </w:r>
      <w:r>
        <w:rPr>
          <w:rFonts w:hint="eastAsia"/>
          <w:bCs/>
          <w:szCs w:val="21"/>
        </w:rPr>
        <w:t>当外墙板采用内嵌方式时，节点构造应符合下列规定：</w:t>
      </w:r>
    </w:p>
    <w:p>
      <w:pPr>
        <w:spacing w:line="240" w:lineRule="auto"/>
        <w:ind w:firstLine="632" w:firstLineChars="300"/>
        <w:rPr>
          <w:bCs/>
          <w:szCs w:val="21"/>
        </w:rPr>
      </w:pPr>
      <w:r>
        <w:rPr>
          <w:rFonts w:hint="eastAsia"/>
          <w:b/>
          <w:bCs/>
          <w:szCs w:val="21"/>
        </w:rPr>
        <w:t>1</w:t>
      </w:r>
      <w:r>
        <w:rPr>
          <w:rFonts w:hint="eastAsia"/>
          <w:bCs/>
          <w:szCs w:val="21"/>
        </w:rPr>
        <w:t>）外墙板采用刚性连接时，当主体结构达到弹性层间位移角限值时，墙体不应开裂；当主体结构达到弹塑性层间位移角限值时，墙体应不垮塌。</w:t>
      </w:r>
    </w:p>
    <w:p>
      <w:pPr>
        <w:spacing w:line="240" w:lineRule="auto"/>
        <w:ind w:firstLine="632" w:firstLineChars="300"/>
        <w:rPr>
          <w:bCs/>
          <w:szCs w:val="21"/>
        </w:rPr>
      </w:pPr>
      <w:r>
        <w:rPr>
          <w:rFonts w:hint="eastAsia"/>
          <w:b/>
          <w:bCs/>
          <w:szCs w:val="21"/>
        </w:rPr>
        <w:t>2</w:t>
      </w:r>
      <w:r>
        <w:rPr>
          <w:rFonts w:hint="eastAsia"/>
          <w:bCs/>
          <w:szCs w:val="21"/>
        </w:rPr>
        <w:t>）外墙板采用柔性连接时，应保证主体结构达到弹性层间位移角限值时墙体与主体结构不发生碰撞；当主体结构达到弹塑性层间位移角限值时（含墙体与结构主体间隙），墙体应不垮塌。</w:t>
      </w:r>
    </w:p>
    <w:p>
      <w:pPr>
        <w:spacing w:line="240" w:lineRule="auto"/>
        <w:ind w:firstLine="421" w:firstLineChars="200"/>
        <w:rPr>
          <w:bCs/>
          <w:szCs w:val="21"/>
        </w:rPr>
      </w:pPr>
      <w:r>
        <w:rPr>
          <w:rFonts w:hint="eastAsia"/>
          <w:b/>
          <w:bCs/>
          <w:szCs w:val="21"/>
        </w:rPr>
        <w:t>2</w:t>
      </w:r>
      <w:r>
        <w:rPr>
          <w:rFonts w:hint="eastAsia"/>
          <w:bCs/>
          <w:szCs w:val="21"/>
        </w:rPr>
        <w:t xml:space="preserve"> </w:t>
      </w:r>
      <w:r>
        <w:rPr>
          <w:bCs/>
          <w:szCs w:val="21"/>
        </w:rPr>
        <w:t xml:space="preserve"> </w:t>
      </w:r>
      <w:r>
        <w:rPr>
          <w:rFonts w:hint="eastAsia"/>
          <w:bCs/>
          <w:szCs w:val="21"/>
        </w:rPr>
        <w:t>外墙采用外挂连接方式时，墙体平面内层间位移角不应小于主体结构弹性层间位移角限值的三倍。外挂墙板与主体结构采用点支承连接时，节点构造应符合下列规定：</w:t>
      </w:r>
    </w:p>
    <w:p>
      <w:pPr>
        <w:spacing w:line="240" w:lineRule="auto"/>
        <w:ind w:firstLine="632" w:firstLineChars="300"/>
        <w:rPr>
          <w:bCs/>
          <w:szCs w:val="21"/>
        </w:rPr>
      </w:pPr>
      <w:r>
        <w:rPr>
          <w:rFonts w:hint="eastAsia"/>
          <w:b/>
          <w:bCs/>
          <w:szCs w:val="21"/>
        </w:rPr>
        <w:t>1</w:t>
      </w:r>
      <w:r>
        <w:rPr>
          <w:rFonts w:hint="eastAsia"/>
          <w:bCs/>
          <w:szCs w:val="21"/>
        </w:rPr>
        <w:t>）连接点数量和位置应根据外挂墙板形状、尺寸确定，连接点不应少于4个，承重连接点不应多于2个；</w:t>
      </w:r>
    </w:p>
    <w:p>
      <w:pPr>
        <w:spacing w:line="240" w:lineRule="auto"/>
        <w:ind w:firstLine="632" w:firstLineChars="300"/>
        <w:rPr>
          <w:bCs/>
          <w:szCs w:val="21"/>
        </w:rPr>
      </w:pPr>
      <w:r>
        <w:rPr>
          <w:rFonts w:hint="eastAsia"/>
          <w:b/>
          <w:bCs/>
          <w:szCs w:val="21"/>
        </w:rPr>
        <w:t>2</w:t>
      </w:r>
      <w:r>
        <w:rPr>
          <w:rFonts w:hint="eastAsia"/>
          <w:bCs/>
          <w:szCs w:val="21"/>
        </w:rPr>
        <w:t>）在外力作用下，外挂墙板相对主体结构在墙板平面内应能水平滑动或转动；</w:t>
      </w:r>
    </w:p>
    <w:p>
      <w:pPr>
        <w:spacing w:line="240" w:lineRule="auto"/>
        <w:ind w:firstLine="632" w:firstLineChars="300"/>
        <w:rPr>
          <w:bCs/>
          <w:szCs w:val="21"/>
        </w:rPr>
      </w:pPr>
      <w:r>
        <w:rPr>
          <w:rFonts w:hint="eastAsia"/>
          <w:b/>
          <w:bCs/>
          <w:szCs w:val="21"/>
        </w:rPr>
        <w:t>3</w:t>
      </w:r>
      <w:r>
        <w:rPr>
          <w:rFonts w:hint="eastAsia"/>
          <w:bCs/>
          <w:szCs w:val="21"/>
        </w:rPr>
        <w:t>）连接件的滑动孔尺寸应根据穿孔螺栓直径、变形能力需求和施工允许偏差等因素确定；</w:t>
      </w:r>
    </w:p>
    <w:p>
      <w:pPr>
        <w:spacing w:line="240" w:lineRule="auto"/>
        <w:ind w:firstLine="632" w:firstLineChars="300"/>
        <w:rPr>
          <w:bCs/>
          <w:szCs w:val="21"/>
        </w:rPr>
      </w:pPr>
      <w:r>
        <w:rPr>
          <w:rFonts w:hint="eastAsia"/>
          <w:b/>
          <w:bCs/>
          <w:szCs w:val="21"/>
        </w:rPr>
        <w:t>4</w:t>
      </w:r>
      <w:r>
        <w:rPr>
          <w:rFonts w:hint="eastAsia"/>
          <w:bCs/>
          <w:szCs w:val="21"/>
        </w:rPr>
        <w:t>）外挂墙板的底端应设置不少于2个仅对墙板有平面外约束的连接节点；</w:t>
      </w:r>
    </w:p>
    <w:p>
      <w:pPr>
        <w:spacing w:line="240" w:lineRule="auto"/>
        <w:ind w:firstLine="632" w:firstLineChars="300"/>
        <w:rPr>
          <w:bCs/>
          <w:szCs w:val="21"/>
        </w:rPr>
      </w:pPr>
      <w:r>
        <w:rPr>
          <w:rFonts w:hint="eastAsia"/>
          <w:b/>
          <w:bCs/>
          <w:szCs w:val="21"/>
        </w:rPr>
        <w:t>5</w:t>
      </w:r>
      <w:r>
        <w:rPr>
          <w:rFonts w:hint="eastAsia"/>
          <w:bCs/>
          <w:szCs w:val="21"/>
        </w:rPr>
        <w:t>）外挂墙板的侧边不应与主体结构刚性连接。</w:t>
      </w:r>
    </w:p>
    <w:p>
      <w:pPr>
        <w:spacing w:line="240" w:lineRule="auto"/>
        <w:ind w:firstLine="421" w:firstLineChars="200"/>
        <w:rPr>
          <w:bCs/>
          <w:szCs w:val="21"/>
        </w:rPr>
      </w:pPr>
      <w:r>
        <w:rPr>
          <w:rFonts w:hint="eastAsia"/>
          <w:b/>
          <w:bCs/>
          <w:szCs w:val="21"/>
        </w:rPr>
        <w:t>3</w:t>
      </w:r>
      <w:r>
        <w:rPr>
          <w:rFonts w:hint="eastAsia"/>
          <w:bCs/>
          <w:szCs w:val="21"/>
        </w:rPr>
        <w:t xml:space="preserve"> </w:t>
      </w:r>
      <w:r>
        <w:rPr>
          <w:bCs/>
          <w:szCs w:val="21"/>
        </w:rPr>
        <w:t xml:space="preserve"> </w:t>
      </w:r>
      <w:r>
        <w:rPr>
          <w:rFonts w:hint="eastAsia"/>
          <w:bCs/>
          <w:szCs w:val="21"/>
        </w:rPr>
        <w:t>采用嵌挂结合连接构造应进行受力计算验证或通过系统性能检测验证。</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8</w:t>
      </w:r>
      <w:r>
        <w:rPr>
          <w:b/>
          <w:bCs/>
          <w:szCs w:val="21"/>
        </w:rPr>
        <w:t xml:space="preserve"> </w:t>
      </w:r>
      <w:r>
        <w:rPr>
          <w:rFonts w:hint="eastAsia"/>
          <w:bCs/>
          <w:szCs w:val="21"/>
        </w:rPr>
        <w:t xml:space="preserve"> 水平缝宜采用高低缝或企口缝；竖缝宜采用企口缝、槽口缝或平口缝；当板缝空腔需设置导水管排水时，板缝内侧应增设气密条密封；外墙的突出部位、出挑构件均应作防排水措施；窗口处应做防水处理；外墙板与楼板之间连接缝应采取有效防水措施；阳台的外沿板底应设置滴水线。</w:t>
      </w:r>
    </w:p>
    <w:p>
      <w:pPr>
        <w:spacing w:line="240" w:lineRule="auto"/>
        <w:rPr>
          <w:bCs/>
          <w:szCs w:val="21"/>
        </w:rPr>
      </w:pPr>
      <w:r>
        <w:rPr>
          <w:rFonts w:hint="eastAsia"/>
          <w:bCs/>
          <w:szCs w:val="21"/>
        </w:rPr>
        <w:t>外墙板缝所用的密封材料应选用耐候性密封胶，密封胶与墙板的相容性、低温柔性、最大伸缩变形量、剪切变形量、防霉性及耐水性等均应满足设计要求，且应满足外饰面防污和环保要求。密封胶应具备防霉，防火，防水，耐候等性能，可选择：改性硅酮密封胶（MS），硅酮密封胶（SR），聚氨酯密封胶（PU），聚硫密封胶（PS）等。</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9</w:t>
      </w:r>
      <w:r>
        <w:rPr>
          <w:b/>
          <w:bCs/>
          <w:szCs w:val="21"/>
        </w:rPr>
        <w:t xml:space="preserve"> </w:t>
      </w:r>
      <w:r>
        <w:rPr>
          <w:rFonts w:hint="eastAsia"/>
          <w:b/>
          <w:bCs/>
          <w:szCs w:val="21"/>
        </w:rPr>
        <w:t xml:space="preserve"> </w:t>
      </w:r>
      <w:r>
        <w:rPr>
          <w:rFonts w:hint="eastAsia"/>
          <w:bCs/>
          <w:szCs w:val="21"/>
        </w:rPr>
        <w:t>预制外墙板应符合下列规定：</w:t>
      </w:r>
    </w:p>
    <w:p>
      <w:pPr>
        <w:spacing w:line="240" w:lineRule="auto"/>
        <w:ind w:firstLine="421" w:firstLineChars="200"/>
        <w:rPr>
          <w:bCs/>
          <w:szCs w:val="21"/>
        </w:rPr>
      </w:pPr>
      <w:r>
        <w:rPr>
          <w:rFonts w:hint="eastAsia"/>
          <w:b/>
          <w:bCs/>
          <w:szCs w:val="21"/>
        </w:rPr>
        <w:t>1</w:t>
      </w:r>
      <w:r>
        <w:rPr>
          <w:b/>
          <w:bCs/>
          <w:szCs w:val="21"/>
        </w:rPr>
        <w:t xml:space="preserve"> </w:t>
      </w:r>
      <w:r>
        <w:rPr>
          <w:rFonts w:hint="eastAsia"/>
          <w:b/>
          <w:bCs/>
          <w:szCs w:val="21"/>
        </w:rPr>
        <w:t xml:space="preserve"> </w:t>
      </w:r>
      <w:r>
        <w:rPr>
          <w:rFonts w:hint="eastAsia"/>
          <w:bCs/>
          <w:szCs w:val="21"/>
        </w:rPr>
        <w:t>预制外墙板应符合国家现行标准《装配式混凝土结构技术规程》JGJ</w:t>
      </w:r>
      <w:r>
        <w:rPr>
          <w:bCs/>
          <w:szCs w:val="21"/>
        </w:rPr>
        <w:t xml:space="preserve"> </w:t>
      </w:r>
      <w:r>
        <w:rPr>
          <w:rFonts w:hint="eastAsia"/>
          <w:bCs/>
          <w:szCs w:val="21"/>
        </w:rPr>
        <w:t>1的有关规定。蒸压加气混凝土外墙板的性能、连接构造、板缝构造、内外面层做法等应符合国家现行标准《蒸压加气混凝土板》GB</w:t>
      </w:r>
      <w:r>
        <w:rPr>
          <w:bCs/>
          <w:szCs w:val="21"/>
        </w:rPr>
        <w:t xml:space="preserve"> </w:t>
      </w:r>
      <w:r>
        <w:rPr>
          <w:rFonts w:hint="eastAsia"/>
          <w:bCs/>
          <w:szCs w:val="21"/>
        </w:rPr>
        <w:t>15762及《蒸压加气混凝土建筑应用技术规程》JGJ/T</w:t>
      </w:r>
      <w:r>
        <w:rPr>
          <w:bCs/>
          <w:szCs w:val="21"/>
        </w:rPr>
        <w:t xml:space="preserve"> </w:t>
      </w:r>
      <w:r>
        <w:rPr>
          <w:rFonts w:hint="eastAsia"/>
          <w:bCs/>
          <w:szCs w:val="21"/>
        </w:rPr>
        <w:t>17的有关规定。</w:t>
      </w:r>
    </w:p>
    <w:p>
      <w:pPr>
        <w:spacing w:line="240" w:lineRule="auto"/>
        <w:ind w:firstLine="421" w:firstLineChars="200"/>
        <w:rPr>
          <w:bCs/>
          <w:szCs w:val="21"/>
        </w:rPr>
      </w:pPr>
      <w:r>
        <w:rPr>
          <w:rFonts w:hint="eastAsia"/>
          <w:b/>
          <w:bCs/>
          <w:szCs w:val="21"/>
        </w:rPr>
        <w:t>2</w:t>
      </w:r>
      <w:r>
        <w:rPr>
          <w:b/>
          <w:bCs/>
          <w:szCs w:val="21"/>
        </w:rPr>
        <w:t xml:space="preserve"> </w:t>
      </w:r>
      <w:r>
        <w:rPr>
          <w:rFonts w:hint="eastAsia"/>
          <w:b/>
          <w:bCs/>
          <w:szCs w:val="21"/>
        </w:rPr>
        <w:t xml:space="preserve"> </w:t>
      </w:r>
      <w:r>
        <w:rPr>
          <w:rFonts w:hint="eastAsia"/>
          <w:bCs/>
          <w:szCs w:val="21"/>
        </w:rPr>
        <w:t>预制外墙板露明的金属支撑件及外墙板内侧与主体结构的调整间隙，应采用燃烧性能等级为A级的材料进行封堵，封堵构造的耐火极限不得低于墙体的耐火极限，封堵材料在耐火极限内不得开裂、脱落。</w:t>
      </w:r>
    </w:p>
    <w:p>
      <w:pPr>
        <w:spacing w:line="240" w:lineRule="auto"/>
        <w:ind w:firstLine="421" w:firstLineChars="200"/>
        <w:rPr>
          <w:bCs/>
          <w:szCs w:val="21"/>
        </w:rPr>
      </w:pPr>
      <w:r>
        <w:rPr>
          <w:rFonts w:hint="eastAsia"/>
          <w:b/>
          <w:bCs/>
          <w:szCs w:val="21"/>
        </w:rPr>
        <w:t xml:space="preserve">3 </w:t>
      </w:r>
      <w:r>
        <w:rPr>
          <w:b/>
          <w:bCs/>
          <w:szCs w:val="21"/>
        </w:rPr>
        <w:t xml:space="preserve"> </w:t>
      </w:r>
      <w:r>
        <w:rPr>
          <w:rFonts w:hint="eastAsia"/>
          <w:bCs/>
          <w:szCs w:val="21"/>
        </w:rPr>
        <w:t>防火性能应按非承重外墙的要求执行，当夹心保温材料的燃烧性能等级为B1或B2级时，内、外叶墙板应采用不燃材料且厚度均不应小于50mm。</w:t>
      </w:r>
    </w:p>
    <w:p>
      <w:pPr>
        <w:spacing w:line="240" w:lineRule="auto"/>
        <w:ind w:firstLine="421" w:firstLineChars="200"/>
        <w:rPr>
          <w:bCs/>
          <w:szCs w:val="21"/>
        </w:rPr>
      </w:pPr>
      <w:r>
        <w:rPr>
          <w:rFonts w:hint="eastAsia"/>
          <w:b/>
          <w:bCs/>
          <w:szCs w:val="21"/>
        </w:rPr>
        <w:t>4</w:t>
      </w:r>
      <w:r>
        <w:rPr>
          <w:b/>
          <w:bCs/>
          <w:szCs w:val="21"/>
        </w:rPr>
        <w:t xml:space="preserve"> </w:t>
      </w:r>
      <w:r>
        <w:rPr>
          <w:rFonts w:hint="eastAsia"/>
          <w:b/>
          <w:bCs/>
          <w:szCs w:val="21"/>
        </w:rPr>
        <w:t xml:space="preserve"> </w:t>
      </w:r>
      <w:r>
        <w:rPr>
          <w:rFonts w:hint="eastAsia"/>
          <w:bCs/>
          <w:szCs w:val="21"/>
        </w:rPr>
        <w:t>建筑高度在24m以下的预制混凝土外墙可采用一道材料防水和构造防水相结合做法；24m以上的预制混凝土外墙板缝应采用两道材料防水和构造防水结合做法。板缝宽度应根据极限温度变形、风荷载及地震作用下的层间位移、密封材料最大拉伸-压缩变形量及施工安装误差等因素设计计算，并应满足板缝宽度在10~35mm范围，密封胶的厚度应按缝宽的1/2且不小于8mm设计。</w:t>
      </w:r>
    </w:p>
    <w:p>
      <w:pPr>
        <w:spacing w:line="240" w:lineRule="auto"/>
        <w:ind w:firstLine="421" w:firstLineChars="200"/>
        <w:rPr>
          <w:bCs/>
          <w:szCs w:val="21"/>
        </w:rPr>
      </w:pPr>
      <w:r>
        <w:rPr>
          <w:rFonts w:hint="eastAsia"/>
          <w:b/>
          <w:bCs/>
          <w:szCs w:val="21"/>
        </w:rPr>
        <w:t>5</w:t>
      </w:r>
      <w:r>
        <w:rPr>
          <w:b/>
          <w:bCs/>
          <w:szCs w:val="21"/>
        </w:rPr>
        <w:t xml:space="preserve"> </w:t>
      </w:r>
      <w:r>
        <w:rPr>
          <w:rFonts w:hint="eastAsia"/>
          <w:b/>
          <w:bCs/>
          <w:szCs w:val="21"/>
        </w:rPr>
        <w:t xml:space="preserve"> </w:t>
      </w:r>
      <w:r>
        <w:rPr>
          <w:rFonts w:hint="eastAsia"/>
          <w:bCs/>
          <w:szCs w:val="21"/>
        </w:rPr>
        <w:t>应采用预制外墙主断面的平均传热阻值或传热系数作为其热工设计值。墙板设计时应尽可能减少混凝土肋、金属件等热桥影响，避免内墙面或墙体内部结露。预制混凝土外墙挂板的保温层厚度可根据广东省节能设计要求确定。预制混凝土外墙可采用内保温墙身构造，由于梁柱及楼板周围与挂板内侧一般要求留有30~50mm调整间隙，内保温可以和防火做法结合实现连续铺设，不会存在热桥影响。</w:t>
      </w:r>
    </w:p>
    <w:p>
      <w:pPr>
        <w:spacing w:line="240" w:lineRule="auto"/>
        <w:ind w:firstLine="421" w:firstLineChars="200"/>
        <w:rPr>
          <w:bCs/>
          <w:szCs w:val="21"/>
        </w:rPr>
      </w:pPr>
      <w:r>
        <w:rPr>
          <w:rFonts w:hint="eastAsia"/>
          <w:b/>
          <w:bCs/>
          <w:szCs w:val="21"/>
        </w:rPr>
        <w:t xml:space="preserve">6 </w:t>
      </w:r>
      <w:r>
        <w:rPr>
          <w:b/>
          <w:bCs/>
          <w:szCs w:val="21"/>
        </w:rPr>
        <w:t xml:space="preserve"> </w:t>
      </w:r>
      <w:r>
        <w:rPr>
          <w:rFonts w:hint="eastAsia"/>
          <w:bCs/>
          <w:szCs w:val="21"/>
        </w:rPr>
        <w:t>隔声是重要功能之一，为防止室外及周边环境隔声与噪音的影响，获取安静的工作和休息环境，预制混凝土外墙作为外围护系统的一种，应具备满足设计要求的隔声性能，并应符合现行规范《民用建筑隔声设计规范》GB</w:t>
      </w:r>
      <w:r>
        <w:rPr>
          <w:bCs/>
          <w:szCs w:val="21"/>
        </w:rPr>
        <w:t xml:space="preserve"> </w:t>
      </w:r>
      <w:r>
        <w:rPr>
          <w:rFonts w:hint="eastAsia"/>
          <w:bCs/>
          <w:szCs w:val="21"/>
        </w:rPr>
        <w:t>50118的有关规定。</w:t>
      </w:r>
    </w:p>
    <w:p>
      <w:pPr>
        <w:spacing w:line="240" w:lineRule="auto"/>
        <w:ind w:firstLine="421" w:firstLineChars="200"/>
        <w:rPr>
          <w:bCs/>
          <w:szCs w:val="21"/>
        </w:rPr>
      </w:pPr>
      <w:r>
        <w:rPr>
          <w:rFonts w:hint="eastAsia"/>
          <w:b/>
          <w:bCs/>
          <w:szCs w:val="21"/>
        </w:rPr>
        <w:t xml:space="preserve">7 </w:t>
      </w:r>
      <w:r>
        <w:rPr>
          <w:b/>
          <w:bCs/>
          <w:szCs w:val="21"/>
        </w:rPr>
        <w:t xml:space="preserve"> </w:t>
      </w:r>
      <w:r>
        <w:rPr>
          <w:rFonts w:hint="eastAsia"/>
          <w:bCs/>
          <w:szCs w:val="21"/>
        </w:rPr>
        <w:t>预制外墙块材饰面应采用耐久性好、不易污染的材料和工艺，如采用面砖反打、石材反打、人造装饰板材干挂、保温装饰一体板等。当采用面砖反打或正打工艺，宜在工厂内完成，面砖应选择背面设有粘结后防止脱落措施的材料。</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10</w:t>
      </w:r>
      <w:r>
        <w:rPr>
          <w:rFonts w:hint="eastAsia"/>
          <w:bCs/>
          <w:szCs w:val="21"/>
        </w:rPr>
        <w:t xml:space="preserve"> </w:t>
      </w:r>
      <w:r>
        <w:rPr>
          <w:bCs/>
          <w:szCs w:val="21"/>
        </w:rPr>
        <w:t xml:space="preserve"> </w:t>
      </w:r>
      <w:r>
        <w:rPr>
          <w:rFonts w:hint="eastAsia"/>
          <w:bCs/>
          <w:szCs w:val="21"/>
        </w:rPr>
        <w:t>铝合金门窗的设计应符合现行行业标准《铝合金门窗工程技术规范》JGJ</w:t>
      </w:r>
      <w:r>
        <w:rPr>
          <w:bCs/>
          <w:szCs w:val="21"/>
        </w:rPr>
        <w:t xml:space="preserve"> </w:t>
      </w:r>
      <w:r>
        <w:rPr>
          <w:rFonts w:hint="eastAsia"/>
          <w:bCs/>
          <w:szCs w:val="21"/>
        </w:rPr>
        <w:t>214的有关规定。塑料门窗的设计应符合现行行业标准《塑料门窗工程技术规程》JGJ</w:t>
      </w:r>
      <w:r>
        <w:rPr>
          <w:bCs/>
          <w:szCs w:val="21"/>
        </w:rPr>
        <w:t xml:space="preserve"> </w:t>
      </w:r>
      <w:r>
        <w:rPr>
          <w:rFonts w:hint="eastAsia"/>
          <w:bCs/>
          <w:szCs w:val="21"/>
        </w:rPr>
        <w:t>103的有关规定。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12</w:t>
      </w:r>
      <w:r>
        <w:rPr>
          <w:b/>
          <w:bCs/>
          <w:szCs w:val="21"/>
        </w:rPr>
        <w:t xml:space="preserve"> </w:t>
      </w:r>
      <w:r>
        <w:rPr>
          <w:rFonts w:hint="eastAsia"/>
          <w:b/>
          <w:bCs/>
          <w:szCs w:val="21"/>
        </w:rPr>
        <w:t xml:space="preserve"> </w:t>
      </w:r>
      <w:r>
        <w:rPr>
          <w:rFonts w:hint="eastAsia"/>
          <w:bCs/>
          <w:szCs w:val="21"/>
        </w:rPr>
        <w:t>轻钢龙骨式复合墙板应符合下列规定：</w:t>
      </w:r>
    </w:p>
    <w:p>
      <w:pPr>
        <w:spacing w:line="240" w:lineRule="auto"/>
        <w:ind w:firstLine="421" w:firstLineChars="200"/>
        <w:rPr>
          <w:bCs/>
          <w:szCs w:val="21"/>
        </w:rPr>
      </w:pPr>
      <w:r>
        <w:rPr>
          <w:rFonts w:hint="eastAsia"/>
          <w:b/>
          <w:bCs/>
          <w:szCs w:val="21"/>
        </w:rPr>
        <w:t>1</w:t>
      </w:r>
      <w:r>
        <w:rPr>
          <w:b/>
          <w:bCs/>
          <w:szCs w:val="21"/>
        </w:rPr>
        <w:t xml:space="preserve"> </w:t>
      </w:r>
      <w:r>
        <w:rPr>
          <w:rFonts w:hint="eastAsia"/>
          <w:b/>
          <w:bCs/>
          <w:szCs w:val="21"/>
        </w:rPr>
        <w:t xml:space="preserve"> </w:t>
      </w:r>
      <w:r>
        <w:rPr>
          <w:rFonts w:hint="eastAsia"/>
          <w:bCs/>
          <w:szCs w:val="21"/>
        </w:rPr>
        <w:t>轻钢龙骨式复合墙板面板常用的有防潮纸面石膏板、纤维增强水泥板和纤维增强硅酸钙板等，面板应分别符合国家现行相关标准的规定。纸面石膏板应符合现行国家标准《纸面石膏板》GB</w:t>
      </w:r>
      <w:r>
        <w:rPr>
          <w:bCs/>
          <w:szCs w:val="21"/>
        </w:rPr>
        <w:t xml:space="preserve"> </w:t>
      </w:r>
      <w:r>
        <w:rPr>
          <w:rFonts w:hint="eastAsia"/>
          <w:bCs/>
          <w:szCs w:val="21"/>
        </w:rPr>
        <w:t>9775，纤维增强水泥平板应符合现行行业标准《纤维水泥平板第1部分:无石棉纤维水泥平板》JC/T</w:t>
      </w:r>
      <w:r>
        <w:rPr>
          <w:bCs/>
          <w:szCs w:val="21"/>
        </w:rPr>
        <w:t xml:space="preserve"> </w:t>
      </w:r>
      <w:r>
        <w:rPr>
          <w:rFonts w:hint="eastAsia"/>
          <w:bCs/>
          <w:szCs w:val="21"/>
        </w:rPr>
        <w:t>412</w:t>
      </w:r>
      <w:r>
        <w:rPr>
          <w:rFonts w:hint="eastAsia" w:ascii="宋体" w:hAnsi="宋体"/>
          <w:b/>
          <w:bCs/>
          <w:szCs w:val="21"/>
        </w:rPr>
        <w:t>.</w:t>
      </w:r>
      <w:r>
        <w:rPr>
          <w:rFonts w:hint="eastAsia"/>
          <w:bCs/>
          <w:szCs w:val="21"/>
        </w:rPr>
        <w:t>1的有关规定；无石棉硅酸钙板应符合现行行业标准《纤维增强硅酸钙板第1部分：无石棉硅酸钙板》JC/T</w:t>
      </w:r>
      <w:r>
        <w:rPr>
          <w:bCs/>
          <w:szCs w:val="21"/>
        </w:rPr>
        <w:t xml:space="preserve"> </w:t>
      </w:r>
      <w:r>
        <w:rPr>
          <w:rFonts w:hint="eastAsia"/>
          <w:bCs/>
          <w:szCs w:val="21"/>
        </w:rPr>
        <w:t>564</w:t>
      </w:r>
      <w:r>
        <w:rPr>
          <w:rFonts w:hint="eastAsia" w:ascii="宋体" w:hAnsi="宋体"/>
          <w:b/>
          <w:bCs/>
          <w:szCs w:val="21"/>
        </w:rPr>
        <w:t>.</w:t>
      </w:r>
      <w:r>
        <w:rPr>
          <w:rFonts w:hint="eastAsia"/>
          <w:bCs/>
          <w:szCs w:val="21"/>
        </w:rPr>
        <w:t>1的有关规定;</w:t>
      </w:r>
    </w:p>
    <w:p>
      <w:pPr>
        <w:spacing w:line="240" w:lineRule="auto"/>
        <w:ind w:firstLine="421" w:firstLineChars="200"/>
        <w:rPr>
          <w:bCs/>
          <w:szCs w:val="21"/>
        </w:rPr>
      </w:pPr>
      <w:r>
        <w:rPr>
          <w:rFonts w:hint="eastAsia"/>
          <w:b/>
          <w:bCs/>
          <w:szCs w:val="21"/>
        </w:rPr>
        <w:t>2</w:t>
      </w:r>
      <w:r>
        <w:rPr>
          <w:b/>
          <w:bCs/>
          <w:szCs w:val="21"/>
        </w:rPr>
        <w:t xml:space="preserve"> </w:t>
      </w:r>
      <w:r>
        <w:rPr>
          <w:rFonts w:hint="eastAsia"/>
          <w:bCs/>
          <w:szCs w:val="21"/>
        </w:rPr>
        <w:t xml:space="preserve"> 轻钢骨架外部、中部、内部可分别设置防护层、隔离层、保温隔汽层和内饰层，并根据使用条件设置防水透气材料、空气间层、反射材料、结构蒙皮材料和隔汽材料等;</w:t>
      </w:r>
    </w:p>
    <w:p>
      <w:pPr>
        <w:spacing w:line="240" w:lineRule="auto"/>
        <w:ind w:firstLine="421" w:firstLineChars="200"/>
        <w:rPr>
          <w:bCs/>
          <w:szCs w:val="21"/>
        </w:rPr>
      </w:pPr>
      <w:r>
        <w:rPr>
          <w:rFonts w:hint="eastAsia"/>
          <w:b/>
          <w:bCs/>
          <w:szCs w:val="21"/>
        </w:rPr>
        <w:t xml:space="preserve">3 </w:t>
      </w:r>
      <w:r>
        <w:rPr>
          <w:rFonts w:hint="eastAsia"/>
          <w:bCs/>
          <w:szCs w:val="21"/>
        </w:rPr>
        <w:t>外侧墙面材料宜采用高密度纤维增强水泥平板等材料；保温隔热材料宜采用岩棉、玻璃棉等；内侧墙面材料宜采用纤维增强水泥平板、纤维增强硅酸板、防潮纸面石膏板等;</w:t>
      </w:r>
    </w:p>
    <w:p>
      <w:pPr>
        <w:spacing w:line="240" w:lineRule="auto"/>
        <w:ind w:firstLine="421" w:firstLineChars="200"/>
        <w:rPr>
          <w:bCs/>
          <w:szCs w:val="21"/>
        </w:rPr>
      </w:pPr>
      <w:r>
        <w:rPr>
          <w:rFonts w:hint="eastAsia"/>
          <w:b/>
          <w:bCs/>
          <w:szCs w:val="21"/>
        </w:rPr>
        <w:t>4</w:t>
      </w:r>
      <w:r>
        <w:rPr>
          <w:b/>
          <w:bCs/>
          <w:szCs w:val="21"/>
        </w:rPr>
        <w:t xml:space="preserve"> </w:t>
      </w:r>
      <w:r>
        <w:rPr>
          <w:rFonts w:hint="eastAsia"/>
          <w:b/>
          <w:bCs/>
          <w:szCs w:val="21"/>
        </w:rPr>
        <w:t xml:space="preserve"> </w:t>
      </w:r>
      <w:r>
        <w:rPr>
          <w:rFonts w:hint="eastAsia"/>
          <w:bCs/>
          <w:szCs w:val="21"/>
        </w:rPr>
        <w:t>轻钢龙骨外观、尺寸及力学性能应符合现行国家标准《建筑用轻钢龙骨》GB/T</w:t>
      </w:r>
      <w:r>
        <w:rPr>
          <w:bCs/>
          <w:szCs w:val="21"/>
        </w:rPr>
        <w:t xml:space="preserve"> </w:t>
      </w:r>
      <w:r>
        <w:rPr>
          <w:rFonts w:hint="eastAsia"/>
          <w:bCs/>
          <w:szCs w:val="21"/>
        </w:rPr>
        <w:t>11981的有关规定。骨架组合外墙用轻钢龙骨壁厚不应小于0</w:t>
      </w:r>
      <w:r>
        <w:rPr>
          <w:rFonts w:hint="eastAsia" w:ascii="宋体" w:hAnsi="宋体"/>
          <w:b/>
          <w:bCs/>
          <w:szCs w:val="21"/>
        </w:rPr>
        <w:t>.</w:t>
      </w:r>
      <w:r>
        <w:rPr>
          <w:rFonts w:hint="eastAsia"/>
          <w:bCs/>
          <w:szCs w:val="21"/>
        </w:rPr>
        <w:t>7mm，骨架组合隔墙用龙骨壁厚不应小于0</w:t>
      </w:r>
      <w:r>
        <w:rPr>
          <w:rFonts w:hint="eastAsia" w:ascii="宋体" w:hAnsi="宋体"/>
          <w:b/>
          <w:bCs/>
          <w:szCs w:val="21"/>
        </w:rPr>
        <w:t>.</w:t>
      </w:r>
      <w:r>
        <w:rPr>
          <w:rFonts w:hint="eastAsia"/>
          <w:bCs/>
          <w:szCs w:val="21"/>
        </w:rPr>
        <w:t>6mm。轻钢龙骨及龙骨组件的双面镀锌量不宜小于180g/㎡;</w:t>
      </w:r>
    </w:p>
    <w:p>
      <w:pPr>
        <w:spacing w:line="240" w:lineRule="auto"/>
        <w:ind w:firstLine="421" w:firstLineChars="200"/>
        <w:rPr>
          <w:bCs/>
          <w:szCs w:val="21"/>
        </w:rPr>
      </w:pPr>
      <w:r>
        <w:rPr>
          <w:rFonts w:hint="eastAsia"/>
          <w:b/>
          <w:bCs/>
          <w:szCs w:val="21"/>
        </w:rPr>
        <w:t xml:space="preserve">5 </w:t>
      </w:r>
      <w:r>
        <w:rPr>
          <w:b/>
          <w:bCs/>
          <w:szCs w:val="21"/>
        </w:rPr>
        <w:t xml:space="preserve"> </w:t>
      </w:r>
      <w:r>
        <w:rPr>
          <w:rFonts w:hint="eastAsia"/>
          <w:bCs/>
          <w:szCs w:val="21"/>
        </w:rPr>
        <w:t>面板与轻钢龙骨骨架应连接牢固，无脱层、翘曲、折裂及缺损，不得出现空鼓和剥落。</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13 </w:t>
      </w:r>
      <w:r>
        <w:rPr>
          <w:b/>
          <w:bCs/>
          <w:szCs w:val="21"/>
        </w:rPr>
        <w:t xml:space="preserve"> </w:t>
      </w:r>
      <w:r>
        <w:rPr>
          <w:rFonts w:hint="eastAsia"/>
          <w:bCs/>
          <w:szCs w:val="21"/>
        </w:rPr>
        <w:t>轻质条板外墙应符合下列规定：</w:t>
      </w:r>
    </w:p>
    <w:p>
      <w:pPr>
        <w:spacing w:line="240" w:lineRule="auto"/>
        <w:ind w:firstLine="421" w:firstLineChars="200"/>
        <w:rPr>
          <w:bCs/>
          <w:szCs w:val="21"/>
        </w:rPr>
      </w:pPr>
      <w:r>
        <w:rPr>
          <w:rFonts w:hint="eastAsia"/>
          <w:b/>
          <w:bCs/>
          <w:szCs w:val="21"/>
        </w:rPr>
        <w:t>1</w:t>
      </w:r>
      <w:r>
        <w:rPr>
          <w:b/>
          <w:bCs/>
          <w:szCs w:val="21"/>
        </w:rPr>
        <w:t xml:space="preserve"> </w:t>
      </w:r>
      <w:r>
        <w:rPr>
          <w:rFonts w:hint="eastAsia"/>
          <w:bCs/>
          <w:szCs w:val="21"/>
        </w:rPr>
        <w:t xml:space="preserve"> 根据已有应用实践，钢结构装配式建筑采用轻质条板作外墙时，宜采用蒸压加气混凝土条板（ALC条板)、复合夹芯条板等非空心外墙板材，通过外挂、和内嵌等方式连接固定，可用于多层和高层钢结构公共建筑和居住建筑的外墙。</w:t>
      </w:r>
    </w:p>
    <w:p>
      <w:pPr>
        <w:spacing w:line="240" w:lineRule="auto"/>
        <w:ind w:firstLine="421" w:firstLineChars="200"/>
        <w:rPr>
          <w:bCs/>
          <w:szCs w:val="21"/>
        </w:rPr>
      </w:pPr>
      <w:r>
        <w:rPr>
          <w:rFonts w:hint="eastAsia"/>
          <w:b/>
          <w:bCs/>
          <w:szCs w:val="21"/>
        </w:rPr>
        <w:t>2</w:t>
      </w:r>
      <w:r>
        <w:rPr>
          <w:rFonts w:hint="eastAsia"/>
          <w:bCs/>
          <w:szCs w:val="21"/>
        </w:rPr>
        <w:t xml:space="preserve"> </w:t>
      </w:r>
      <w:r>
        <w:rPr>
          <w:bCs/>
          <w:szCs w:val="21"/>
        </w:rPr>
        <w:t xml:space="preserve"> </w:t>
      </w:r>
      <w:r>
        <w:rPr>
          <w:rFonts w:hint="eastAsia"/>
          <w:bCs/>
          <w:szCs w:val="21"/>
        </w:rPr>
        <w:t>条板外墙的连接件应保证足够强度，满足层间位移、外力撞击、风压载荷等情况下有效连接。有抗震要求的条板外墙，宜采用柔性连接措施，如与主结构连接处预留伸缩缝、墙板之间间断设置伸缩缝、墙体通过辅加构造柱与主结构采用插件式连接等措施，以当主体结构达到弹塑性层间位移角限值时墙板不被破坏。</w:t>
      </w:r>
    </w:p>
    <w:p>
      <w:pPr>
        <w:spacing w:line="240" w:lineRule="auto"/>
        <w:ind w:firstLine="421" w:firstLineChars="200"/>
        <w:rPr>
          <w:bCs/>
          <w:szCs w:val="21"/>
        </w:rPr>
      </w:pPr>
      <w:r>
        <w:rPr>
          <w:rFonts w:hint="eastAsia"/>
          <w:b/>
          <w:bCs/>
          <w:szCs w:val="21"/>
        </w:rPr>
        <w:t xml:space="preserve">3 </w:t>
      </w:r>
      <w:r>
        <w:rPr>
          <w:b/>
          <w:bCs/>
          <w:szCs w:val="21"/>
        </w:rPr>
        <w:t xml:space="preserve"> </w:t>
      </w:r>
      <w:r>
        <w:rPr>
          <w:rFonts w:hint="eastAsia"/>
          <w:bCs/>
          <w:szCs w:val="21"/>
        </w:rPr>
        <w:t>墙板宜根据设计要求采用定制规格，以尽量减少上下接板和补板处理。除另行增加辅加结构梁柱外，采用接板安装的外墙板，其安装高度应符合《建筑轻质条板隔墙技术规程》JGJ/T</w:t>
      </w:r>
      <w:r>
        <w:rPr>
          <w:bCs/>
          <w:szCs w:val="21"/>
        </w:rPr>
        <w:t xml:space="preserve"> </w:t>
      </w:r>
      <w:r>
        <w:rPr>
          <w:rFonts w:hint="eastAsia"/>
          <w:bCs/>
          <w:szCs w:val="21"/>
        </w:rPr>
        <w:t>157相关规定。</w:t>
      </w:r>
    </w:p>
    <w:p>
      <w:pPr>
        <w:spacing w:line="240" w:lineRule="auto"/>
        <w:ind w:firstLine="421" w:firstLineChars="200"/>
        <w:rPr>
          <w:bCs/>
          <w:szCs w:val="21"/>
        </w:rPr>
      </w:pPr>
      <w:r>
        <w:rPr>
          <w:rFonts w:hint="eastAsia"/>
          <w:b/>
          <w:bCs/>
          <w:szCs w:val="21"/>
        </w:rPr>
        <w:t xml:space="preserve">4 </w:t>
      </w:r>
      <w:r>
        <w:rPr>
          <w:b/>
          <w:bCs/>
          <w:szCs w:val="21"/>
        </w:rPr>
        <w:t xml:space="preserve"> </w:t>
      </w:r>
      <w:r>
        <w:rPr>
          <w:rFonts w:hint="eastAsia"/>
          <w:bCs/>
          <w:szCs w:val="21"/>
        </w:rPr>
        <w:t>设计时应明确对墙板材料吊挂力和抗撞性能要求，墙板上需要吊挂重物或设备时，不得单点固定，应在设计时考虑加固措施，两点的间距应大于300mm。预埋件和锚固件均应做防腐或防锈处理，并避免预埋铁件外露。</w:t>
      </w:r>
    </w:p>
    <w:p>
      <w:pPr>
        <w:spacing w:line="240" w:lineRule="auto"/>
        <w:ind w:firstLine="421" w:firstLineChars="200"/>
        <w:rPr>
          <w:bCs/>
          <w:szCs w:val="21"/>
        </w:rPr>
      </w:pPr>
      <w:r>
        <w:rPr>
          <w:rFonts w:hint="eastAsia"/>
          <w:b/>
          <w:bCs/>
          <w:szCs w:val="21"/>
        </w:rPr>
        <w:t xml:space="preserve">5 </w:t>
      </w:r>
      <w:r>
        <w:rPr>
          <w:b/>
          <w:bCs/>
          <w:szCs w:val="21"/>
        </w:rPr>
        <w:t xml:space="preserve"> </w:t>
      </w:r>
      <w:r>
        <w:rPr>
          <w:rFonts w:hint="eastAsia"/>
          <w:bCs/>
          <w:szCs w:val="21"/>
        </w:rPr>
        <w:t>轻质条板外墙的防火性能应符合国家标准的相关规定，试验检测应符合国家标准的相关规定。条板外墙的耐火极限试验方法应按照《建筑构件耐火试验方法》GB/T</w:t>
      </w:r>
      <w:r>
        <w:rPr>
          <w:bCs/>
          <w:szCs w:val="21"/>
        </w:rPr>
        <w:t xml:space="preserve"> </w:t>
      </w:r>
      <w:r>
        <w:rPr>
          <w:rFonts w:hint="eastAsia"/>
          <w:bCs/>
          <w:szCs w:val="21"/>
        </w:rPr>
        <w:t>9978标准进行，应不低于委托单位要求指标，并应符合现行规范《建筑设计防火规范》GB</w:t>
      </w:r>
      <w:r>
        <w:rPr>
          <w:bCs/>
          <w:szCs w:val="21"/>
        </w:rPr>
        <w:t xml:space="preserve"> </w:t>
      </w:r>
      <w:r>
        <w:rPr>
          <w:rFonts w:hint="eastAsia"/>
          <w:bCs/>
          <w:szCs w:val="21"/>
        </w:rPr>
        <w:t>50016的有关规定。</w:t>
      </w:r>
    </w:p>
    <w:p>
      <w:pPr>
        <w:spacing w:line="240" w:lineRule="auto"/>
        <w:ind w:firstLine="421" w:firstLineChars="200"/>
        <w:rPr>
          <w:bCs/>
          <w:szCs w:val="21"/>
        </w:rPr>
      </w:pPr>
      <w:r>
        <w:rPr>
          <w:rFonts w:hint="eastAsia"/>
          <w:b/>
          <w:bCs/>
          <w:szCs w:val="21"/>
        </w:rPr>
        <w:t xml:space="preserve">6 </w:t>
      </w:r>
      <w:r>
        <w:rPr>
          <w:b/>
          <w:bCs/>
          <w:szCs w:val="21"/>
        </w:rPr>
        <w:t xml:space="preserve"> </w:t>
      </w:r>
      <w:r>
        <w:rPr>
          <w:rFonts w:hint="eastAsia"/>
          <w:bCs/>
          <w:szCs w:val="21"/>
        </w:rPr>
        <w:t>轻质条板外墙的接缝应严格按照国家标准和行业标准相关要求处理，接缝处应采取不少于一道材料防水和构造防水相结合的做法，当板缝空腔需设置导水管排水时，板缝内侧应增设气密条密封构造。对于有较高防水防潮要求位置，如卫生间、厨房等区域，宜在楼面设置200mm反梁作为挡水带，外墙条板固定在反梁上，接缝可适当采用改性聚合物砂浆、防水耐候密封胶等防水性能可靠材料。轻质墙体外侧应采用专用防水界面剂进行全面涂装，并满足《建筑外墙防水工程技术规程》JGJ/T</w:t>
      </w:r>
      <w:r>
        <w:rPr>
          <w:bCs/>
          <w:szCs w:val="21"/>
        </w:rPr>
        <w:t xml:space="preserve"> </w:t>
      </w:r>
      <w:r>
        <w:rPr>
          <w:rFonts w:hint="eastAsia"/>
          <w:bCs/>
          <w:szCs w:val="21"/>
        </w:rPr>
        <w:t>235的相关要求。卫生间外墙内侧应设置完整的防水层。</w:t>
      </w:r>
    </w:p>
    <w:p>
      <w:pPr>
        <w:spacing w:line="240" w:lineRule="auto"/>
        <w:ind w:firstLine="421" w:firstLineChars="200"/>
        <w:rPr>
          <w:bCs/>
          <w:szCs w:val="21"/>
        </w:rPr>
      </w:pPr>
      <w:r>
        <w:rPr>
          <w:rFonts w:hint="eastAsia"/>
          <w:b/>
          <w:bCs/>
          <w:szCs w:val="21"/>
        </w:rPr>
        <w:t xml:space="preserve">7 </w:t>
      </w:r>
      <w:r>
        <w:rPr>
          <w:b/>
          <w:bCs/>
          <w:szCs w:val="21"/>
        </w:rPr>
        <w:t xml:space="preserve"> </w:t>
      </w:r>
      <w:r>
        <w:rPr>
          <w:rFonts w:hint="eastAsia"/>
          <w:bCs/>
          <w:szCs w:val="21"/>
        </w:rPr>
        <w:t>条板外墙应做外饰面防护层，不仅要符合建筑设计美观要求，也是提高条板耐久性、防水性和气密性的重要措施。常用外饰面层包括防水涂料、面砖、石材、金属和纤维增强水泥外墙装饰挂板等，可采用涂覆、粘贴、干挂、粘挂结合等连接方式。</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14 </w:t>
      </w:r>
      <w:r>
        <w:rPr>
          <w:b/>
          <w:bCs/>
          <w:szCs w:val="21"/>
        </w:rPr>
        <w:t xml:space="preserve"> </w:t>
      </w:r>
      <w:r>
        <w:rPr>
          <w:rFonts w:hint="eastAsia"/>
          <w:bCs/>
          <w:szCs w:val="21"/>
        </w:rPr>
        <w:t>一体化组合外墙应符合下列规定：</w:t>
      </w:r>
    </w:p>
    <w:p>
      <w:pPr>
        <w:spacing w:line="240" w:lineRule="auto"/>
        <w:ind w:firstLine="421" w:firstLineChars="200"/>
        <w:rPr>
          <w:bCs/>
          <w:szCs w:val="21"/>
        </w:rPr>
      </w:pPr>
      <w:r>
        <w:rPr>
          <w:rFonts w:hint="eastAsia"/>
          <w:b/>
          <w:bCs/>
          <w:szCs w:val="21"/>
        </w:rPr>
        <w:t>1</w:t>
      </w:r>
      <w:r>
        <w:rPr>
          <w:rFonts w:hint="eastAsia"/>
          <w:bCs/>
          <w:szCs w:val="21"/>
        </w:rPr>
        <w:t xml:space="preserve"> </w:t>
      </w:r>
      <w:r>
        <w:rPr>
          <w:bCs/>
          <w:szCs w:val="21"/>
        </w:rPr>
        <w:t xml:space="preserve"> </w:t>
      </w:r>
      <w:r>
        <w:rPr>
          <w:rFonts w:hint="eastAsia"/>
          <w:bCs/>
          <w:szCs w:val="21"/>
        </w:rPr>
        <w:t>一体化组合外墙与主结构的连接锚固点，除满足外围护墙体自重荷载、风荷载和极限温度变形作用的承载能力外，还要预留充分余地，以防止地震或其它偶发性因素而产生的突然破坏。采用螺栓连接的墙体连接件，应有可靠的防松驰、防滑脱措施；采用外挂或插接的墙体连接件，应有可靠的防滑脱措施。</w:t>
      </w:r>
    </w:p>
    <w:p>
      <w:pPr>
        <w:spacing w:line="240" w:lineRule="auto"/>
        <w:ind w:firstLine="421" w:firstLineChars="200"/>
        <w:rPr>
          <w:bCs/>
          <w:szCs w:val="21"/>
        </w:rPr>
      </w:pPr>
      <w:r>
        <w:rPr>
          <w:rFonts w:hint="eastAsia"/>
          <w:b/>
          <w:bCs/>
          <w:szCs w:val="21"/>
        </w:rPr>
        <w:t xml:space="preserve">2 </w:t>
      </w:r>
      <w:r>
        <w:rPr>
          <w:b/>
          <w:bCs/>
          <w:szCs w:val="21"/>
        </w:rPr>
        <w:t xml:space="preserve"> </w:t>
      </w:r>
      <w:r>
        <w:rPr>
          <w:rFonts w:hint="eastAsia"/>
          <w:bCs/>
          <w:szCs w:val="21"/>
        </w:rPr>
        <w:t>一体化组合外墙的装饰面板宜采用无机预涂装纤维水泥板、纤维增强水泥装饰平板、石材蜂窝板、钢石复合装饰挂板等块材饰面，结合建筑整体效果和分割要求，与墙体单元组合采用粘贴连接、粘铆结合、穿透支承、背栓连接、挂件连接等方式。</w:t>
      </w:r>
    </w:p>
    <w:p>
      <w:pPr>
        <w:pStyle w:val="4"/>
        <w:spacing w:before="240" w:after="240" w:line="240" w:lineRule="auto"/>
        <w:jc w:val="center"/>
        <w:rPr>
          <w:rFonts w:ascii="黑体" w:hAnsi="黑体" w:eastAsia="黑体"/>
          <w:b w:val="0"/>
          <w:sz w:val="21"/>
          <w:szCs w:val="21"/>
        </w:rPr>
      </w:pPr>
      <w:bookmarkStart w:id="136" w:name="_Toc118357509"/>
      <w:bookmarkStart w:id="137" w:name="_Toc118314513"/>
      <w:r>
        <w:rPr>
          <w:rFonts w:hint="eastAsia" w:ascii="Times New Roman" w:hAnsi="Times New Roman"/>
          <w:sz w:val="21"/>
          <w:szCs w:val="21"/>
        </w:rPr>
        <w:t>6</w:t>
      </w:r>
      <w:r>
        <w:rPr>
          <w:rFonts w:hint="eastAsia" w:ascii="宋体" w:hAnsi="宋体"/>
          <w:sz w:val="21"/>
          <w:szCs w:val="21"/>
        </w:rPr>
        <w:t>.</w:t>
      </w:r>
      <w:r>
        <w:rPr>
          <w:rFonts w:hint="eastAsia" w:ascii="Times New Roman" w:hAnsi="Times New Roman"/>
          <w:sz w:val="21"/>
          <w:szCs w:val="21"/>
        </w:rPr>
        <w:t xml:space="preserve">4 </w:t>
      </w:r>
      <w:r>
        <w:rPr>
          <w:rFonts w:hint="eastAsia" w:ascii="Times New Roman" w:hAnsi="Times New Roman"/>
          <w:b w:val="0"/>
          <w:sz w:val="21"/>
          <w:szCs w:val="21"/>
        </w:rPr>
        <w:t xml:space="preserve"> </w:t>
      </w:r>
      <w:r>
        <w:rPr>
          <w:rFonts w:hint="eastAsia" w:ascii="黑体" w:hAnsi="黑体" w:eastAsia="黑体"/>
          <w:b w:val="0"/>
          <w:sz w:val="21"/>
          <w:szCs w:val="21"/>
        </w:rPr>
        <w:t>屋面围护系统</w:t>
      </w:r>
      <w:bookmarkEnd w:id="136"/>
      <w:bookmarkEnd w:id="137"/>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钢结构装配式住宅建筑的材料部品选用设计文件应注明找坡材料，防水层选用的材料、厚度、规格及其主要性能，保温层选用的材料、厚度、燃烧性能及其主要性能，接缝密封防水选用的材料及其主要性能等。构造设计、排水设计、防雷设计要求应满足具有良好的排水功能和阻止水浸入建筑物内的作用，冬季保温减少建筑物的热损失和防止结露，夏季隔热降低建筑物对太阳辐射热的吸收，适应主体结构的受力变形和温差变形，承受风、雪荷载及雷电的作用不产生破坏，具有阻止火势蔓延的性能，满足建筑外形美观和使用的要求。</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采用工业化装配式屋面系统，将屋盖部分防水、保温及外保护系统采用装配集成，避免现场湿作业。太阳能系统的电气性能应符合国家现行标准《民用建筑太阳能热水系统应用技术规范》GB</w:t>
      </w:r>
      <w:r>
        <w:rPr>
          <w:bCs/>
          <w:szCs w:val="21"/>
        </w:rPr>
        <w:t xml:space="preserve"> </w:t>
      </w:r>
      <w:r>
        <w:rPr>
          <w:rFonts w:hint="eastAsia"/>
          <w:bCs/>
          <w:szCs w:val="21"/>
        </w:rPr>
        <w:t>50364、《民用建筑太阳能空调工程技术规范》GB</w:t>
      </w:r>
      <w:r>
        <w:rPr>
          <w:bCs/>
          <w:szCs w:val="21"/>
        </w:rPr>
        <w:t xml:space="preserve"> </w:t>
      </w:r>
      <w:r>
        <w:rPr>
          <w:rFonts w:hint="eastAsia"/>
          <w:bCs/>
          <w:szCs w:val="21"/>
        </w:rPr>
        <w:t>50787、《民用建筑太阳能光伏系统应用技术规范》JGJ</w:t>
      </w:r>
      <w:r>
        <w:rPr>
          <w:bCs/>
          <w:szCs w:val="21"/>
        </w:rPr>
        <w:t xml:space="preserve"> </w:t>
      </w:r>
      <w:r>
        <w:rPr>
          <w:rFonts w:hint="eastAsia"/>
          <w:bCs/>
          <w:szCs w:val="21"/>
        </w:rPr>
        <w:t>203和广东省《公共和居住建筑太阳能热水系统一体化设计施工及验收规程》DBJ</w:t>
      </w:r>
      <w:r>
        <w:rPr>
          <w:bCs/>
          <w:szCs w:val="21"/>
        </w:rPr>
        <w:t xml:space="preserve"> </w:t>
      </w:r>
      <w:r>
        <w:rPr>
          <w:rFonts w:hint="eastAsia"/>
          <w:bCs/>
          <w:szCs w:val="21"/>
        </w:rPr>
        <w:t>15-52的有关规定。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3</w:t>
      </w:r>
      <w:r>
        <w:rPr>
          <w:b/>
          <w:bCs/>
          <w:szCs w:val="21"/>
        </w:rPr>
        <w:t xml:space="preserve"> </w:t>
      </w:r>
      <w:r>
        <w:rPr>
          <w:rFonts w:hint="eastAsia"/>
          <w:b/>
          <w:bCs/>
          <w:szCs w:val="21"/>
        </w:rPr>
        <w:t xml:space="preserve"> </w:t>
      </w:r>
      <w:r>
        <w:rPr>
          <w:rFonts w:hint="eastAsia"/>
          <w:bCs/>
          <w:szCs w:val="21"/>
        </w:rPr>
        <w:t>如果屋面需要采用结构找坡，钢结构具有一定的优势。</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采光顶与金属屋面的设计应符合国家现行标准《采光顶与金属屋面技术规程》JGJ</w:t>
      </w:r>
      <w:r>
        <w:rPr>
          <w:bCs/>
          <w:szCs w:val="21"/>
        </w:rPr>
        <w:t xml:space="preserve"> </w:t>
      </w:r>
      <w:r>
        <w:rPr>
          <w:rFonts w:hint="eastAsia"/>
          <w:bCs/>
          <w:szCs w:val="21"/>
        </w:rPr>
        <w:t>255、广东省标准《强风易发多发地区金属屋面技术规程》DBJT</w:t>
      </w:r>
      <w:r>
        <w:rPr>
          <w:bCs/>
          <w:szCs w:val="21"/>
        </w:rPr>
        <w:t xml:space="preserve"> </w:t>
      </w:r>
      <w:r>
        <w:rPr>
          <w:rFonts w:hint="eastAsia"/>
          <w:bCs/>
          <w:szCs w:val="21"/>
        </w:rPr>
        <w:t>15-148的有关规定。</w:t>
      </w:r>
    </w:p>
    <w:p>
      <w:pPr>
        <w:spacing w:line="240" w:lineRule="auto"/>
        <w:rPr>
          <w:bCs/>
          <w:szCs w:val="21"/>
        </w:rPr>
      </w:pPr>
      <w:r>
        <w:rPr>
          <w:rFonts w:hint="eastAsia"/>
          <w:b/>
          <w:bCs/>
          <w:szCs w:val="21"/>
        </w:rPr>
        <w:t>6</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b/>
          <w:bCs/>
          <w:szCs w:val="21"/>
        </w:rPr>
        <w:t xml:space="preserve"> </w:t>
      </w:r>
      <w:r>
        <w:rPr>
          <w:rFonts w:hint="eastAsia"/>
          <w:bCs/>
          <w:szCs w:val="21"/>
        </w:rPr>
        <w:t xml:space="preserve">坡屋面上有凸起的天窗、天沟侧壁或其他构件时，防水构造应考虑雨水冲力的影响。 </w:t>
      </w:r>
    </w:p>
    <w:p>
      <w:pPr>
        <w:rPr>
          <w:rFonts w:ascii="宋体" w:hAnsi="宋体"/>
          <w:szCs w:val="21"/>
        </w:rPr>
      </w:pP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38" w:name="_Toc118357510"/>
      <w:bookmarkStart w:id="139" w:name="_Toc118314514"/>
      <w:r>
        <w:rPr>
          <w:rFonts w:hint="eastAsia"/>
          <w:sz w:val="28"/>
          <w:szCs w:val="21"/>
        </w:rPr>
        <w:t xml:space="preserve">7  </w:t>
      </w:r>
      <w:r>
        <w:rPr>
          <w:rFonts w:hint="eastAsia" w:ascii="宋体" w:hAnsi="宋体"/>
          <w:b/>
          <w:bCs/>
          <w:sz w:val="28"/>
          <w:szCs w:val="21"/>
        </w:rPr>
        <w:t>设备与管线系统设计</w:t>
      </w:r>
      <w:bookmarkEnd w:id="138"/>
      <w:bookmarkEnd w:id="139"/>
    </w:p>
    <w:p>
      <w:pPr>
        <w:pStyle w:val="4"/>
        <w:spacing w:before="240" w:after="240" w:line="240" w:lineRule="auto"/>
        <w:jc w:val="center"/>
        <w:rPr>
          <w:rFonts w:ascii="黑体" w:hAnsi="黑体" w:eastAsia="黑体"/>
          <w:sz w:val="21"/>
          <w:szCs w:val="21"/>
        </w:rPr>
      </w:pPr>
      <w:bookmarkStart w:id="140" w:name="_Toc118357511"/>
      <w:bookmarkStart w:id="141" w:name="_Toc118314515"/>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40"/>
      <w:bookmarkEnd w:id="141"/>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2~7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钢结构装配式住宅的设备系统的设计协同和管线综合设计是钢结构住宅建筑设计的重要内容，其管线综合设计应符合各专业之间、各种设备及管线间安装施工的精细化设计以及系统性布线的要求，管线宜集中布置、避免交叉。可以采用包含BIM在内的多种技术手段开展三维管线综合设计，各专业设备管线布置应相互协调，在满足住宅使用功能的前提下尽量集中，少占套内空间，便于维修更换。</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鉴于居住建筑有着明确的产权划分，具有公共功能的设备及管线应设于公共区域，以便日常维护检修。用于本套住宅的设备与管线在维修更换时不应对其他住户造成影响。</w:t>
      </w:r>
    </w:p>
    <w:p>
      <w:pPr>
        <w:pStyle w:val="4"/>
        <w:spacing w:before="240" w:after="240" w:line="240" w:lineRule="auto"/>
        <w:jc w:val="center"/>
        <w:rPr>
          <w:rFonts w:ascii="黑体" w:hAnsi="黑体" w:eastAsia="黑体"/>
          <w:b w:val="0"/>
          <w:sz w:val="21"/>
          <w:szCs w:val="21"/>
        </w:rPr>
      </w:pPr>
      <w:bookmarkStart w:id="142" w:name="_Toc118314516"/>
      <w:bookmarkStart w:id="143" w:name="_Toc118357512"/>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给 水 排 水</w:t>
      </w:r>
      <w:bookmarkEnd w:id="142"/>
      <w:bookmarkEnd w:id="143"/>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装配式钢结构住宅建筑应避免连接卫生器具的排水支管向下穿越至下层住户，国家标准《住宅设计规范》GB</w:t>
      </w:r>
      <w:r>
        <w:rPr>
          <w:bCs/>
          <w:szCs w:val="21"/>
        </w:rPr>
        <w:t xml:space="preserve"> </w:t>
      </w:r>
      <w:r>
        <w:rPr>
          <w:rFonts w:hint="eastAsia"/>
          <w:bCs/>
          <w:szCs w:val="21"/>
        </w:rPr>
        <w:t>50096-2011第8</w:t>
      </w:r>
      <w:r>
        <w:rPr>
          <w:rFonts w:hint="eastAsia" w:ascii="宋体" w:hAnsi="宋体"/>
          <w:b/>
          <w:bCs/>
          <w:szCs w:val="21"/>
        </w:rPr>
        <w:t>.</w:t>
      </w:r>
      <w:r>
        <w:rPr>
          <w:rFonts w:hint="eastAsia"/>
          <w:bCs/>
          <w:szCs w:val="21"/>
        </w:rPr>
        <w:t>2</w:t>
      </w:r>
      <w:r>
        <w:rPr>
          <w:rFonts w:hint="eastAsia" w:ascii="宋体" w:hAnsi="宋体"/>
          <w:b/>
          <w:bCs/>
          <w:szCs w:val="21"/>
        </w:rPr>
        <w:t>.</w:t>
      </w:r>
      <w:r>
        <w:rPr>
          <w:rFonts w:hint="eastAsia"/>
          <w:bCs/>
          <w:szCs w:val="21"/>
        </w:rPr>
        <w:t>8条规定，污废水排水横管宜设置在本层套内。同层排水分为降板及不降板两种方式，当采用降板方式时，降板区域内的管道渗漏或地面渗水易对钢结构本体造成腐蚀，极大缩短建筑寿命，同时也会对下层住户造成影响，因此，需考虑降板范围的下层防水及积水排出措施，当采用整体卫浴时可结合防水底盘的性能综合考虑降板范围的防水及排水措施。积水的排出宜设置独立的排水系统或采用间接排水方式。</w:t>
      </w:r>
    </w:p>
    <w:p>
      <w:pPr>
        <w:pStyle w:val="4"/>
        <w:spacing w:before="240" w:after="240" w:line="240" w:lineRule="auto"/>
        <w:jc w:val="center"/>
        <w:rPr>
          <w:rFonts w:ascii="黑体" w:hAnsi="黑体" w:eastAsia="黑体"/>
          <w:b w:val="0"/>
          <w:sz w:val="21"/>
          <w:szCs w:val="21"/>
        </w:rPr>
      </w:pPr>
      <w:bookmarkStart w:id="144" w:name="_Toc118357513"/>
      <w:bookmarkStart w:id="145" w:name="_Toc118314517"/>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供暖、通风、空调及燃气</w:t>
      </w:r>
      <w:bookmarkEnd w:id="144"/>
      <w:bookmarkEnd w:id="145"/>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本条文规定了钢结构装配式住宅的通风、空调、防排烟、燃气系统设计应符合的现行国家标准，除列出的标准之外，也应符合广东省及深圳市的相关地方标准。</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深圳市地处夏热冬暖地区，夏季酷热、冬季湿冷，随着人民生活水平的不断提高，对夏季供冷、冬季供热的需求也逐年增加。对于住宅建筑选择集中空调（单冷或冷暖型）系统方式，还是分体空调（单冷或冷暖型）方式，应根据项目定位、使用需求、政策要求、经济技术分析等因素综合确定，所选设备能效等级，应满足相关规范要求。</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住宅新风应充分利用自然通风，当自然通风不能满足要求时，可按国家标准《民用建筑供暖通风与空气调节设计规范》GB</w:t>
      </w:r>
      <w:r>
        <w:rPr>
          <w:bCs/>
          <w:szCs w:val="21"/>
        </w:rPr>
        <w:t xml:space="preserve"> </w:t>
      </w:r>
      <w:r>
        <w:rPr>
          <w:rFonts w:hint="eastAsia"/>
          <w:bCs/>
          <w:szCs w:val="21"/>
        </w:rPr>
        <w:t>50736-2012第6</w:t>
      </w:r>
      <w:r>
        <w:rPr>
          <w:rFonts w:hint="eastAsia" w:ascii="宋体" w:hAnsi="宋体"/>
          <w:b/>
          <w:bCs/>
          <w:szCs w:val="21"/>
        </w:rPr>
        <w:t>.</w:t>
      </w:r>
      <w:r>
        <w:rPr>
          <w:rFonts w:hint="eastAsia"/>
          <w:bCs/>
          <w:szCs w:val="21"/>
        </w:rPr>
        <w:t>3</w:t>
      </w:r>
      <w:r>
        <w:rPr>
          <w:rFonts w:hint="eastAsia" w:ascii="宋体" w:hAnsi="宋体"/>
          <w:b/>
          <w:bCs/>
          <w:szCs w:val="21"/>
        </w:rPr>
        <w:t>.</w:t>
      </w:r>
      <w:r>
        <w:rPr>
          <w:rFonts w:hint="eastAsia"/>
          <w:bCs/>
          <w:szCs w:val="21"/>
        </w:rPr>
        <w:t>4条的规定“自然通风不能满足室内卫生要求的住宅，应设置机械通风系统或自然通风与机械通风结合的复合通风系统”执行。新风系统形式有“机械送风、机械排风；自然送风、机械排风和机械送风、自然排风”三种形式，据此可形成不同类型的住宅新风系统，每种新风系统类型都有其适用范围，应根据住宅的具体情况进行合理选择。在选择新风系统时还应考虑经济性，对用户的实际需求、设备价格和后期的运行维护等进行分析，做到技术经济合理。</w:t>
      </w:r>
    </w:p>
    <w:p>
      <w:pPr>
        <w:spacing w:line="240" w:lineRule="auto"/>
        <w:ind w:firstLine="420" w:firstLineChars="200"/>
        <w:rPr>
          <w:bCs/>
          <w:szCs w:val="21"/>
        </w:rPr>
      </w:pPr>
      <w:r>
        <w:rPr>
          <w:rFonts w:hint="eastAsia"/>
          <w:bCs/>
          <w:szCs w:val="21"/>
        </w:rPr>
        <w:t>住宅新风系统的设计，需进行各房间的新风量设计， 以保证室内空气质量。新风系统的新风量应取按换气次数计算的最小设计新风量和按卧室与起居室计算的新风量之和的较大者。</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4</w:t>
      </w:r>
      <w:r>
        <w:rPr>
          <w:b/>
          <w:bCs/>
          <w:szCs w:val="21"/>
        </w:rPr>
        <w:t xml:space="preserve"> </w:t>
      </w:r>
      <w:r>
        <w:rPr>
          <w:rFonts w:hint="eastAsia"/>
          <w:b/>
          <w:bCs/>
          <w:szCs w:val="21"/>
        </w:rPr>
        <w:t xml:space="preserve"> </w:t>
      </w:r>
      <w:r>
        <w:rPr>
          <w:rFonts w:hint="eastAsia"/>
          <w:bCs/>
          <w:szCs w:val="21"/>
        </w:rPr>
        <w:t>当卫生间和厨房通过共用排气道排出屋面时，屋面应设置风帽，可减少室外风对排风的影响。当通过外墙直接排至室外，当排放点位于建筑迎风面且室外风速较大时，会出现排放不畅甚至可能倒灌，且排风中的污渍对墙体可能有不同程度的污染，影响外立面的整洁，因此应采取相应措施。</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5 </w:t>
      </w:r>
      <w:r>
        <w:rPr>
          <w:b/>
          <w:bCs/>
          <w:szCs w:val="21"/>
        </w:rPr>
        <w:t xml:space="preserve"> </w:t>
      </w:r>
      <w:r>
        <w:rPr>
          <w:rFonts w:hint="eastAsia"/>
          <w:bCs/>
          <w:szCs w:val="21"/>
        </w:rPr>
        <w:t>暖通空调系统的冷热输送管道，应符合现行国家标准《民用建筑供暖通风与空气调节设计规范》GB 50736的有关规定，并应采取防结露和绝热措施。冷热水管道固定于梁柱等钢构件上时，应采用绝热支架。</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6 </w:t>
      </w:r>
      <w:r>
        <w:rPr>
          <w:b/>
          <w:bCs/>
          <w:szCs w:val="21"/>
        </w:rPr>
        <w:t xml:space="preserve"> </w:t>
      </w:r>
      <w:r>
        <w:rPr>
          <w:rFonts w:hint="eastAsia"/>
          <w:bCs/>
          <w:szCs w:val="21"/>
        </w:rPr>
        <w:t>本条文对暖通空调设备、管线的施工、运维便利性进行了规定。</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本条文明确了对暖通空调的管材的要求。因钢结构构件容易传导振动，因此对支吊架提出了应有防颤措施的要求。</w:t>
      </w:r>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8 </w:t>
      </w:r>
      <w:r>
        <w:rPr>
          <w:b/>
          <w:bCs/>
          <w:szCs w:val="21"/>
        </w:rPr>
        <w:t xml:space="preserve"> </w:t>
      </w:r>
      <w:r>
        <w:rPr>
          <w:rFonts w:hint="eastAsia"/>
          <w:bCs/>
          <w:szCs w:val="21"/>
        </w:rPr>
        <w:t>本条文明确了暖通空调设备安装的要求，当设备直接或间接固定于钢结构主体上时，应设隔振、减振措施。暖通空调系统应选择低噪声、低振动的设备，并根据要求采取相应的消声、隔振和减振措施。冷热管道需考虑热胀冷缩对钢结构构件的影响，必要时设置补偿措施。</w:t>
      </w:r>
    </w:p>
    <w:p>
      <w:pPr>
        <w:pStyle w:val="4"/>
        <w:spacing w:before="240" w:after="240" w:line="240" w:lineRule="auto"/>
        <w:jc w:val="center"/>
        <w:rPr>
          <w:rFonts w:ascii="黑体" w:hAnsi="黑体" w:eastAsia="黑体"/>
          <w:b w:val="0"/>
          <w:sz w:val="21"/>
          <w:szCs w:val="21"/>
        </w:rPr>
      </w:pPr>
      <w:bookmarkStart w:id="146" w:name="_Toc118357514"/>
      <w:bookmarkStart w:id="147" w:name="_Toc118314518"/>
      <w:r>
        <w:rPr>
          <w:rFonts w:hint="eastAsia" w:ascii="Times New Roman" w:hAnsi="Times New Roman"/>
          <w:sz w:val="21"/>
          <w:szCs w:val="21"/>
        </w:rPr>
        <w:t>7</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 xml:space="preserve"> 电气和智能化</w:t>
      </w:r>
      <w:bookmarkEnd w:id="146"/>
      <w:bookmarkEnd w:id="147"/>
    </w:p>
    <w:p>
      <w:pPr>
        <w:spacing w:line="240" w:lineRule="auto"/>
        <w:rPr>
          <w:bCs/>
          <w:szCs w:val="21"/>
        </w:rPr>
      </w:pPr>
      <w:r>
        <w:rPr>
          <w:rFonts w:hint="eastAsia"/>
          <w:b/>
          <w:bCs/>
          <w:szCs w:val="21"/>
        </w:rPr>
        <w:t>7</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2</w:t>
      </w:r>
      <w:r>
        <w:rPr>
          <w:b/>
          <w:bCs/>
          <w:szCs w:val="21"/>
        </w:rPr>
        <w:t xml:space="preserve">  </w:t>
      </w:r>
      <w:r>
        <w:rPr>
          <w:rFonts w:hint="eastAsia"/>
          <w:bCs/>
          <w:szCs w:val="21"/>
        </w:rPr>
        <w:t>电气管线与建筑结构体分离是装配式住宅设备及管线设计的一个重要部分，宜将套内电气管线布置在套内楼板垫层内、吊顶内、隔墙空腔内及隔墙的面上等部位，不仅使设备及管线的敷设满足工业化施工建造要求，也可保证日常维修和后期更换的便捷性。</w:t>
      </w:r>
    </w:p>
    <w:p>
      <w:pPr>
        <w:spacing w:line="240" w:lineRule="auto"/>
        <w:ind w:firstLine="420" w:firstLineChars="200"/>
        <w:rPr>
          <w:bCs/>
          <w:szCs w:val="21"/>
        </w:rPr>
      </w:pPr>
      <w:r>
        <w:rPr>
          <w:rFonts w:hint="eastAsia"/>
          <w:bCs/>
          <w:szCs w:val="21"/>
        </w:rPr>
        <w:t>住宅建筑的公共能耗情况复杂，当未分项计量时，不利于物业管理也难以发现能耗不合理之处。要求对公共的冷热源、输配系统、照明、其他动力系统等设置独立分项计量，有助于分析住宅公共各项能耗水平和能耗结构是否合理，发现问题并提出改进措施，从而有效实施住宅公共节能电气和智能化设备的尺寸和定位宜与建筑模数相协调，尽量统一，做到设计美观、施工安装便捷。在工厂预制的墙板和楼板，由于限制在现场剔凿，故要求设计精细化，预留孔洞和接线盒应准确定位。</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48" w:name="_Toc118357515"/>
      <w:bookmarkStart w:id="149" w:name="_Toc118314519"/>
      <w:r>
        <w:rPr>
          <w:rFonts w:hint="eastAsia"/>
          <w:sz w:val="28"/>
          <w:szCs w:val="21"/>
        </w:rPr>
        <w:t xml:space="preserve">8  </w:t>
      </w:r>
      <w:r>
        <w:rPr>
          <w:rFonts w:hint="eastAsia" w:ascii="宋体" w:hAnsi="宋体"/>
          <w:b/>
          <w:bCs/>
          <w:sz w:val="28"/>
          <w:szCs w:val="21"/>
        </w:rPr>
        <w:t>内装系统设计</w:t>
      </w:r>
      <w:bookmarkEnd w:id="148"/>
      <w:bookmarkEnd w:id="149"/>
    </w:p>
    <w:p>
      <w:pPr>
        <w:pStyle w:val="4"/>
        <w:spacing w:before="240" w:after="240" w:line="240" w:lineRule="auto"/>
        <w:jc w:val="center"/>
        <w:rPr>
          <w:rFonts w:ascii="黑体" w:hAnsi="黑体" w:eastAsia="黑体"/>
          <w:sz w:val="21"/>
          <w:szCs w:val="21"/>
        </w:rPr>
      </w:pPr>
      <w:bookmarkStart w:id="150" w:name="_Toc118314520"/>
      <w:bookmarkStart w:id="151" w:name="_Toc118357516"/>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50"/>
      <w:bookmarkEnd w:id="151"/>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现阶段采用传统的湿作业为主的装修方式仍较多，其装修方式粗放、材料消耗高、劳动效率低、装修品质参差不齐，亟须向采用干式方法施工的装修方式转变。向采用工业化生产的集成化、模块化的内装部品进行装配式装修方向发展。</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2</w:t>
      </w:r>
      <w:r>
        <w:rPr>
          <w:b/>
          <w:bCs/>
          <w:szCs w:val="21"/>
        </w:rPr>
        <w:t xml:space="preserve"> </w:t>
      </w:r>
      <w:r>
        <w:rPr>
          <w:rFonts w:hint="eastAsia"/>
          <w:b/>
          <w:bCs/>
          <w:szCs w:val="21"/>
        </w:rPr>
        <w:t xml:space="preserve"> </w:t>
      </w:r>
      <w:r>
        <w:rPr>
          <w:rFonts w:hint="eastAsia"/>
          <w:bCs/>
          <w:szCs w:val="21"/>
        </w:rPr>
        <w:t>装配式装修设计应考虑不同人群、不同阶段的使用需求，钢结构装配式住宅建筑因跨度大、少柱等特点可以灵活的实现空间布置，更好的实现户型的可变性。</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4</w:t>
      </w:r>
      <w:r>
        <w:rPr>
          <w:b/>
          <w:bCs/>
          <w:szCs w:val="21"/>
        </w:rPr>
        <w:t xml:space="preserve"> </w:t>
      </w:r>
      <w:r>
        <w:rPr>
          <w:rFonts w:hint="eastAsia"/>
          <w:bCs/>
          <w:szCs w:val="21"/>
        </w:rPr>
        <w:t>钢结构装配式住宅建筑应考虑内装部品的后期维问题，根据不同材料、设备、设施具有不同的使用年限，内装部品设计应符合使用维护和维修改造要求。主要应遵循以下原则：应以使用年限较短部品的维修和更换不破坏使用年限较长部品为原则；以住户专用部品的维修与更换不影响共用部品为原则；第三，应以住户专用部品的维修和更换不影响其他住户为原则。</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8 </w:t>
      </w:r>
      <w:r>
        <w:rPr>
          <w:b/>
          <w:bCs/>
          <w:szCs w:val="21"/>
        </w:rPr>
        <w:t xml:space="preserve"> </w:t>
      </w:r>
      <w:r>
        <w:rPr>
          <w:rFonts w:hint="eastAsia"/>
          <w:bCs/>
          <w:szCs w:val="21"/>
        </w:rPr>
        <w:t>钢结构装配式住宅建筑结构出现变形位移会对装饰面造成开裂、挤压等问题，在装修设计时应考虑在不同部位的接口处设置工艺缝、收边线条等消除结构对装饰面的影响。</w:t>
      </w:r>
    </w:p>
    <w:p>
      <w:pPr>
        <w:pStyle w:val="4"/>
        <w:spacing w:before="240" w:after="240" w:line="240" w:lineRule="auto"/>
        <w:jc w:val="center"/>
        <w:rPr>
          <w:rFonts w:ascii="黑体" w:hAnsi="黑体" w:eastAsia="黑体"/>
          <w:b w:val="0"/>
          <w:sz w:val="21"/>
          <w:szCs w:val="21"/>
        </w:rPr>
      </w:pPr>
      <w:bookmarkStart w:id="152" w:name="_Toc118314521"/>
      <w:bookmarkStart w:id="153" w:name="_Toc118357517"/>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隔墙与墙面</w:t>
      </w:r>
      <w:bookmarkEnd w:id="152"/>
      <w:bookmarkEnd w:id="153"/>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w:t>
      </w:r>
      <w:r>
        <w:rPr>
          <w:b/>
          <w:bCs/>
          <w:szCs w:val="21"/>
        </w:rPr>
        <w:t xml:space="preserve">  </w:t>
      </w:r>
      <w:r>
        <w:rPr>
          <w:rFonts w:hint="eastAsia"/>
          <w:bCs/>
          <w:szCs w:val="21"/>
        </w:rPr>
        <w:t>钢结构装配式住宅宜采用装配式轻质内隔墙，既可利用轻质隔墙的空腔敷设管线，有利于工业化建造施工与管理，也有利于后期空间的灵活改造和使用维护。</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2</w:t>
      </w:r>
      <w:r>
        <w:rPr>
          <w:b/>
          <w:bCs/>
          <w:szCs w:val="21"/>
        </w:rPr>
        <w:t xml:space="preserve">  </w:t>
      </w:r>
      <w:r>
        <w:rPr>
          <w:rFonts w:hint="eastAsia"/>
          <w:bCs/>
          <w:szCs w:val="21"/>
        </w:rPr>
        <w:t>根据目前实施项目调研情况，一些采用轻质条板隔墙采取与建筑主体变形相协调技术措施重视程度不够，产生开裂等问题。</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5</w:t>
      </w:r>
      <w:r>
        <w:rPr>
          <w:b/>
          <w:bCs/>
          <w:szCs w:val="21"/>
        </w:rPr>
        <w:t xml:space="preserve"> </w:t>
      </w:r>
      <w:r>
        <w:rPr>
          <w:rFonts w:hint="eastAsia"/>
          <w:bCs/>
          <w:szCs w:val="21"/>
        </w:rPr>
        <w:t xml:space="preserve"> 条板隔墙按材质和构造可分为空心条板、实心条板、复合夹芯条板、发泡陶瓷条板等，在设计选用时，除应满足隔声、防火、安全等性能指标外，还应考虑其经济性、适用性。</w:t>
      </w:r>
    </w:p>
    <w:p>
      <w:pPr>
        <w:pStyle w:val="4"/>
        <w:spacing w:before="240" w:after="240" w:line="240" w:lineRule="auto"/>
        <w:jc w:val="center"/>
        <w:rPr>
          <w:rFonts w:ascii="黑体" w:hAnsi="黑体" w:eastAsia="黑体"/>
          <w:b w:val="0"/>
          <w:sz w:val="21"/>
          <w:szCs w:val="21"/>
        </w:rPr>
      </w:pPr>
      <w:bookmarkStart w:id="154" w:name="_Toc118314522"/>
      <w:bookmarkStart w:id="155" w:name="_Toc118357518"/>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b w:val="0"/>
          <w:sz w:val="21"/>
          <w:szCs w:val="21"/>
        </w:rPr>
        <w:t xml:space="preserve">吊 </w:t>
      </w:r>
      <w:r>
        <w:rPr>
          <w:rFonts w:ascii="黑体" w:hAnsi="黑体" w:eastAsia="黑体"/>
          <w:b w:val="0"/>
          <w:sz w:val="21"/>
          <w:szCs w:val="21"/>
        </w:rPr>
        <w:t xml:space="preserve">   </w:t>
      </w:r>
      <w:r>
        <w:rPr>
          <w:rFonts w:hint="eastAsia" w:ascii="黑体" w:hAnsi="黑体" w:eastAsia="黑体"/>
          <w:b w:val="0"/>
          <w:sz w:val="21"/>
          <w:szCs w:val="21"/>
        </w:rPr>
        <w:t>顶</w:t>
      </w:r>
      <w:bookmarkEnd w:id="154"/>
      <w:bookmarkEnd w:id="155"/>
    </w:p>
    <w:p>
      <w:pPr>
        <w:spacing w:line="240" w:lineRule="auto"/>
        <w:ind w:firstLine="420" w:firstLineChars="200"/>
        <w:rPr>
          <w:bCs/>
          <w:szCs w:val="21"/>
        </w:rPr>
      </w:pPr>
      <w:r>
        <w:rPr>
          <w:rFonts w:hint="eastAsia"/>
          <w:bCs/>
          <w:szCs w:val="21"/>
        </w:rPr>
        <w:t>采用装配式吊顶，有利于工业化建造施工与管理，也有利于后期空间的灵活改造和使用维护。电气管线敷设在吊顶空间时，应采用专用吊件固定在结构楼板上，在楼板应预先设置吊杆安装件，不宜在楼板上钻孔、打眼和射钉等。</w:t>
      </w:r>
    </w:p>
    <w:p>
      <w:pPr>
        <w:pStyle w:val="4"/>
        <w:spacing w:before="240" w:after="240" w:line="240" w:lineRule="auto"/>
        <w:jc w:val="center"/>
        <w:rPr>
          <w:rFonts w:ascii="黑体" w:hAnsi="黑体" w:eastAsia="黑体"/>
          <w:b w:val="0"/>
          <w:sz w:val="21"/>
          <w:szCs w:val="21"/>
        </w:rPr>
      </w:pPr>
      <w:bookmarkStart w:id="156" w:name="_Toc118357519"/>
      <w:bookmarkStart w:id="157" w:name="_Toc118314523"/>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4 </w:t>
      </w:r>
      <w:r>
        <w:rPr>
          <w:rFonts w:hint="eastAsia" w:ascii="黑体" w:hAnsi="黑体" w:eastAsia="黑体"/>
          <w:b w:val="0"/>
          <w:sz w:val="21"/>
          <w:szCs w:val="21"/>
        </w:rPr>
        <w:t xml:space="preserve"> 楼 地 面</w:t>
      </w:r>
      <w:bookmarkEnd w:id="156"/>
      <w:bookmarkEnd w:id="157"/>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宜采用工厂化生产的架空地板系统集成化部品，可实现管线与建筑结构体分离，保证管线维修与更换不破坏建筑结构体。同时，架空地板系统的集成化部品也有良好性能，可提高室内环境质量。</w:t>
      </w:r>
    </w:p>
    <w:p>
      <w:pPr>
        <w:spacing w:line="240" w:lineRule="auto"/>
        <w:rPr>
          <w:bCs/>
          <w:szCs w:val="21"/>
        </w:rPr>
      </w:pPr>
      <w:r>
        <w:rPr>
          <w:rFonts w:hint="eastAsia"/>
          <w:bCs/>
          <w:szCs w:val="21"/>
        </w:rPr>
        <w:t>架空楼地面对结构地面平整度要求相对较低，干铺和薄贴对楼地面平整度要求较高，楼地面混凝土找平需一次成型，并满足平整度和装饰标高的要求，若因不能达到要求需要二次找平的，宜采用干式工法找平。直接铺设饰面材料或薄贴瓷砖、石材。</w:t>
      </w:r>
    </w:p>
    <w:p>
      <w:pPr>
        <w:spacing w:line="240" w:lineRule="auto"/>
        <w:rPr>
          <w:bCs/>
          <w:szCs w:val="21"/>
        </w:rPr>
      </w:pPr>
      <w:r>
        <w:rPr>
          <w:rFonts w:hint="eastAsia"/>
          <w:b/>
          <w:bCs/>
          <w:szCs w:val="21"/>
        </w:rPr>
        <w:t>8</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5  </w:t>
      </w:r>
      <w:r>
        <w:rPr>
          <w:rFonts w:hint="eastAsia"/>
          <w:bCs/>
          <w:szCs w:val="21"/>
        </w:rPr>
        <w:t>本条和目前深圳市内装地方标准保持一致。</w:t>
      </w:r>
    </w:p>
    <w:p>
      <w:pPr>
        <w:pStyle w:val="4"/>
        <w:spacing w:before="240" w:after="240" w:line="240" w:lineRule="auto"/>
        <w:jc w:val="center"/>
        <w:rPr>
          <w:rFonts w:ascii="黑体" w:hAnsi="黑体" w:eastAsia="黑体"/>
          <w:b w:val="0"/>
          <w:sz w:val="21"/>
          <w:szCs w:val="21"/>
        </w:rPr>
      </w:pPr>
      <w:bookmarkStart w:id="158" w:name="_Toc118357520"/>
      <w:bookmarkStart w:id="159" w:name="_Toc118314524"/>
      <w:r>
        <w:rPr>
          <w:rFonts w:hint="eastAsia" w:ascii="Times New Roman" w:hAnsi="Times New Roman"/>
          <w:sz w:val="21"/>
          <w:szCs w:val="21"/>
        </w:rPr>
        <w:t>8</w:t>
      </w:r>
      <w:r>
        <w:rPr>
          <w:rFonts w:hint="eastAsia" w:ascii="宋体" w:hAnsi="宋体"/>
          <w:sz w:val="21"/>
          <w:szCs w:val="21"/>
        </w:rPr>
        <w:t>.</w:t>
      </w:r>
      <w:r>
        <w:rPr>
          <w:rFonts w:hint="eastAsia" w:ascii="Times New Roman" w:hAnsi="Times New Roman"/>
          <w:sz w:val="21"/>
          <w:szCs w:val="21"/>
        </w:rPr>
        <w:t xml:space="preserve">5  </w:t>
      </w:r>
      <w:r>
        <w:rPr>
          <w:rFonts w:hint="eastAsia" w:ascii="黑体" w:hAnsi="黑体" w:eastAsia="黑体"/>
          <w:b w:val="0"/>
          <w:sz w:val="21"/>
          <w:szCs w:val="21"/>
        </w:rPr>
        <w:t>集成厨房与卫生间</w:t>
      </w:r>
      <w:bookmarkEnd w:id="158"/>
      <w:bookmarkEnd w:id="159"/>
    </w:p>
    <w:p>
      <w:pPr>
        <w:spacing w:line="240" w:lineRule="auto"/>
        <w:ind w:firstLine="420" w:firstLineChars="200"/>
        <w:rPr>
          <w:bCs/>
          <w:szCs w:val="21"/>
        </w:rPr>
      </w:pPr>
      <w:r>
        <w:rPr>
          <w:rFonts w:hint="eastAsia"/>
          <w:bCs/>
          <w:szCs w:val="21"/>
        </w:rPr>
        <w:t>钢结构装配式住宅宜采用集成厨房、卫生间，具备条件时可采用整体厨房、卫生间。整体厨房、整体卫浴采用标准化设计和模块化部品尺寸，便于工业化生产和管理，可为居住者提供更为多样化的选择，具有环保节能优、质量品质高等优点。工厂化生产的模块化整体厨房、整体卫浴和整体收纳单元部品，通过集成、一体化设计、装配式安装，集约实施标准化设计工业化建造，其生产安装可避免传统设计与施工方式造成的各种质量隐患、全面提升建设综合效益。</w:t>
      </w:r>
    </w:p>
    <w:p>
      <w:pPr>
        <w:spacing w:line="240" w:lineRule="auto"/>
        <w:ind w:firstLine="420" w:firstLineChars="200"/>
        <w:rPr>
          <w:bCs/>
          <w:szCs w:val="21"/>
        </w:rPr>
      </w:pPr>
      <w:r>
        <w:rPr>
          <w:rFonts w:hint="eastAsia"/>
          <w:bCs/>
          <w:szCs w:val="21"/>
        </w:rPr>
        <w:t>整体厨房、整体卫浴设计时，应与部品厂家协调土建预留净尺寸和设备管线的安装位置和要求，协调预留标准化接口，还要考虑这些模块化部品的后期维护问题。</w:t>
      </w:r>
    </w:p>
    <w:p>
      <w:pPr>
        <w:spacing w:line="240" w:lineRule="auto"/>
        <w:ind w:firstLine="420" w:firstLineChars="200"/>
        <w:rPr>
          <w:bCs/>
          <w:szCs w:val="21"/>
        </w:rPr>
      </w:pPr>
      <w:r>
        <w:rPr>
          <w:rFonts w:hint="eastAsia"/>
          <w:bCs/>
          <w:szCs w:val="21"/>
        </w:rPr>
        <w:t>厨房、卫浴等采用同层排水方式而进行结构降板的区域宜采用架空地板系统的集成化部品。架空地板内敷设给水排水或供暖管道时，其高度应根据排水管线的长度、坡度进行计算。</w:t>
      </w:r>
    </w:p>
    <w:p>
      <w:pPr>
        <w:rPr>
          <w:rFonts w:ascii="宋体" w:hAnsi="宋体"/>
          <w:szCs w:val="21"/>
        </w:rPr>
      </w:pP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60" w:name="_Toc118357521"/>
      <w:bookmarkStart w:id="161" w:name="_Toc118314525"/>
      <w:r>
        <w:rPr>
          <w:rFonts w:hint="eastAsia"/>
          <w:sz w:val="28"/>
          <w:szCs w:val="21"/>
        </w:rPr>
        <w:t xml:space="preserve">9  </w:t>
      </w:r>
      <w:r>
        <w:rPr>
          <w:rFonts w:hint="eastAsia" w:ascii="宋体" w:hAnsi="宋体"/>
          <w:b/>
          <w:bCs/>
          <w:sz w:val="28"/>
          <w:szCs w:val="21"/>
        </w:rPr>
        <w:t>部品部（构）件生产、施工安装与质量验收</w:t>
      </w:r>
      <w:bookmarkEnd w:id="160"/>
      <w:bookmarkEnd w:id="161"/>
    </w:p>
    <w:p>
      <w:pPr>
        <w:pStyle w:val="4"/>
        <w:spacing w:before="240" w:after="240" w:line="240" w:lineRule="auto"/>
        <w:jc w:val="center"/>
        <w:rPr>
          <w:rFonts w:ascii="黑体" w:hAnsi="黑体" w:eastAsia="黑体"/>
          <w:sz w:val="21"/>
          <w:szCs w:val="21"/>
        </w:rPr>
      </w:pPr>
      <w:bookmarkStart w:id="162" w:name="_Toc118357522"/>
      <w:bookmarkStart w:id="163" w:name="_Toc118314526"/>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62"/>
      <w:bookmarkEnd w:id="163"/>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钢结构装配式住宅建筑对于非标部品部(构)件产品的生产，应制定专项技术条件与标准，并应经过省级以上行业主管部门组织专家评审通过。生产和施工“按标准、有管理”进行，是实现建筑业高质量发展的保证。</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工厂化生产是推行建筑生产方式转型升级的基本要求，目的是提高效率、保证质量，要求一切按章法办事。制作和安装工艺方案应包括采用的标准规范与其他依据、加工工艺设备、材料与外购件检验、加工工艺设计；安装工艺装备、施工工艺、施工场地布置；质量检验方法、质量保证体系、生产进度计划、劳动力计划、安全生产措施与环境保护等内容。部品部（构）件生产过程及管理宜应用信息管理技术，生产工序宜形成流水作业。</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4</w:t>
      </w:r>
      <w:r>
        <w:rPr>
          <w:b/>
          <w:bCs/>
          <w:szCs w:val="21"/>
        </w:rPr>
        <w:t xml:space="preserve"> </w:t>
      </w:r>
      <w:r>
        <w:rPr>
          <w:rFonts w:hint="eastAsia"/>
          <w:b/>
          <w:bCs/>
          <w:szCs w:val="21"/>
        </w:rPr>
        <w:t xml:space="preserve"> </w:t>
      </w:r>
      <w:r>
        <w:rPr>
          <w:rFonts w:hint="eastAsia"/>
          <w:bCs/>
          <w:szCs w:val="21"/>
        </w:rPr>
        <w:t>部品部（构）件生产、安装和验收时，必须采用经计量检定、校准合格且在有效期内的计量器具，并按有关规定正确使用。制作单位、安装单位和土建单位的计量器具宜互校。</w:t>
      </w:r>
    </w:p>
    <w:p>
      <w:pPr>
        <w:pStyle w:val="4"/>
        <w:spacing w:before="240" w:after="240" w:line="240" w:lineRule="auto"/>
        <w:jc w:val="center"/>
        <w:rPr>
          <w:rFonts w:ascii="黑体" w:hAnsi="黑体" w:eastAsia="黑体"/>
          <w:b w:val="0"/>
          <w:sz w:val="21"/>
          <w:szCs w:val="21"/>
        </w:rPr>
      </w:pPr>
      <w:bookmarkStart w:id="164" w:name="_Toc118314527"/>
      <w:bookmarkStart w:id="165" w:name="_Toc118357523"/>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生 产 运 输</w:t>
      </w:r>
      <w:bookmarkEnd w:id="164"/>
      <w:bookmarkEnd w:id="165"/>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1</w:t>
      </w:r>
      <w:r>
        <w:rPr>
          <w:b/>
          <w:bCs/>
          <w:szCs w:val="21"/>
        </w:rPr>
        <w:t xml:space="preserve"> </w:t>
      </w:r>
      <w:r>
        <w:rPr>
          <w:rFonts w:hint="eastAsia"/>
          <w:b/>
          <w:bCs/>
          <w:szCs w:val="21"/>
        </w:rPr>
        <w:t xml:space="preserve"> </w:t>
      </w:r>
      <w:r>
        <w:rPr>
          <w:rFonts w:hint="eastAsia"/>
          <w:bCs/>
          <w:szCs w:val="21"/>
        </w:rPr>
        <w:t xml:space="preserve">钢构件加工制作工艺和质量除应符合现行国家标准规定外，更应注重通过一体化设计与产品技术体系特点，以保证施工安装及后续专业的顺利实施。 </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根据深圳市人民政府办公厅关于印发深圳市加快推进现代建筑业高质量发展的若干措施的通知，钢结构装配式住宅建筑钢构件与部品部（构）件应适当提高要求，并加大智能化生产应用。</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6~9</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8 </w:t>
      </w:r>
      <w:r>
        <w:rPr>
          <w:b/>
          <w:bCs/>
          <w:szCs w:val="21"/>
        </w:rPr>
        <w:t xml:space="preserve"> </w:t>
      </w:r>
      <w:r>
        <w:rPr>
          <w:rFonts w:hint="eastAsia"/>
          <w:bCs/>
          <w:szCs w:val="21"/>
        </w:rPr>
        <w:t>部品部（构）件标识应内容详细，便于运输、检验和管理，也便于各种生产过程索源。内部有重要零部件的部品部（构）件，应在标识内容中特别标明内部零部件的方位或外部连接方位，否则，可能会造成安装误差甚至错误。当需要标明部品部（构）件的运输和堆放要求时，需要明确，否则会影响运输及堆放的可行性以及安全。</w:t>
      </w:r>
    </w:p>
    <w:p>
      <w:pPr>
        <w:pStyle w:val="4"/>
        <w:spacing w:before="240" w:after="240" w:line="240" w:lineRule="auto"/>
        <w:jc w:val="center"/>
        <w:rPr>
          <w:rFonts w:ascii="黑体" w:hAnsi="黑体" w:eastAsia="黑体"/>
          <w:b w:val="0"/>
          <w:sz w:val="21"/>
          <w:szCs w:val="21"/>
        </w:rPr>
      </w:pPr>
      <w:bookmarkStart w:id="166" w:name="_Toc118357524"/>
      <w:bookmarkStart w:id="167" w:name="_Toc118314528"/>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3 </w:t>
      </w:r>
      <w:r>
        <w:rPr>
          <w:rFonts w:hint="eastAsia" w:ascii="黑体" w:hAnsi="黑体" w:eastAsia="黑体"/>
          <w:sz w:val="21"/>
          <w:szCs w:val="21"/>
        </w:rPr>
        <w:t xml:space="preserve"> </w:t>
      </w:r>
      <w:r>
        <w:rPr>
          <w:rFonts w:hint="eastAsia" w:ascii="黑体" w:hAnsi="黑体" w:eastAsia="黑体"/>
          <w:b w:val="0"/>
          <w:sz w:val="21"/>
          <w:szCs w:val="21"/>
        </w:rPr>
        <w:t>施 工 安 装</w:t>
      </w:r>
      <w:bookmarkEnd w:id="166"/>
      <w:bookmarkEnd w:id="167"/>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2</w:t>
      </w:r>
      <w:r>
        <w:rPr>
          <w:b/>
          <w:bCs/>
          <w:szCs w:val="21"/>
        </w:rPr>
        <w:t xml:space="preserve">  </w:t>
      </w:r>
      <w:r>
        <w:rPr>
          <w:rFonts w:hint="eastAsia"/>
          <w:bCs/>
          <w:szCs w:val="21"/>
        </w:rPr>
        <w:t>国家现行有关标准规定要求进行复验的材料或部品构件应按规定进行复验。</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4</w:t>
      </w:r>
      <w:r>
        <w:rPr>
          <w:b/>
          <w:bCs/>
          <w:szCs w:val="21"/>
        </w:rPr>
        <w:t xml:space="preserve">  </w:t>
      </w:r>
      <w:r>
        <w:rPr>
          <w:rFonts w:hint="eastAsia"/>
          <w:bCs/>
          <w:szCs w:val="21"/>
        </w:rPr>
        <w:t>钢结构装配式住宅的质量涉及广大普通百姓民生，关乎社会对钢结构的认知以及钢结构住宅的推广发展，应重视且严格管控其建造质量。</w:t>
      </w:r>
    </w:p>
    <w:p>
      <w:pPr>
        <w:pStyle w:val="4"/>
        <w:spacing w:before="240" w:after="240" w:line="240" w:lineRule="auto"/>
        <w:jc w:val="center"/>
        <w:rPr>
          <w:rFonts w:ascii="黑体" w:hAnsi="黑体" w:eastAsia="黑体"/>
          <w:b w:val="0"/>
          <w:sz w:val="21"/>
          <w:szCs w:val="21"/>
        </w:rPr>
      </w:pPr>
      <w:bookmarkStart w:id="168" w:name="_Toc118314529"/>
      <w:bookmarkStart w:id="169" w:name="_Toc118357525"/>
      <w:r>
        <w:rPr>
          <w:rFonts w:hint="eastAsia" w:ascii="Times New Roman" w:hAnsi="Times New Roman"/>
          <w:sz w:val="21"/>
          <w:szCs w:val="21"/>
        </w:rPr>
        <w:t>9</w:t>
      </w:r>
      <w:r>
        <w:rPr>
          <w:rFonts w:hint="eastAsia" w:ascii="宋体" w:hAnsi="宋体"/>
          <w:sz w:val="21"/>
          <w:szCs w:val="21"/>
        </w:rPr>
        <w:t>.</w:t>
      </w:r>
      <w:r>
        <w:rPr>
          <w:rFonts w:hint="eastAsia" w:ascii="Times New Roman" w:hAnsi="Times New Roman"/>
          <w:sz w:val="21"/>
          <w:szCs w:val="21"/>
        </w:rPr>
        <w:t xml:space="preserve">4 </w:t>
      </w:r>
      <w:r>
        <w:rPr>
          <w:rFonts w:hint="eastAsia" w:ascii="Times New Roman" w:hAnsi="Times New Roman"/>
          <w:b w:val="0"/>
          <w:sz w:val="21"/>
          <w:szCs w:val="21"/>
        </w:rPr>
        <w:t xml:space="preserve"> </w:t>
      </w:r>
      <w:r>
        <w:rPr>
          <w:rFonts w:hint="eastAsia" w:ascii="黑体" w:hAnsi="黑体" w:eastAsia="黑体"/>
          <w:b w:val="0"/>
          <w:sz w:val="21"/>
          <w:szCs w:val="21"/>
        </w:rPr>
        <w:t>质 量 验 收</w:t>
      </w:r>
      <w:bookmarkEnd w:id="168"/>
      <w:bookmarkEnd w:id="169"/>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1、9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2</w:t>
      </w:r>
      <w:r>
        <w:rPr>
          <w:b/>
          <w:bCs/>
          <w:szCs w:val="21"/>
        </w:rPr>
        <w:t xml:space="preserve"> </w:t>
      </w:r>
      <w:r>
        <w:rPr>
          <w:rFonts w:hint="eastAsia"/>
          <w:b/>
          <w:bCs/>
          <w:szCs w:val="21"/>
        </w:rPr>
        <w:t xml:space="preserve"> </w:t>
      </w:r>
      <w:r>
        <w:rPr>
          <w:rFonts w:hint="eastAsia"/>
          <w:bCs/>
          <w:szCs w:val="21"/>
        </w:rPr>
        <w:t>装配式钢结构住宅的分部工程划分根据现行国家标准《建筑工程施工质量验收统一标准》GB</w:t>
      </w:r>
      <w:r>
        <w:rPr>
          <w:bCs/>
          <w:szCs w:val="21"/>
        </w:rPr>
        <w:t xml:space="preserve"> </w:t>
      </w:r>
      <w:r>
        <w:rPr>
          <w:rFonts w:hint="eastAsia"/>
          <w:bCs/>
          <w:szCs w:val="21"/>
        </w:rPr>
        <w:t>50300确定。本标准表9</w:t>
      </w:r>
      <w:r>
        <w:rPr>
          <w:rFonts w:hint="eastAsia" w:ascii="宋体" w:hAnsi="宋体"/>
          <w:bCs/>
          <w:szCs w:val="21"/>
        </w:rPr>
        <w:t>.</w:t>
      </w:r>
      <w:r>
        <w:rPr>
          <w:rFonts w:hint="eastAsia"/>
          <w:bCs/>
          <w:szCs w:val="21"/>
        </w:rPr>
        <w:t>4</w:t>
      </w:r>
      <w:r>
        <w:rPr>
          <w:rFonts w:hint="eastAsia" w:ascii="宋体" w:hAnsi="宋体"/>
          <w:bCs/>
          <w:szCs w:val="21"/>
        </w:rPr>
        <w:t>.</w:t>
      </w:r>
      <w:r>
        <w:rPr>
          <w:rFonts w:hint="eastAsia"/>
          <w:bCs/>
          <w:szCs w:val="21"/>
        </w:rPr>
        <w:t>2中第1~9项为现行国家标准《建筑工程施工质量验收统一标准》GB</w:t>
      </w:r>
      <w:r>
        <w:rPr>
          <w:bCs/>
          <w:szCs w:val="21"/>
        </w:rPr>
        <w:t xml:space="preserve"> </w:t>
      </w:r>
      <w:r>
        <w:rPr>
          <w:rFonts w:hint="eastAsia"/>
          <w:bCs/>
          <w:szCs w:val="21"/>
        </w:rPr>
        <w:t>50300的要求，第10项为现行国家标准《建筑节能工程施工质量验收标准》GB</w:t>
      </w:r>
      <w:r>
        <w:rPr>
          <w:bCs/>
          <w:szCs w:val="21"/>
        </w:rPr>
        <w:t xml:space="preserve"> </w:t>
      </w:r>
      <w:r>
        <w:rPr>
          <w:rFonts w:hint="eastAsia"/>
          <w:bCs/>
          <w:szCs w:val="21"/>
        </w:rPr>
        <w:t>504</w:t>
      </w:r>
      <w:r>
        <w:rPr>
          <w:bCs/>
          <w:szCs w:val="21"/>
        </w:rPr>
        <w:t>11</w:t>
      </w:r>
      <w:r>
        <w:rPr>
          <w:rFonts w:hint="eastAsia"/>
          <w:bCs/>
          <w:szCs w:val="21"/>
        </w:rPr>
        <w:t>的要求，结合两个标准，合并一起给出本表。</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5</w:t>
      </w:r>
      <w:r>
        <w:rPr>
          <w:b/>
          <w:bCs/>
          <w:szCs w:val="21"/>
        </w:rPr>
        <w:t xml:space="preserve"> </w:t>
      </w:r>
      <w:r>
        <w:rPr>
          <w:rFonts w:hint="eastAsia"/>
          <w:bCs/>
          <w:szCs w:val="21"/>
        </w:rPr>
        <w:t xml:space="preserve"> 钢部（构）件安装和连接施工质量检验,应符合现行国家标准《钢结构工程施工质量验收标准》GB</w:t>
      </w:r>
      <w:r>
        <w:rPr>
          <w:bCs/>
          <w:szCs w:val="21"/>
        </w:rPr>
        <w:t xml:space="preserve"> </w:t>
      </w:r>
      <w:r>
        <w:rPr>
          <w:rFonts w:hint="eastAsia"/>
          <w:bCs/>
          <w:szCs w:val="21"/>
        </w:rPr>
        <w:t>50205的有关规定,本标准的规定与现行国家标准《钢结构工程施工质量验收标准》GB</w:t>
      </w:r>
      <w:r>
        <w:rPr>
          <w:bCs/>
          <w:szCs w:val="21"/>
        </w:rPr>
        <w:t xml:space="preserve"> </w:t>
      </w:r>
      <w:r>
        <w:rPr>
          <w:rFonts w:hint="eastAsia"/>
          <w:bCs/>
          <w:szCs w:val="21"/>
        </w:rPr>
        <w:t>50205的有关规定一致。</w:t>
      </w:r>
    </w:p>
    <w:p>
      <w:pPr>
        <w:spacing w:line="240" w:lineRule="auto"/>
        <w:rPr>
          <w:bCs/>
          <w:szCs w:val="21"/>
        </w:rPr>
      </w:pPr>
      <w:r>
        <w:rPr>
          <w:rFonts w:hint="eastAsia"/>
          <w:b/>
          <w:bCs/>
          <w:szCs w:val="21"/>
        </w:rPr>
        <w:t>9</w:t>
      </w:r>
      <w:r>
        <w:rPr>
          <w:rFonts w:hint="eastAsia" w:ascii="宋体" w:hAnsi="宋体"/>
          <w:b/>
          <w:bCs/>
          <w:szCs w:val="21"/>
        </w:rPr>
        <w:t>.</w:t>
      </w:r>
      <w:r>
        <w:rPr>
          <w:rFonts w:hint="eastAsia"/>
          <w:b/>
          <w:bCs/>
          <w:szCs w:val="21"/>
        </w:rPr>
        <w:t>4</w:t>
      </w:r>
      <w:r>
        <w:rPr>
          <w:rFonts w:hint="eastAsia" w:ascii="宋体" w:hAnsi="宋体"/>
          <w:b/>
          <w:bCs/>
          <w:szCs w:val="21"/>
        </w:rPr>
        <w:t>.</w:t>
      </w:r>
      <w:r>
        <w:rPr>
          <w:rFonts w:hint="eastAsia"/>
          <w:b/>
          <w:bCs/>
          <w:szCs w:val="21"/>
        </w:rPr>
        <w:t xml:space="preserve">7 </w:t>
      </w:r>
      <w:r>
        <w:rPr>
          <w:b/>
          <w:bCs/>
          <w:szCs w:val="21"/>
        </w:rPr>
        <w:t xml:space="preserve"> </w:t>
      </w:r>
      <w:r>
        <w:rPr>
          <w:rFonts w:hint="eastAsia"/>
          <w:bCs/>
          <w:szCs w:val="21"/>
        </w:rPr>
        <w:t>装配式钢结构住宅围护墙体与主体结构连接中的锚栓应按规范要求进行拉拔试验，各类连接方式均应按相应施工规范要求进行安装牢固性、防水性和气密性检查验收。</w:t>
      </w: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70" w:name="_Toc118357526"/>
      <w:bookmarkStart w:id="171" w:name="_Toc118314530"/>
      <w:r>
        <w:rPr>
          <w:rFonts w:hint="eastAsia"/>
          <w:sz w:val="28"/>
          <w:szCs w:val="21"/>
        </w:rPr>
        <w:t xml:space="preserve">10  </w:t>
      </w:r>
      <w:r>
        <w:rPr>
          <w:rFonts w:hint="eastAsia" w:ascii="宋体" w:hAnsi="宋体"/>
          <w:b/>
          <w:bCs/>
          <w:sz w:val="28"/>
          <w:szCs w:val="21"/>
        </w:rPr>
        <w:t>智能建造与信息化应用</w:t>
      </w:r>
      <w:bookmarkEnd w:id="170"/>
      <w:bookmarkEnd w:id="171"/>
    </w:p>
    <w:p>
      <w:pPr>
        <w:pStyle w:val="4"/>
        <w:spacing w:before="240" w:after="240" w:line="240" w:lineRule="auto"/>
        <w:jc w:val="center"/>
        <w:rPr>
          <w:rFonts w:ascii="黑体" w:hAnsi="黑体" w:eastAsia="黑体"/>
          <w:sz w:val="21"/>
          <w:szCs w:val="21"/>
        </w:rPr>
      </w:pPr>
      <w:bookmarkStart w:id="172" w:name="_Toc118314531"/>
      <w:bookmarkStart w:id="173" w:name="_Toc118357527"/>
      <w:r>
        <w:rPr>
          <w:rFonts w:hint="eastAsia" w:ascii="Times New Roman" w:hAnsi="Times New Roman"/>
          <w:sz w:val="21"/>
          <w:szCs w:val="21"/>
        </w:rPr>
        <w:t>10</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72"/>
      <w:bookmarkEnd w:id="173"/>
    </w:p>
    <w:p>
      <w:pPr>
        <w:spacing w:line="240" w:lineRule="auto"/>
        <w:ind w:firstLine="420" w:firstLineChars="200"/>
        <w:rPr>
          <w:bCs/>
          <w:szCs w:val="21"/>
        </w:rPr>
      </w:pPr>
      <w:r>
        <w:rPr>
          <w:rFonts w:hint="eastAsia"/>
          <w:bCs/>
          <w:szCs w:val="21"/>
        </w:rPr>
        <w:t>根据住房和城乡建设部等部门关于推动智能建造与建筑工业化协同发展的指导意见【建市〔2020〕60号】，深圳市人民政府办公厅关于印发深圳市加快推进现代建筑业高质量发展的若干措施的通知，加快推动新一代信息技术与建筑工业化技术协同发展，在建造全过程加大建筑信息模型（BIM）、互联网、物联网、大数据、云计算、移动通信、人工智能、区块链等新技术的集成与创新应用。</w:t>
      </w:r>
    </w:p>
    <w:p>
      <w:pPr>
        <w:pStyle w:val="4"/>
        <w:spacing w:before="240" w:after="240" w:line="240" w:lineRule="auto"/>
        <w:jc w:val="center"/>
        <w:rPr>
          <w:rFonts w:ascii="黑体" w:hAnsi="黑体" w:eastAsia="黑体"/>
          <w:b w:val="0"/>
          <w:sz w:val="21"/>
          <w:szCs w:val="21"/>
        </w:rPr>
      </w:pPr>
      <w:bookmarkStart w:id="174" w:name="_Toc118357528"/>
      <w:bookmarkStart w:id="175" w:name="_Toc118314532"/>
      <w:r>
        <w:rPr>
          <w:rFonts w:hint="eastAsia" w:ascii="Times New Roman" w:hAnsi="Times New Roman"/>
          <w:sz w:val="21"/>
          <w:szCs w:val="21"/>
        </w:rPr>
        <w:t>10</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sz w:val="21"/>
          <w:szCs w:val="21"/>
        </w:rPr>
        <w:t xml:space="preserve"> </w:t>
      </w:r>
      <w:r>
        <w:rPr>
          <w:rFonts w:hint="eastAsia" w:ascii="黑体" w:hAnsi="黑体" w:eastAsia="黑体"/>
          <w:b w:val="0"/>
          <w:sz w:val="21"/>
          <w:szCs w:val="21"/>
        </w:rPr>
        <w:t>数字化设计</w:t>
      </w:r>
      <w:bookmarkEnd w:id="174"/>
      <w:bookmarkEnd w:id="175"/>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钢结构装配式住宅不宜采用 BIM 后验证方式进行设计，BIM 后验证方式在项目的施工准备阶段开始介入，发现问题不及时，不利于模块的集成化建造。并且随着项目的实施，设计图纸和模型的一致性难以保证。</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对于大型项目，BIM 模型的数量庞大，从提高设计和应用效率的角度出发，应根据具体阶段、使用功能的需求建立具有合理精度的 BIM 模型，过于注重精度会造成较大的资源浪费。</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4 </w:t>
      </w:r>
      <w:r>
        <w:rPr>
          <w:b/>
          <w:bCs/>
          <w:szCs w:val="21"/>
        </w:rPr>
        <w:t xml:space="preserve"> </w:t>
      </w:r>
      <w:r>
        <w:rPr>
          <w:rFonts w:hint="eastAsia"/>
          <w:bCs/>
          <w:szCs w:val="21"/>
        </w:rPr>
        <w:t>构件族是构成BIM模型的基本单元，建立符合项目自身条件特点的构件单元族库能充分体现出钢结构装配式的标准化设计理念，起到提质增效作用。结合客观条件对钢结构构件单元进行优化拆分是形成合理的钢结构装配式深化方案的前提。</w:t>
      </w:r>
    </w:p>
    <w:p>
      <w:pPr>
        <w:spacing w:line="240" w:lineRule="auto"/>
        <w:rPr>
          <w:bCs/>
          <w:szCs w:val="21"/>
        </w:rPr>
      </w:pPr>
      <w:r>
        <w:rPr>
          <w:rFonts w:hint="eastAsia"/>
          <w:b/>
          <w:bCs/>
          <w:szCs w:val="21"/>
        </w:rPr>
        <w:t>10</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5</w:t>
      </w:r>
      <w:r>
        <w:rPr>
          <w:b/>
          <w:bCs/>
          <w:szCs w:val="21"/>
        </w:rPr>
        <w:t xml:space="preserve"> </w:t>
      </w:r>
      <w:r>
        <w:rPr>
          <w:rFonts w:hint="eastAsia"/>
          <w:b/>
          <w:bCs/>
          <w:szCs w:val="21"/>
        </w:rPr>
        <w:t xml:space="preserve"> </w:t>
      </w:r>
      <w:r>
        <w:rPr>
          <w:rFonts w:hint="eastAsia"/>
          <w:bCs/>
          <w:szCs w:val="21"/>
        </w:rPr>
        <w:t>设计阶段BIM常用于各专业协同设计间的碰撞检查分析和施工模拟分析，以避免设计变更及工程返工，为工程节约资源与工期成本。在与土建、机电、幕墙等专业BIM团队协同工作中，将创建好的钢结构BIM模型与土建、机电、幕墙等专业BIM模型整合，前提是要对结构预制构件内的机电设备、管线、预留洞槽等做精确定位，并且考虑构件碰撞、工序交叉、衔接配合。</w:t>
      </w:r>
    </w:p>
    <w:p>
      <w:pPr>
        <w:spacing w:line="240" w:lineRule="auto"/>
        <w:ind w:firstLine="420" w:firstLineChars="200"/>
        <w:rPr>
          <w:bCs/>
          <w:szCs w:val="21"/>
        </w:rPr>
      </w:pPr>
      <w:r>
        <w:rPr>
          <w:rFonts w:hint="eastAsia"/>
          <w:bCs/>
          <w:szCs w:val="21"/>
        </w:rPr>
        <w:t>装配式构件安装模拟包括预制构件安装模拟、机电管线安装模拟、集成厨房、集成卫生间安装模拟、单元式幕墙安装模拟、整体模块安装工艺模拟等。</w:t>
      </w:r>
    </w:p>
    <w:p>
      <w:pPr>
        <w:spacing w:line="240" w:lineRule="auto"/>
        <w:ind w:firstLine="420" w:firstLineChars="200"/>
        <w:rPr>
          <w:bCs/>
          <w:szCs w:val="21"/>
        </w:rPr>
      </w:pPr>
      <w:r>
        <w:rPr>
          <w:rFonts w:hint="eastAsia"/>
          <w:bCs/>
          <w:szCs w:val="21"/>
        </w:rPr>
        <w:t>借助BIM软件帮助建筑师建立限额设计、造价控制的成本意识。建筑碳排放计算分析已作为强制要求列入在现行建筑节能标准中，因此BIM模型应包含建筑材料碳足迹相关信息，以便于在建筑材料、产品选择上能宜采用低碳排放产品，并进行碳排放计算分析。</w:t>
      </w:r>
    </w:p>
    <w:p>
      <w:pPr>
        <w:rPr>
          <w:rFonts w:ascii="宋体" w:hAnsi="宋体"/>
          <w:szCs w:val="21"/>
        </w:rPr>
      </w:pPr>
    </w:p>
    <w:p>
      <w:pPr>
        <w:widowControl/>
        <w:spacing w:line="240" w:lineRule="auto"/>
        <w:jc w:val="left"/>
        <w:rPr>
          <w:sz w:val="28"/>
          <w:szCs w:val="21"/>
        </w:rPr>
      </w:pPr>
      <w:r>
        <w:rPr>
          <w:sz w:val="28"/>
          <w:szCs w:val="21"/>
        </w:rPr>
        <w:br w:type="page"/>
      </w:r>
    </w:p>
    <w:p>
      <w:pPr>
        <w:keepNext/>
        <w:keepLines/>
        <w:spacing w:after="360" w:line="240" w:lineRule="auto"/>
        <w:jc w:val="center"/>
        <w:outlineLvl w:val="0"/>
        <w:rPr>
          <w:sz w:val="28"/>
          <w:szCs w:val="21"/>
        </w:rPr>
      </w:pPr>
      <w:bookmarkStart w:id="176" w:name="_Toc118357529"/>
      <w:bookmarkStart w:id="177" w:name="_Toc118314533"/>
      <w:r>
        <w:rPr>
          <w:rFonts w:hint="eastAsia"/>
          <w:sz w:val="28"/>
          <w:szCs w:val="21"/>
        </w:rPr>
        <w:t xml:space="preserve">11  </w:t>
      </w:r>
      <w:r>
        <w:rPr>
          <w:rFonts w:hint="eastAsia" w:ascii="宋体" w:hAnsi="宋体"/>
          <w:b/>
          <w:bCs/>
          <w:sz w:val="28"/>
          <w:szCs w:val="21"/>
        </w:rPr>
        <w:t>使用与维护管理</w:t>
      </w:r>
      <w:bookmarkEnd w:id="176"/>
      <w:bookmarkEnd w:id="177"/>
    </w:p>
    <w:p>
      <w:pPr>
        <w:pStyle w:val="4"/>
        <w:spacing w:before="240" w:after="240" w:line="240" w:lineRule="auto"/>
        <w:jc w:val="center"/>
        <w:rPr>
          <w:rFonts w:ascii="Times New Roman" w:hAnsi="Times New Roman"/>
          <w:sz w:val="21"/>
          <w:szCs w:val="21"/>
        </w:rPr>
      </w:pPr>
      <w:bookmarkStart w:id="178" w:name="_Toc118357530"/>
      <w:bookmarkStart w:id="179" w:name="_Toc118314534"/>
      <w:r>
        <w:rPr>
          <w:rFonts w:hint="eastAsia" w:ascii="Times New Roman" w:hAnsi="Times New Roman"/>
          <w:sz w:val="21"/>
          <w:szCs w:val="21"/>
        </w:rPr>
        <w:t>11</w:t>
      </w:r>
      <w:r>
        <w:rPr>
          <w:rFonts w:hint="eastAsia" w:ascii="宋体" w:hAnsi="宋体"/>
          <w:sz w:val="21"/>
          <w:szCs w:val="21"/>
        </w:rPr>
        <w:t>.</w:t>
      </w:r>
      <w:r>
        <w:rPr>
          <w:rFonts w:hint="eastAsia" w:ascii="Times New Roman" w:hAnsi="Times New Roman"/>
          <w:sz w:val="21"/>
          <w:szCs w:val="21"/>
        </w:rPr>
        <w:t xml:space="preserve">1  </w:t>
      </w:r>
      <w:r>
        <w:rPr>
          <w:rFonts w:hint="eastAsia" w:ascii="黑体" w:hAnsi="黑体" w:eastAsia="黑体"/>
          <w:b w:val="0"/>
          <w:sz w:val="21"/>
          <w:szCs w:val="21"/>
        </w:rPr>
        <w:t>一 般 规 定</w:t>
      </w:r>
      <w:bookmarkEnd w:id="178"/>
      <w:bookmarkEnd w:id="179"/>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1</w:t>
      </w:r>
      <w:r>
        <w:rPr>
          <w:rFonts w:hint="eastAsia"/>
          <w:bCs/>
          <w:szCs w:val="21"/>
        </w:rPr>
        <w:t xml:space="preserve"> </w:t>
      </w:r>
      <w:r>
        <w:rPr>
          <w:bCs/>
          <w:szCs w:val="21"/>
        </w:rPr>
        <w:t xml:space="preserve"> </w:t>
      </w:r>
      <w:r>
        <w:rPr>
          <w:rFonts w:hint="eastAsia"/>
          <w:bCs/>
          <w:szCs w:val="21"/>
        </w:rPr>
        <w:t>设计条件、使用性质及使用环境是贯穿建筑设计、施工、验收、使用与维护的基本前提，尤其是装饰装修荷载和使用荷载的改变，对建筑结构的安全性有直接影响。相关内容也是“住宅使用说明书”的编制基础。</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2</w:t>
      </w:r>
      <w:r>
        <w:rPr>
          <w:rFonts w:hint="eastAsia"/>
          <w:bCs/>
          <w:szCs w:val="21"/>
        </w:rPr>
        <w:t xml:space="preserve"> </w:t>
      </w:r>
      <w:r>
        <w:rPr>
          <w:bCs/>
          <w:szCs w:val="21"/>
        </w:rPr>
        <w:t xml:space="preserve"> </w:t>
      </w:r>
      <w:r>
        <w:rPr>
          <w:rFonts w:hint="eastAsia"/>
          <w:bCs/>
          <w:szCs w:val="21"/>
        </w:rPr>
        <w:t>装配式钢结构住宅建筑应按住房和城乡建设部《商品住宅实行住宅质量保证书和住宅使用说明书制度的规定》，房地产开发企业应当在商品房交付使用时向购买人提供“住宅质量保证书”和“住宅使用说明书”。《建设工程质量管理条例》等对建筑工程最低保修期限作出了规定。针对住宅建筑的特点，提出了相应部品部件的质量要求。</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1</w:t>
      </w:r>
      <w:r>
        <w:rPr>
          <w:rFonts w:hint="eastAsia" w:ascii="宋体" w:hAnsi="宋体"/>
          <w:b/>
          <w:bCs/>
          <w:szCs w:val="21"/>
        </w:rPr>
        <w:t>.</w:t>
      </w:r>
      <w:r>
        <w:rPr>
          <w:rFonts w:hint="eastAsia"/>
          <w:b/>
          <w:bCs/>
          <w:szCs w:val="21"/>
        </w:rPr>
        <w:t>3</w:t>
      </w:r>
      <w:r>
        <w:rPr>
          <w:rFonts w:hint="eastAsia"/>
          <w:bCs/>
          <w:szCs w:val="21"/>
        </w:rPr>
        <w:t xml:space="preserve"> </w:t>
      </w:r>
      <w:r>
        <w:rPr>
          <w:bCs/>
          <w:szCs w:val="21"/>
        </w:rPr>
        <w:t xml:space="preserve"> </w:t>
      </w:r>
      <w:r>
        <w:rPr>
          <w:rFonts w:hint="eastAsia"/>
          <w:bCs/>
          <w:szCs w:val="21"/>
        </w:rPr>
        <w:t>本条文内容是保证住宅建筑的功能性、安全性和耐久性。《住宅室内装饰装修管理办法》对室内装饰装修的严禁行为作出了详细规定。</w:t>
      </w:r>
    </w:p>
    <w:p>
      <w:pPr>
        <w:pStyle w:val="4"/>
        <w:spacing w:before="240" w:after="240" w:line="240" w:lineRule="auto"/>
        <w:jc w:val="center"/>
        <w:rPr>
          <w:rFonts w:ascii="Times New Roman" w:hAnsi="Times New Roman"/>
          <w:sz w:val="21"/>
          <w:szCs w:val="21"/>
        </w:rPr>
      </w:pPr>
      <w:bookmarkStart w:id="180" w:name="_Toc118314535"/>
      <w:bookmarkStart w:id="181" w:name="_Toc118357531"/>
      <w:r>
        <w:rPr>
          <w:rFonts w:hint="eastAsia" w:ascii="Times New Roman" w:hAnsi="Times New Roman"/>
          <w:sz w:val="21"/>
          <w:szCs w:val="21"/>
        </w:rPr>
        <w:t>11</w:t>
      </w:r>
      <w:r>
        <w:rPr>
          <w:rFonts w:hint="eastAsia" w:ascii="宋体" w:hAnsi="宋体"/>
          <w:sz w:val="21"/>
          <w:szCs w:val="21"/>
        </w:rPr>
        <w:t>.</w:t>
      </w:r>
      <w:r>
        <w:rPr>
          <w:rFonts w:hint="eastAsia" w:ascii="Times New Roman" w:hAnsi="Times New Roman"/>
          <w:sz w:val="21"/>
          <w:szCs w:val="21"/>
        </w:rPr>
        <w:t xml:space="preserve">2  </w:t>
      </w:r>
      <w:r>
        <w:rPr>
          <w:rFonts w:hint="eastAsia" w:ascii="黑体" w:hAnsi="黑体" w:eastAsia="黑体"/>
          <w:b w:val="0"/>
          <w:sz w:val="21"/>
          <w:szCs w:val="21"/>
        </w:rPr>
        <w:t>使用、维护</w:t>
      </w:r>
      <w:bookmarkEnd w:id="180"/>
      <w:bookmarkEnd w:id="181"/>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 xml:space="preserve">1 </w:t>
      </w:r>
      <w:r>
        <w:rPr>
          <w:b/>
          <w:bCs/>
          <w:szCs w:val="21"/>
        </w:rPr>
        <w:t xml:space="preserve"> </w:t>
      </w:r>
      <w:r>
        <w:rPr>
          <w:rFonts w:hint="eastAsia"/>
          <w:bCs/>
          <w:szCs w:val="21"/>
        </w:rPr>
        <w:t>装配式钢结构住宅建筑的使用条件、使用性质及使用环境与主体结构设计使用年限内的安全性能、适用性能和耐久性能密切相关，不得擅自改变。如确因实际需要作出改变时，应按有关规定对其进行评估。</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2</w:t>
      </w:r>
      <w:r>
        <w:rPr>
          <w:rFonts w:hint="eastAsia" w:ascii="宋体" w:hAnsi="宋体"/>
          <w:b/>
          <w:bCs/>
          <w:szCs w:val="21"/>
        </w:rPr>
        <w:t>.</w:t>
      </w:r>
      <w:r>
        <w:rPr>
          <w:rFonts w:hint="eastAsia"/>
          <w:b/>
          <w:bCs/>
          <w:szCs w:val="21"/>
        </w:rPr>
        <w:t>2</w:t>
      </w:r>
      <w:r>
        <w:rPr>
          <w:rFonts w:hint="eastAsia"/>
          <w:bCs/>
          <w:szCs w:val="21"/>
        </w:rPr>
        <w:t xml:space="preserve"> </w:t>
      </w:r>
      <w:r>
        <w:rPr>
          <w:bCs/>
          <w:szCs w:val="21"/>
        </w:rPr>
        <w:t xml:space="preserve"> </w:t>
      </w:r>
      <w:r>
        <w:rPr>
          <w:rFonts w:hint="eastAsia"/>
          <w:bCs/>
          <w:szCs w:val="21"/>
        </w:rPr>
        <w:t>为确保主体结构的可靠性，在室内装饰装修和整个使用过程中，不应对钢结构采取焊接、切割、开孔等损伤主体结构的行为。管线敷设，宜采用与主体结构和外围护系统分离的方式，避免主体结构和外围护系统的开槽、切割。</w:t>
      </w:r>
    </w:p>
    <w:p>
      <w:pPr>
        <w:spacing w:line="240" w:lineRule="auto"/>
        <w:ind w:firstLine="420" w:firstLineChars="200"/>
        <w:rPr>
          <w:bCs/>
          <w:szCs w:val="21"/>
        </w:rPr>
      </w:pPr>
      <w:r>
        <w:rPr>
          <w:rFonts w:hint="eastAsia"/>
          <w:bCs/>
          <w:szCs w:val="21"/>
        </w:rPr>
        <w:t>国内外钢结构住宅的使用经验表明，在正常维护和室内环境下，主体结构在设计使用年限内一般不存在耐久性问题。但是，破坏建筑保温、外围护防水等导致的钢结构结露、渗水受潮，以及改变和损坏防火、防腐保护等，将加剧钢结构的腐蚀。在室内装饰装修和整个使用过程中，严禁对外围护系统进行切割、开槽、开洞等损伤行为，不得破坏其保温和防水做法。装修施工改动卫生间、厨房、阳台防水层的，应当按照现行相关防水标准制定设计、施工技术方案,并进行闭水试验。</w:t>
      </w:r>
    </w:p>
    <w:p>
      <w:pPr>
        <w:pStyle w:val="4"/>
        <w:spacing w:before="240" w:after="240" w:line="240" w:lineRule="auto"/>
        <w:jc w:val="center"/>
        <w:rPr>
          <w:rFonts w:ascii="Times New Roman" w:hAnsi="Times New Roman"/>
          <w:sz w:val="21"/>
          <w:szCs w:val="21"/>
        </w:rPr>
      </w:pPr>
      <w:bookmarkStart w:id="182" w:name="_Toc118314536"/>
      <w:bookmarkStart w:id="183" w:name="_Toc118357532"/>
      <w:r>
        <w:rPr>
          <w:rFonts w:hint="eastAsia" w:ascii="Times New Roman" w:hAnsi="Times New Roman"/>
          <w:sz w:val="21"/>
          <w:szCs w:val="21"/>
        </w:rPr>
        <w:t>11</w:t>
      </w:r>
      <w:r>
        <w:rPr>
          <w:rFonts w:hint="eastAsia" w:ascii="宋体" w:hAnsi="宋体"/>
          <w:sz w:val="21"/>
          <w:szCs w:val="21"/>
        </w:rPr>
        <w:t>.</w:t>
      </w:r>
      <w:r>
        <w:rPr>
          <w:rFonts w:hint="eastAsia" w:ascii="Times New Roman" w:hAnsi="Times New Roman"/>
          <w:sz w:val="21"/>
          <w:szCs w:val="21"/>
        </w:rPr>
        <w:t xml:space="preserve">3 </w:t>
      </w:r>
      <w:r>
        <w:rPr>
          <w:rFonts w:hint="eastAsia" w:ascii="Times New Roman" w:hAnsi="Times New Roman"/>
          <w:b w:val="0"/>
          <w:sz w:val="21"/>
          <w:szCs w:val="21"/>
        </w:rPr>
        <w:t xml:space="preserve"> </w:t>
      </w:r>
      <w:r>
        <w:rPr>
          <w:rFonts w:hint="eastAsia" w:ascii="黑体" w:hAnsi="黑体" w:eastAsia="黑体"/>
          <w:b w:val="0"/>
          <w:sz w:val="21"/>
          <w:szCs w:val="21"/>
        </w:rPr>
        <w:t>物 业 服 务</w:t>
      </w:r>
      <w:bookmarkEnd w:id="182"/>
      <w:bookmarkEnd w:id="183"/>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1</w:t>
      </w:r>
      <w:r>
        <w:rPr>
          <w:rFonts w:hint="eastAsia"/>
          <w:bCs/>
          <w:szCs w:val="21"/>
        </w:rPr>
        <w:t xml:space="preserve"> </w:t>
      </w:r>
      <w:r>
        <w:rPr>
          <w:bCs/>
          <w:szCs w:val="21"/>
        </w:rPr>
        <w:t xml:space="preserve"> </w:t>
      </w:r>
      <w:r>
        <w:rPr>
          <w:rFonts w:hint="eastAsia"/>
          <w:bCs/>
          <w:szCs w:val="21"/>
        </w:rPr>
        <w:t>钢结构装配式住宅建筑宜制订“物业检查与维护更新计划”进行物业的维护和管理，在发达国家已逐步成为建筑法规的明文规定。有条件时，应在住宅建筑的使用与维护中执行这一要求。</w:t>
      </w:r>
    </w:p>
    <w:p>
      <w:pPr>
        <w:spacing w:line="240" w:lineRule="auto"/>
        <w:rPr>
          <w:bCs/>
          <w:szCs w:val="21"/>
        </w:rPr>
      </w:pPr>
      <w:r>
        <w:rPr>
          <w:rFonts w:hint="eastAsia"/>
          <w:bCs/>
          <w:szCs w:val="21"/>
        </w:rPr>
        <w:t>在物业管理单位的检查与维护中，尤其应注意外围护系统的损坏以及其他防水构造等,防止渗漏导致钢结构的严重腐蚀。</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2 </w:t>
      </w:r>
      <w:r>
        <w:rPr>
          <w:b/>
          <w:bCs/>
          <w:szCs w:val="21"/>
        </w:rPr>
        <w:t xml:space="preserve"> </w:t>
      </w:r>
      <w:r>
        <w:rPr>
          <w:rFonts w:hint="eastAsia"/>
          <w:bCs/>
          <w:szCs w:val="21"/>
        </w:rPr>
        <w:t>按照《物业管理条例》和《住宅室内装饰装修管理办法》的要求，业主或使用者在装修前应告知物业服务单位并遵守相应的规定。装修及使用中应严格禁止对主体结构、外围护、共用设施设备的损坏。物业服务单位应在装修施工的过程中进行监督，并在施工完成后进行勘查。</w:t>
      </w:r>
    </w:p>
    <w:p>
      <w:pPr>
        <w:spacing w:line="240" w:lineRule="auto"/>
        <w:rPr>
          <w:bCs/>
          <w:szCs w:val="21"/>
        </w:rPr>
      </w:pPr>
      <w:r>
        <w:rPr>
          <w:rFonts w:hint="eastAsia"/>
          <w:b/>
          <w:bCs/>
          <w:szCs w:val="21"/>
        </w:rPr>
        <w:t>11</w:t>
      </w:r>
      <w:r>
        <w:rPr>
          <w:rFonts w:hint="eastAsia" w:ascii="宋体" w:hAnsi="宋体"/>
          <w:b/>
          <w:bCs/>
          <w:szCs w:val="21"/>
        </w:rPr>
        <w:t>.</w:t>
      </w:r>
      <w:r>
        <w:rPr>
          <w:rFonts w:hint="eastAsia"/>
          <w:b/>
          <w:bCs/>
          <w:szCs w:val="21"/>
        </w:rPr>
        <w:t>3</w:t>
      </w:r>
      <w:r>
        <w:rPr>
          <w:rFonts w:hint="eastAsia" w:ascii="宋体" w:hAnsi="宋体"/>
          <w:b/>
          <w:bCs/>
          <w:szCs w:val="21"/>
        </w:rPr>
        <w:t>.</w:t>
      </w:r>
      <w:r>
        <w:rPr>
          <w:rFonts w:hint="eastAsia"/>
          <w:b/>
          <w:bCs/>
          <w:szCs w:val="21"/>
        </w:rPr>
        <w:t xml:space="preserve">3 </w:t>
      </w:r>
      <w:r>
        <w:rPr>
          <w:b/>
          <w:bCs/>
          <w:szCs w:val="21"/>
        </w:rPr>
        <w:t xml:space="preserve"> </w:t>
      </w:r>
      <w:r>
        <w:rPr>
          <w:rFonts w:hint="eastAsia"/>
          <w:bCs/>
          <w:szCs w:val="21"/>
        </w:rPr>
        <w:t>本条是在条件允许时将建筑信息化手段用于装配式钢结构住宅全生命期使用与维护的要求。</w:t>
      </w:r>
    </w:p>
    <w:p>
      <w:pPr>
        <w:spacing w:line="240" w:lineRule="auto"/>
        <w:rPr>
          <w:bCs/>
          <w:szCs w:val="21"/>
        </w:rPr>
      </w:pPr>
    </w:p>
    <w:sectPr>
      <w:pgSz w:w="11906" w:h="16838"/>
      <w:pgMar w:top="1610" w:right="1349" w:bottom="1213" w:left="1293" w:header="851" w:footer="992" w:gutter="0"/>
      <w:cols w:space="425" w:num="1"/>
      <w:docGrid w:type="lines" w:linePitch="333" w:charSpace="4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黑体e眠副浡渀.">
    <w:altName w:val="方正黑体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方正书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 w:name="等线 Light">
    <w:altName w:val="URW Bookman"/>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749075"/>
      <w:docPartObj>
        <w:docPartGallery w:val="autotext"/>
      </w:docPartObj>
    </w:sdtPr>
    <w:sdtEndPr>
      <w:rPr>
        <w:color w:val="FFFFFF" w:themeColor="background1"/>
        <w14:textFill>
          <w14:solidFill>
            <w14:schemeClr w14:val="bg1"/>
          </w14:solidFill>
        </w14:textFill>
      </w:rPr>
    </w:sdtEndPr>
    <w:sdtContent>
      <w:p>
        <w:pPr>
          <w:pStyle w:val="12"/>
          <w:jc w:val="right"/>
          <w:rPr>
            <w:color w:val="FFFFFF" w:themeColor="background1"/>
            <w14:textFill>
              <w14:solidFill>
                <w14:schemeClr w14:val="bg1"/>
              </w14:solidFill>
            </w14:textFill>
          </w:rPr>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PAGE   \* MERGEFORMAT</w:instrText>
        </w:r>
        <w:r>
          <w:rPr>
            <w:color w:val="FFFFFF" w:themeColor="background1"/>
            <w14:textFill>
              <w14:solidFill>
                <w14:schemeClr w14:val="bg1"/>
              </w14:solidFill>
            </w14:textFill>
          </w:rPr>
          <w:fldChar w:fldCharType="separate"/>
        </w:r>
        <w:r>
          <w:rPr>
            <w:color w:val="FFFFFF" w:themeColor="background1"/>
            <w:lang w:val="zh-CN"/>
            <w14:textFill>
              <w14:solidFill>
                <w14:schemeClr w14:val="bg1"/>
              </w14:solidFill>
            </w14:textFill>
          </w:rPr>
          <w:t>1</w:t>
        </w:r>
        <w:r>
          <w:rPr>
            <w:color w:val="FFFFFF" w:themeColor="background1"/>
            <w14:textFill>
              <w14:solidFill>
                <w14:schemeClr w14:val="bg1"/>
              </w14:solidFill>
            </w14:textFill>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728659"/>
      <w:docPartObj>
        <w:docPartGallery w:val="autotext"/>
      </w:docPartObj>
    </w:sdtPr>
    <w:sdtEndPr>
      <w:rPr>
        <w:rFonts w:ascii="Times New Roman" w:hAnsi="Times New Roman" w:cs="Times New Roman"/>
        <w:i/>
        <w:iCs/>
        <w:sz w:val="21"/>
        <w:szCs w:val="21"/>
        <w:lang w:val="zh-CN"/>
      </w:rPr>
    </w:sdtEndPr>
    <w:sdtContent>
      <w:p>
        <w:pPr>
          <w:pStyle w:val="12"/>
          <w:rPr>
            <w:rFonts w:ascii="Times New Roman" w:hAnsi="Times New Roman" w:cs="Times New Roman"/>
            <w:i/>
            <w:iCs/>
            <w:sz w:val="21"/>
            <w:szCs w:val="21"/>
            <w:lang w:val="zh-CN"/>
          </w:rPr>
        </w:pPr>
        <w:r>
          <w:rPr>
            <w:rFonts w:ascii="Times New Roman" w:hAnsi="Times New Roman" w:cs="Times New Roman"/>
            <w:i/>
            <w:iCs/>
            <w:sz w:val="21"/>
            <w:szCs w:val="21"/>
            <w:lang w:val="zh-CN"/>
          </w:rPr>
          <w:fldChar w:fldCharType="begin"/>
        </w:r>
        <w:r>
          <w:rPr>
            <w:rFonts w:ascii="Times New Roman" w:hAnsi="Times New Roman" w:cs="Times New Roman"/>
            <w:i/>
            <w:iCs/>
            <w:sz w:val="21"/>
            <w:szCs w:val="21"/>
            <w:lang w:val="zh-CN"/>
          </w:rPr>
          <w:instrText xml:space="preserve">PAGE   \* MERGEFORMAT</w:instrText>
        </w:r>
        <w:r>
          <w:rPr>
            <w:rFonts w:ascii="Times New Roman" w:hAnsi="Times New Roman" w:cs="Times New Roman"/>
            <w:i/>
            <w:iCs/>
            <w:sz w:val="21"/>
            <w:szCs w:val="21"/>
            <w:lang w:val="zh-CN"/>
          </w:rPr>
          <w:fldChar w:fldCharType="separate"/>
        </w:r>
        <w:r>
          <w:rPr>
            <w:rFonts w:ascii="Times New Roman" w:hAnsi="Times New Roman" w:cs="Times New Roman"/>
            <w:i/>
            <w:iCs/>
            <w:sz w:val="21"/>
            <w:szCs w:val="21"/>
            <w:lang w:val="zh-CN"/>
          </w:rPr>
          <w:t>12</w:t>
        </w:r>
        <w:r>
          <w:rPr>
            <w:rFonts w:ascii="Times New Roman" w:hAnsi="Times New Roman" w:cs="Times New Roman"/>
            <w:i/>
            <w:iCs/>
            <w:sz w:val="21"/>
            <w:szCs w:val="21"/>
            <w:lang w:val="zh-CN"/>
          </w:rPr>
          <w:fldChar w:fldCharType="end"/>
        </w:r>
      </w:p>
    </w:sdtContent>
  </w:sdt>
  <w:p>
    <w:pPr>
      <w:pStyle w:val="1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359922"/>
      <w:docPartObj>
        <w:docPartGallery w:val="autotext"/>
      </w:docPartObj>
    </w:sdtPr>
    <w:sdtEndPr>
      <w:rPr>
        <w:i/>
        <w:iCs/>
        <w:szCs w:val="21"/>
      </w:rPr>
    </w:sdtEndPr>
    <w:sdtContent>
      <w:p>
        <w:pPr>
          <w:jc w:val="right"/>
          <w:rPr>
            <w:i/>
            <w:iCs/>
            <w:szCs w:val="21"/>
          </w:rPr>
        </w:pPr>
        <w:r>
          <w:rPr>
            <w:i/>
            <w:iCs/>
            <w:szCs w:val="21"/>
          </w:rPr>
          <w:fldChar w:fldCharType="begin"/>
        </w:r>
        <w:r>
          <w:rPr>
            <w:i/>
            <w:iCs/>
            <w:szCs w:val="21"/>
          </w:rPr>
          <w:instrText xml:space="preserve">PAGE   \* MERGEFORMAT</w:instrText>
        </w:r>
        <w:r>
          <w:rPr>
            <w:i/>
            <w:iCs/>
            <w:szCs w:val="21"/>
          </w:rPr>
          <w:fldChar w:fldCharType="separate"/>
        </w:r>
        <w:r>
          <w:rPr>
            <w:i/>
            <w:iCs/>
            <w:szCs w:val="21"/>
            <w:lang w:val="zh-CN"/>
          </w:rPr>
          <w:t>13</w:t>
        </w:r>
        <w:r>
          <w:rPr>
            <w:i/>
            <w:iCs/>
            <w:szCs w:val="21"/>
          </w:rP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documentProtection w:enforcement="0"/>
  <w:defaultTabStop w:val="420"/>
  <w:evenAndOddHeaders w:val="true"/>
  <w:drawingGridHorizontalSpacing w:val="221"/>
  <w:drawingGridVerticalSpacing w:val="333"/>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ze1MDMwNrEwMzRR0lEKTi0uzszPAykwrAUAuJHaTiwAAAA="/>
  </w:docVars>
  <w:rsids>
    <w:rsidRoot w:val="0028249B"/>
    <w:rsid w:val="00001BF8"/>
    <w:rsid w:val="00001C98"/>
    <w:rsid w:val="000132C3"/>
    <w:rsid w:val="00025CCF"/>
    <w:rsid w:val="000279B3"/>
    <w:rsid w:val="00043E1C"/>
    <w:rsid w:val="00044AEA"/>
    <w:rsid w:val="00046FEF"/>
    <w:rsid w:val="000548E9"/>
    <w:rsid w:val="0006425A"/>
    <w:rsid w:val="0007229E"/>
    <w:rsid w:val="000833EE"/>
    <w:rsid w:val="00091423"/>
    <w:rsid w:val="000A582D"/>
    <w:rsid w:val="000A712E"/>
    <w:rsid w:val="000B6CA6"/>
    <w:rsid w:val="000C19E3"/>
    <w:rsid w:val="000C1A3D"/>
    <w:rsid w:val="000C4323"/>
    <w:rsid w:val="000D2DDC"/>
    <w:rsid w:val="000F0FE5"/>
    <w:rsid w:val="000F15FB"/>
    <w:rsid w:val="00105479"/>
    <w:rsid w:val="00110C5F"/>
    <w:rsid w:val="00126AAD"/>
    <w:rsid w:val="00127A2D"/>
    <w:rsid w:val="00141E96"/>
    <w:rsid w:val="00143BEE"/>
    <w:rsid w:val="00145D0C"/>
    <w:rsid w:val="0015077D"/>
    <w:rsid w:val="00151CB4"/>
    <w:rsid w:val="00163174"/>
    <w:rsid w:val="001659D6"/>
    <w:rsid w:val="00185C34"/>
    <w:rsid w:val="00197D05"/>
    <w:rsid w:val="001A4199"/>
    <w:rsid w:val="001D7814"/>
    <w:rsid w:val="001E2E1C"/>
    <w:rsid w:val="001F281C"/>
    <w:rsid w:val="002111DC"/>
    <w:rsid w:val="0025083D"/>
    <w:rsid w:val="00263359"/>
    <w:rsid w:val="00277D43"/>
    <w:rsid w:val="0028249B"/>
    <w:rsid w:val="002879E7"/>
    <w:rsid w:val="002B1AA6"/>
    <w:rsid w:val="002B45C7"/>
    <w:rsid w:val="002B5638"/>
    <w:rsid w:val="002B649A"/>
    <w:rsid w:val="002C7699"/>
    <w:rsid w:val="002D4419"/>
    <w:rsid w:val="002D6C74"/>
    <w:rsid w:val="002D6DD5"/>
    <w:rsid w:val="002E3ADB"/>
    <w:rsid w:val="002E74B2"/>
    <w:rsid w:val="002F14F1"/>
    <w:rsid w:val="002F5A98"/>
    <w:rsid w:val="002F6702"/>
    <w:rsid w:val="00303582"/>
    <w:rsid w:val="00311D71"/>
    <w:rsid w:val="00321D32"/>
    <w:rsid w:val="00330C9F"/>
    <w:rsid w:val="00341620"/>
    <w:rsid w:val="0035781E"/>
    <w:rsid w:val="00371424"/>
    <w:rsid w:val="00375EFA"/>
    <w:rsid w:val="00375FB0"/>
    <w:rsid w:val="00382EBC"/>
    <w:rsid w:val="00384E67"/>
    <w:rsid w:val="00396C45"/>
    <w:rsid w:val="003A4FC3"/>
    <w:rsid w:val="003A6559"/>
    <w:rsid w:val="003B1C60"/>
    <w:rsid w:val="003B5032"/>
    <w:rsid w:val="003B792C"/>
    <w:rsid w:val="003C00B2"/>
    <w:rsid w:val="003E1EF1"/>
    <w:rsid w:val="003F06EA"/>
    <w:rsid w:val="003F536D"/>
    <w:rsid w:val="0040478D"/>
    <w:rsid w:val="0041446F"/>
    <w:rsid w:val="00417831"/>
    <w:rsid w:val="00422F4A"/>
    <w:rsid w:val="00442C7B"/>
    <w:rsid w:val="004447E1"/>
    <w:rsid w:val="00446FFF"/>
    <w:rsid w:val="00450073"/>
    <w:rsid w:val="00471A6B"/>
    <w:rsid w:val="0047443A"/>
    <w:rsid w:val="00474499"/>
    <w:rsid w:val="00482A46"/>
    <w:rsid w:val="004837BD"/>
    <w:rsid w:val="0049319F"/>
    <w:rsid w:val="00496E60"/>
    <w:rsid w:val="0049781C"/>
    <w:rsid w:val="004A0DA4"/>
    <w:rsid w:val="004B33F3"/>
    <w:rsid w:val="004C0097"/>
    <w:rsid w:val="004C0DC5"/>
    <w:rsid w:val="004D02BF"/>
    <w:rsid w:val="004E3967"/>
    <w:rsid w:val="004E6637"/>
    <w:rsid w:val="004E7DBC"/>
    <w:rsid w:val="004F0495"/>
    <w:rsid w:val="004F13D8"/>
    <w:rsid w:val="0050250F"/>
    <w:rsid w:val="005210CF"/>
    <w:rsid w:val="00524C17"/>
    <w:rsid w:val="00526B44"/>
    <w:rsid w:val="005306CF"/>
    <w:rsid w:val="005313AC"/>
    <w:rsid w:val="00542FAD"/>
    <w:rsid w:val="00553403"/>
    <w:rsid w:val="0056048C"/>
    <w:rsid w:val="005650AF"/>
    <w:rsid w:val="00571CCD"/>
    <w:rsid w:val="00575939"/>
    <w:rsid w:val="00577C2B"/>
    <w:rsid w:val="00583D85"/>
    <w:rsid w:val="00592C0A"/>
    <w:rsid w:val="005A34A1"/>
    <w:rsid w:val="005A4033"/>
    <w:rsid w:val="005E1F00"/>
    <w:rsid w:val="005F4D25"/>
    <w:rsid w:val="00600C14"/>
    <w:rsid w:val="006013C3"/>
    <w:rsid w:val="00601B4A"/>
    <w:rsid w:val="00623E60"/>
    <w:rsid w:val="00635E0E"/>
    <w:rsid w:val="00637CCB"/>
    <w:rsid w:val="00640F35"/>
    <w:rsid w:val="00641998"/>
    <w:rsid w:val="00641BBE"/>
    <w:rsid w:val="00641E60"/>
    <w:rsid w:val="00656C7B"/>
    <w:rsid w:val="006620D0"/>
    <w:rsid w:val="00665BE5"/>
    <w:rsid w:val="00675C39"/>
    <w:rsid w:val="00677458"/>
    <w:rsid w:val="0069272F"/>
    <w:rsid w:val="0069651E"/>
    <w:rsid w:val="006A2796"/>
    <w:rsid w:val="006B7810"/>
    <w:rsid w:val="006C024A"/>
    <w:rsid w:val="006E30DB"/>
    <w:rsid w:val="006E5794"/>
    <w:rsid w:val="006F0607"/>
    <w:rsid w:val="006F2F3F"/>
    <w:rsid w:val="00717B77"/>
    <w:rsid w:val="00722128"/>
    <w:rsid w:val="007253A6"/>
    <w:rsid w:val="007272D1"/>
    <w:rsid w:val="007323FC"/>
    <w:rsid w:val="00747637"/>
    <w:rsid w:val="00750F5B"/>
    <w:rsid w:val="007545AC"/>
    <w:rsid w:val="00763072"/>
    <w:rsid w:val="00777855"/>
    <w:rsid w:val="007A197C"/>
    <w:rsid w:val="007E2955"/>
    <w:rsid w:val="007E2A04"/>
    <w:rsid w:val="007F60C0"/>
    <w:rsid w:val="00800F0F"/>
    <w:rsid w:val="00814746"/>
    <w:rsid w:val="0081645D"/>
    <w:rsid w:val="00827BD7"/>
    <w:rsid w:val="008318F8"/>
    <w:rsid w:val="008336EE"/>
    <w:rsid w:val="00836ECA"/>
    <w:rsid w:val="00840811"/>
    <w:rsid w:val="00841D1A"/>
    <w:rsid w:val="008473DC"/>
    <w:rsid w:val="00861316"/>
    <w:rsid w:val="00863623"/>
    <w:rsid w:val="008719B7"/>
    <w:rsid w:val="00871CF6"/>
    <w:rsid w:val="00895C39"/>
    <w:rsid w:val="00897DC5"/>
    <w:rsid w:val="008A0E86"/>
    <w:rsid w:val="008A4084"/>
    <w:rsid w:val="008B141C"/>
    <w:rsid w:val="008C4B99"/>
    <w:rsid w:val="008C5D29"/>
    <w:rsid w:val="008C7CE3"/>
    <w:rsid w:val="008E1EB7"/>
    <w:rsid w:val="008E3BAD"/>
    <w:rsid w:val="008E43C5"/>
    <w:rsid w:val="008F4062"/>
    <w:rsid w:val="008F49A7"/>
    <w:rsid w:val="009037E2"/>
    <w:rsid w:val="00904021"/>
    <w:rsid w:val="00904B57"/>
    <w:rsid w:val="00910D2F"/>
    <w:rsid w:val="00940BF9"/>
    <w:rsid w:val="00940E8D"/>
    <w:rsid w:val="009503DD"/>
    <w:rsid w:val="00952417"/>
    <w:rsid w:val="00962A29"/>
    <w:rsid w:val="00963A2F"/>
    <w:rsid w:val="009756EA"/>
    <w:rsid w:val="00980FE2"/>
    <w:rsid w:val="009933B1"/>
    <w:rsid w:val="00994609"/>
    <w:rsid w:val="009A1142"/>
    <w:rsid w:val="009A31A1"/>
    <w:rsid w:val="009A4C3F"/>
    <w:rsid w:val="009B0660"/>
    <w:rsid w:val="009B181C"/>
    <w:rsid w:val="009B2B66"/>
    <w:rsid w:val="009C5629"/>
    <w:rsid w:val="009C6229"/>
    <w:rsid w:val="009C6482"/>
    <w:rsid w:val="009D1B09"/>
    <w:rsid w:val="009E6B93"/>
    <w:rsid w:val="009F0215"/>
    <w:rsid w:val="00A00D9F"/>
    <w:rsid w:val="00A015AD"/>
    <w:rsid w:val="00A01E1A"/>
    <w:rsid w:val="00A07ADB"/>
    <w:rsid w:val="00A12931"/>
    <w:rsid w:val="00A16778"/>
    <w:rsid w:val="00A17ACC"/>
    <w:rsid w:val="00A339BA"/>
    <w:rsid w:val="00A3457A"/>
    <w:rsid w:val="00A60F6A"/>
    <w:rsid w:val="00A631DA"/>
    <w:rsid w:val="00A72708"/>
    <w:rsid w:val="00A7512B"/>
    <w:rsid w:val="00A843AB"/>
    <w:rsid w:val="00AA1597"/>
    <w:rsid w:val="00AA3BC7"/>
    <w:rsid w:val="00AA6261"/>
    <w:rsid w:val="00AA6EBD"/>
    <w:rsid w:val="00AC17A2"/>
    <w:rsid w:val="00AC4CD2"/>
    <w:rsid w:val="00AD4515"/>
    <w:rsid w:val="00AE3D4C"/>
    <w:rsid w:val="00AF3696"/>
    <w:rsid w:val="00AF5693"/>
    <w:rsid w:val="00B03788"/>
    <w:rsid w:val="00B059CD"/>
    <w:rsid w:val="00B129D7"/>
    <w:rsid w:val="00B15479"/>
    <w:rsid w:val="00B245CC"/>
    <w:rsid w:val="00B25998"/>
    <w:rsid w:val="00B41082"/>
    <w:rsid w:val="00B41A33"/>
    <w:rsid w:val="00B44D6C"/>
    <w:rsid w:val="00B84B98"/>
    <w:rsid w:val="00B92400"/>
    <w:rsid w:val="00BA13BC"/>
    <w:rsid w:val="00BA48CC"/>
    <w:rsid w:val="00BC6071"/>
    <w:rsid w:val="00BD1DE9"/>
    <w:rsid w:val="00BD1F73"/>
    <w:rsid w:val="00BF65A5"/>
    <w:rsid w:val="00C049BF"/>
    <w:rsid w:val="00C1148B"/>
    <w:rsid w:val="00C14295"/>
    <w:rsid w:val="00C17CCA"/>
    <w:rsid w:val="00C251E8"/>
    <w:rsid w:val="00C31D1E"/>
    <w:rsid w:val="00C43CC9"/>
    <w:rsid w:val="00C504D7"/>
    <w:rsid w:val="00C568C8"/>
    <w:rsid w:val="00C80D68"/>
    <w:rsid w:val="00C86663"/>
    <w:rsid w:val="00C92618"/>
    <w:rsid w:val="00C92DF9"/>
    <w:rsid w:val="00CA7EC1"/>
    <w:rsid w:val="00CB3D90"/>
    <w:rsid w:val="00CD5158"/>
    <w:rsid w:val="00CD5AFC"/>
    <w:rsid w:val="00CE0554"/>
    <w:rsid w:val="00CE39FE"/>
    <w:rsid w:val="00CE3E8F"/>
    <w:rsid w:val="00CF00C7"/>
    <w:rsid w:val="00CF422D"/>
    <w:rsid w:val="00CF45E7"/>
    <w:rsid w:val="00D017CC"/>
    <w:rsid w:val="00D0248A"/>
    <w:rsid w:val="00D03016"/>
    <w:rsid w:val="00D101D6"/>
    <w:rsid w:val="00D14F18"/>
    <w:rsid w:val="00D33C0E"/>
    <w:rsid w:val="00D411CF"/>
    <w:rsid w:val="00D42846"/>
    <w:rsid w:val="00D45490"/>
    <w:rsid w:val="00D5460B"/>
    <w:rsid w:val="00D6379A"/>
    <w:rsid w:val="00D72708"/>
    <w:rsid w:val="00D75095"/>
    <w:rsid w:val="00D922F9"/>
    <w:rsid w:val="00DB094D"/>
    <w:rsid w:val="00DB2C75"/>
    <w:rsid w:val="00DB57EF"/>
    <w:rsid w:val="00DC22C6"/>
    <w:rsid w:val="00DC5716"/>
    <w:rsid w:val="00DC6833"/>
    <w:rsid w:val="00DC6B56"/>
    <w:rsid w:val="00DD0D32"/>
    <w:rsid w:val="00DD3F84"/>
    <w:rsid w:val="00DE1A35"/>
    <w:rsid w:val="00DE39B8"/>
    <w:rsid w:val="00E00836"/>
    <w:rsid w:val="00E04588"/>
    <w:rsid w:val="00E108D0"/>
    <w:rsid w:val="00E372D7"/>
    <w:rsid w:val="00E37F36"/>
    <w:rsid w:val="00E466FF"/>
    <w:rsid w:val="00E5164D"/>
    <w:rsid w:val="00E53574"/>
    <w:rsid w:val="00E55E0C"/>
    <w:rsid w:val="00E56AA4"/>
    <w:rsid w:val="00E614F5"/>
    <w:rsid w:val="00E726F8"/>
    <w:rsid w:val="00E74DE7"/>
    <w:rsid w:val="00E76536"/>
    <w:rsid w:val="00E83074"/>
    <w:rsid w:val="00E8331C"/>
    <w:rsid w:val="00E94E33"/>
    <w:rsid w:val="00E96D41"/>
    <w:rsid w:val="00ED14D3"/>
    <w:rsid w:val="00ED1DCF"/>
    <w:rsid w:val="00ED24A1"/>
    <w:rsid w:val="00ED2CA6"/>
    <w:rsid w:val="00ED6819"/>
    <w:rsid w:val="00EE2D50"/>
    <w:rsid w:val="00EE57DA"/>
    <w:rsid w:val="00EF2A1B"/>
    <w:rsid w:val="00F04462"/>
    <w:rsid w:val="00F13614"/>
    <w:rsid w:val="00F2034E"/>
    <w:rsid w:val="00F22980"/>
    <w:rsid w:val="00F3603B"/>
    <w:rsid w:val="00F409DA"/>
    <w:rsid w:val="00FA0291"/>
    <w:rsid w:val="00FA314A"/>
    <w:rsid w:val="00FB32C6"/>
    <w:rsid w:val="00FB5DC2"/>
    <w:rsid w:val="00FC34BB"/>
    <w:rsid w:val="00FE4FD5"/>
    <w:rsid w:val="00FF011F"/>
    <w:rsid w:val="00FF68DF"/>
    <w:rsid w:val="0D3E0B0F"/>
    <w:rsid w:val="33F393FA"/>
    <w:rsid w:val="3FFF031E"/>
    <w:rsid w:val="4E95EBF6"/>
    <w:rsid w:val="59F3FC98"/>
    <w:rsid w:val="77BF50A4"/>
    <w:rsid w:val="7A5114C1"/>
    <w:rsid w:val="7BCB57CE"/>
    <w:rsid w:val="7FDE8C35"/>
    <w:rsid w:val="7FFA15F5"/>
    <w:rsid w:val="AABB090A"/>
    <w:rsid w:val="B3E34580"/>
    <w:rsid w:val="B77F0047"/>
    <w:rsid w:val="BFFB5DB4"/>
    <w:rsid w:val="C4FF086A"/>
    <w:rsid w:val="DB9F67B1"/>
    <w:rsid w:val="EB54AC5D"/>
    <w:rsid w:val="EC57AD96"/>
    <w:rsid w:val="EFC82B9C"/>
    <w:rsid w:val="EFFB14DF"/>
    <w:rsid w:val="F7BFC0BE"/>
    <w:rsid w:val="F7EC1683"/>
    <w:rsid w:val="FDF7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7"/>
    <w:semiHidden/>
    <w:unhideWhenUsed/>
    <w:qFormat/>
    <w:uiPriority w:val="9"/>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spacing w:line="240" w:lineRule="auto"/>
      <w:ind w:left="2520" w:leftChars="1200"/>
    </w:pPr>
    <w:rPr>
      <w:rFonts w:asciiTheme="minorHAnsi" w:hAnsiTheme="minorHAnsi" w:eastAsiaTheme="minorEastAsia" w:cstheme="minorBidi"/>
    </w:rPr>
  </w:style>
  <w:style w:type="paragraph" w:styleId="8">
    <w:name w:val="toc 5"/>
    <w:basedOn w:val="1"/>
    <w:next w:val="1"/>
    <w:unhideWhenUsed/>
    <w:qFormat/>
    <w:uiPriority w:val="39"/>
    <w:pPr>
      <w:spacing w:line="240" w:lineRule="auto"/>
      <w:ind w:left="1680" w:leftChars="800"/>
    </w:pPr>
    <w:rPr>
      <w:rFonts w:asciiTheme="minorHAnsi" w:hAnsiTheme="minorHAnsi" w:eastAsiaTheme="minorEastAsia" w:cstheme="minorBidi"/>
    </w:rPr>
  </w:style>
  <w:style w:type="paragraph" w:styleId="9">
    <w:name w:val="toc 3"/>
    <w:basedOn w:val="1"/>
    <w:next w:val="1"/>
    <w:unhideWhenUsed/>
    <w:qFormat/>
    <w:uiPriority w:val="39"/>
    <w:pPr>
      <w:spacing w:line="240" w:lineRule="auto"/>
      <w:ind w:left="840" w:leftChars="400"/>
    </w:pPr>
    <w:rPr>
      <w:rFonts w:asciiTheme="minorHAnsi" w:hAnsiTheme="minorHAnsi" w:eastAsiaTheme="minorEastAsia" w:cstheme="minorBidi"/>
    </w:rPr>
  </w:style>
  <w:style w:type="paragraph" w:styleId="10">
    <w:name w:val="toc 8"/>
    <w:basedOn w:val="1"/>
    <w:next w:val="1"/>
    <w:unhideWhenUsed/>
    <w:qFormat/>
    <w:uiPriority w:val="39"/>
    <w:pPr>
      <w:spacing w:line="240" w:lineRule="auto"/>
      <w:ind w:left="2940" w:leftChars="1400"/>
    </w:pPr>
    <w:rPr>
      <w:rFonts w:asciiTheme="minorHAnsi" w:hAnsiTheme="minorHAnsi" w:eastAsiaTheme="minorEastAsia" w:cstheme="minorBidi"/>
    </w:rPr>
  </w:style>
  <w:style w:type="paragraph" w:styleId="11">
    <w:name w:val="Balloon Text"/>
    <w:basedOn w:val="1"/>
    <w:link w:val="39"/>
    <w:semiHidden/>
    <w:unhideWhenUsed/>
    <w:qFormat/>
    <w:uiPriority w:val="99"/>
    <w:pPr>
      <w:spacing w:line="240" w:lineRule="auto"/>
    </w:pPr>
    <w:rPr>
      <w:sz w:val="18"/>
      <w:szCs w:val="18"/>
    </w:rPr>
  </w:style>
  <w:style w:type="paragraph" w:styleId="12">
    <w:name w:val="footer"/>
    <w:basedOn w:val="1"/>
    <w:link w:val="28"/>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pPr>
      <w:tabs>
        <w:tab w:val="left" w:pos="1050"/>
        <w:tab w:val="right" w:leader="dot" w:pos="13948"/>
      </w:tabs>
      <w:spacing w:line="240" w:lineRule="auto"/>
      <w:ind w:firstLine="480"/>
    </w:pPr>
    <w:rPr>
      <w:rFonts w:asciiTheme="minorHAnsi" w:hAnsiTheme="minorHAnsi" w:eastAsiaTheme="minorEastAsia" w:cstheme="minorBidi"/>
    </w:rPr>
  </w:style>
  <w:style w:type="paragraph" w:styleId="15">
    <w:name w:val="toc 4"/>
    <w:basedOn w:val="1"/>
    <w:next w:val="1"/>
    <w:unhideWhenUsed/>
    <w:qFormat/>
    <w:uiPriority w:val="39"/>
    <w:pPr>
      <w:spacing w:line="240" w:lineRule="auto"/>
      <w:ind w:left="1260" w:leftChars="600"/>
    </w:pPr>
    <w:rPr>
      <w:rFonts w:asciiTheme="minorHAnsi" w:hAnsiTheme="minorHAnsi" w:eastAsiaTheme="minorEastAsia" w:cstheme="minorBidi"/>
    </w:rPr>
  </w:style>
  <w:style w:type="paragraph" w:styleId="16">
    <w:name w:val="toc 6"/>
    <w:basedOn w:val="1"/>
    <w:next w:val="1"/>
    <w:unhideWhenUsed/>
    <w:qFormat/>
    <w:uiPriority w:val="39"/>
    <w:pPr>
      <w:spacing w:line="240" w:lineRule="auto"/>
      <w:ind w:left="2100" w:leftChars="1000"/>
    </w:pPr>
    <w:rPr>
      <w:rFonts w:asciiTheme="minorHAnsi" w:hAnsiTheme="minorHAnsi" w:eastAsiaTheme="minorEastAsia" w:cstheme="minorBidi"/>
    </w:rPr>
  </w:style>
  <w:style w:type="paragraph" w:styleId="17">
    <w:name w:val="toc 2"/>
    <w:basedOn w:val="1"/>
    <w:next w:val="1"/>
    <w:unhideWhenUsed/>
    <w:qFormat/>
    <w:uiPriority w:val="39"/>
    <w:pPr>
      <w:spacing w:line="240" w:lineRule="auto"/>
      <w:ind w:left="420" w:leftChars="200"/>
    </w:pPr>
    <w:rPr>
      <w:rFonts w:asciiTheme="minorHAnsi" w:hAnsiTheme="minorHAnsi" w:eastAsiaTheme="minorEastAsia" w:cstheme="minorBidi"/>
    </w:rPr>
  </w:style>
  <w:style w:type="paragraph" w:styleId="18">
    <w:name w:val="toc 9"/>
    <w:basedOn w:val="1"/>
    <w:next w:val="1"/>
    <w:unhideWhenUsed/>
    <w:qFormat/>
    <w:uiPriority w:val="39"/>
    <w:pPr>
      <w:spacing w:line="240" w:lineRule="auto"/>
      <w:ind w:left="3360" w:leftChars="1600"/>
    </w:pPr>
    <w:rPr>
      <w:rFonts w:asciiTheme="minorHAnsi" w:hAnsiTheme="minorHAnsi" w:eastAsiaTheme="minorEastAsia" w:cstheme="minorBidi"/>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customStyle="1" w:styleId="23">
    <w:name w:val="标题 1 字符"/>
    <w:basedOn w:val="21"/>
    <w:link w:val="2"/>
    <w:qFormat/>
    <w:uiPriority w:val="9"/>
    <w:rPr>
      <w:rFonts w:ascii="Times New Roman" w:hAnsi="Times New Roman" w:eastAsia="宋体" w:cs="Times New Roman"/>
      <w:b/>
      <w:bCs/>
      <w:kern w:val="44"/>
      <w:sz w:val="44"/>
      <w:szCs w:val="44"/>
    </w:rPr>
  </w:style>
  <w:style w:type="character" w:customStyle="1" w:styleId="24">
    <w:name w:val="标题 2 字符"/>
    <w:basedOn w:val="21"/>
    <w:link w:val="3"/>
    <w:semiHidden/>
    <w:qFormat/>
    <w:uiPriority w:val="0"/>
    <w:rPr>
      <w:rFonts w:asciiTheme="majorHAnsi" w:hAnsiTheme="majorHAnsi" w:eastAsiaTheme="majorEastAsia" w:cstheme="majorBidi"/>
      <w:b/>
      <w:bCs/>
      <w:sz w:val="32"/>
      <w:szCs w:val="32"/>
    </w:rPr>
  </w:style>
  <w:style w:type="character" w:customStyle="1" w:styleId="25">
    <w:name w:val="标题 3 字符"/>
    <w:basedOn w:val="21"/>
    <w:link w:val="4"/>
    <w:qFormat/>
    <w:uiPriority w:val="0"/>
    <w:rPr>
      <w:b/>
      <w:bCs/>
      <w:sz w:val="32"/>
      <w:szCs w:val="32"/>
    </w:rPr>
  </w:style>
  <w:style w:type="character" w:customStyle="1" w:styleId="26">
    <w:name w:val="标题 4 字符"/>
    <w:basedOn w:val="21"/>
    <w:link w:val="5"/>
    <w:semiHidden/>
    <w:qFormat/>
    <w:uiPriority w:val="9"/>
    <w:rPr>
      <w:rFonts w:asciiTheme="majorHAnsi" w:hAnsiTheme="majorHAnsi" w:eastAsiaTheme="majorEastAsia" w:cstheme="majorBidi"/>
      <w:b/>
      <w:bCs/>
      <w:kern w:val="2"/>
      <w:sz w:val="28"/>
      <w:szCs w:val="28"/>
    </w:rPr>
  </w:style>
  <w:style w:type="character" w:customStyle="1" w:styleId="27">
    <w:name w:val="标题 5 字符"/>
    <w:basedOn w:val="21"/>
    <w:link w:val="6"/>
    <w:semiHidden/>
    <w:qFormat/>
    <w:uiPriority w:val="9"/>
    <w:rPr>
      <w:rFonts w:ascii="Times New Roman" w:hAnsi="Times New Roman" w:eastAsia="宋体" w:cs="Times New Roman"/>
      <w:b/>
      <w:bCs/>
      <w:kern w:val="2"/>
      <w:sz w:val="28"/>
      <w:szCs w:val="28"/>
    </w:rPr>
  </w:style>
  <w:style w:type="character" w:customStyle="1" w:styleId="28">
    <w:name w:val="页脚 字符"/>
    <w:basedOn w:val="21"/>
    <w:link w:val="12"/>
    <w:qFormat/>
    <w:uiPriority w:val="99"/>
    <w:rPr>
      <w:sz w:val="18"/>
      <w:szCs w:val="18"/>
    </w:rPr>
  </w:style>
  <w:style w:type="character" w:customStyle="1" w:styleId="29">
    <w:name w:val="页眉 字符"/>
    <w:basedOn w:val="21"/>
    <w:link w:val="13"/>
    <w:qFormat/>
    <w:uiPriority w:val="99"/>
    <w:rPr>
      <w:sz w:val="18"/>
      <w:szCs w:val="18"/>
    </w:rPr>
  </w:style>
  <w:style w:type="paragraph" w:customStyle="1" w:styleId="3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标准标志"/>
    <w:basedOn w:val="30"/>
    <w:next w:val="30"/>
    <w:qFormat/>
    <w:uiPriority w:val="99"/>
    <w:rPr>
      <w:color w:val="auto"/>
    </w:rPr>
  </w:style>
  <w:style w:type="paragraph" w:customStyle="1" w:styleId="32">
    <w:name w:val="其他标准称谓"/>
    <w:basedOn w:val="30"/>
    <w:next w:val="30"/>
    <w:qFormat/>
    <w:uiPriority w:val="99"/>
    <w:rPr>
      <w:color w:val="auto"/>
    </w:rPr>
  </w:style>
  <w:style w:type="paragraph" w:customStyle="1" w:styleId="33">
    <w:name w:val="TOC 标题3"/>
    <w:basedOn w:val="2"/>
    <w:next w:val="1"/>
    <w:unhideWhenUsed/>
    <w:qFormat/>
    <w:uiPriority w:val="39"/>
    <w:pPr>
      <w:outlineLvl w:val="9"/>
    </w:pPr>
  </w:style>
  <w:style w:type="character" w:styleId="34">
    <w:name w:val="Placeholder Text"/>
    <w:basedOn w:val="21"/>
    <w:semiHidden/>
    <w:qFormat/>
    <w:uiPriority w:val="99"/>
    <w:rPr>
      <w:color w:val="808080"/>
    </w:rPr>
  </w:style>
  <w:style w:type="paragraph" w:styleId="35">
    <w:name w:val="List Paragraph"/>
    <w:basedOn w:val="1"/>
    <w:qFormat/>
    <w:uiPriority w:val="34"/>
    <w:pPr>
      <w:ind w:firstLine="420" w:firstLineChars="200"/>
    </w:pPr>
  </w:style>
  <w:style w:type="paragraph" w:customStyle="1" w:styleId="36">
    <w:name w:val="表格居中"/>
    <w:qFormat/>
    <w:uiPriority w:val="0"/>
    <w:pPr>
      <w:jc w:val="center"/>
    </w:pPr>
    <w:rPr>
      <w:rFonts w:ascii="Times New Roman" w:hAnsi="Times New Roman" w:eastAsia="宋体" w:cs="Times New Roman"/>
      <w:bCs/>
      <w:color w:val="000000"/>
      <w:kern w:val="2"/>
      <w:sz w:val="21"/>
      <w:szCs w:val="32"/>
      <w:lang w:val="en-US" w:eastAsia="zh-CN" w:bidi="ar-SA"/>
    </w:rPr>
  </w:style>
  <w:style w:type="table" w:customStyle="1" w:styleId="37">
    <w:name w:val="Table Normal"/>
    <w:semiHidden/>
    <w:unhideWhenUsed/>
    <w:qFormat/>
    <w:uiPriority w:val="0"/>
    <w:tblPr>
      <w:tblCellMar>
        <w:top w:w="0" w:type="dxa"/>
        <w:left w:w="0" w:type="dxa"/>
        <w:bottom w:w="0" w:type="dxa"/>
        <w:right w:w="0" w:type="dxa"/>
      </w:tblCellMar>
    </w:tblPr>
  </w:style>
  <w:style w:type="paragraph" w:customStyle="1" w:styleId="3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9">
    <w:name w:val="批注框文本 字符"/>
    <w:basedOn w:val="21"/>
    <w:link w:val="11"/>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13069</Words>
  <Characters>74498</Characters>
  <Lines>620</Lines>
  <Paragraphs>174</Paragraphs>
  <TotalTime>4</TotalTime>
  <ScaleCrop>false</ScaleCrop>
  <LinksUpToDate>false</LinksUpToDate>
  <CharactersWithSpaces>87393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2022-11-16T01:22:00Z</dcterms:created>
  <dc:creator>天予 陈</dc:creator>
  <cp:lastModifiedBy>nielu</cp:lastModifiedBy>
  <dcterms:modified xsi:type="dcterms:W3CDTF">2022-11-16T15:30:03Z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B6AA943BEC1F48B8B141543CC5D85BC3</vt:lpwstr>
  </property>
</Properties>
</file>