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7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FF0000"/>
          <w:spacing w:val="20"/>
          <w:kern w:val="0"/>
          <w:sz w:val="62"/>
          <w:szCs w:val="62"/>
          <w:bdr w:val="none" w:color="auto" w:sz="0" w:space="0"/>
          <w:shd w:val="clear" w:fill="FFFFFF"/>
          <w:lang w:val="en-US" w:eastAsia="zh-CN" w:bidi="ar"/>
        </w:rPr>
        <w:t>天津市城乡建设委员会文件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560" w:lineRule="atLeast"/>
        <w:ind w:left="0" w:right="0"/>
        <w:jc w:val="center"/>
      </w:pPr>
      <w:r>
        <w:rPr>
          <w:rFonts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560" w:lineRule="atLeast"/>
        <w:ind w:left="0" w:right="0"/>
        <w:jc w:val="center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40" w:lineRule="atLeast"/>
        <w:ind w:left="0" w:right="0"/>
        <w:jc w:val="center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津建科〔2016〕100号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60" w:lineRule="atLeast"/>
        <w:ind w:left="0" w:right="0"/>
        <w:jc w:val="center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INCLUDEPICTURE \d "http://gk.tj.gov.cn/gkml/00012517X/201603/./W020160624575963901792.gif" \* MERGEFORMATINET </w:instrText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67375" cy="476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/>
        <w:jc w:val="center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D3D3D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市建委</w:t>
      </w:r>
      <w:bookmarkStart w:id="0" w:name="year1_b"/>
      <w:bookmarkEnd w:id="0"/>
      <w:r>
        <w:rPr>
          <w:rFonts w:hint="default" w:ascii="方正小标宋简体" w:hAnsi="方正小标宋简体" w:eastAsia="方正小标宋简体" w:cs="方正小标宋简体"/>
          <w:color w:val="3D3D3D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关于在天津市建筑产业现代化项目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D3D3D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规划条件中提供相关建设指标的通知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/>
        <w:jc w:val="center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滨海新区建交局、各区县建委：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贯彻落实市建委、市发改委、市科委、市工信委、市规划局、市国土房管局、市财政局等七部门联合印发《关于加快推进我市建筑产业现代化发展（2015-2017年）实施意见的通知》（津建科〔2015〕543号）文件要求，保证建筑产业现代化项目顺利实施，并在审批程序上做好与规划条件制订工作的有效链接，制定我市建筑产业现代化项目规划条件中相关建设指标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ascii="黑体" w:hAnsi="宋体" w:eastAsia="黑体" w:cs="黑体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一、保障性住房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b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1.预制装配率：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a、当采用钢筋混凝土结构体系时，预制装配率不低于30%；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b、当采用钢结构体系时，预制装配率不低于50%；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c、采用其他结构体系新建的预制装配整体式建筑，应经过市建设行政主管部门组织认定。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b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2.绿色建筑星级：</w:t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不低于绿建一星；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b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3.可再生能源应用：</w:t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分为生活热水系统和供热（供冷）方式。其中：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a、生活热水系统应依据我市居住建筑节能设计标准（DB29-1-2013）第6.2.2条内容提出；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b、供热（供冷）方式由供热管理部门提出。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eastAsia" w:ascii="黑体" w:hAnsi="宋体" w:eastAsia="黑体" w:cs="黑体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二、10万平方米及以上新建商品房的30%部分与保障性住房设定建设指标一致。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eastAsia" w:ascii="黑体" w:hAnsi="宋体" w:eastAsia="黑体" w:cs="黑体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三、5万平方米及以上公共建筑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b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1.预制装配率：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a、当采用钢筋混凝土结构体系时，预制装配率不低于30%；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b、当采用钢结构体系时，预制装配率不低于50%；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c、采用其他结构体系新建的预制装配整体式建筑，应经过市建设行政主管部门组织认定。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b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2.绿色建筑星级：</w:t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不低于绿建二星；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44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b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3.可再生能源应用：</w:t>
      </w: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供热（供冷）方式由供热管理部门提出。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1314" w:firstLine="632"/>
        <w:jc w:val="righ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2016年3月8日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（联系人：云立祥；联系电话：28468608）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（此件主动公开）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632"/>
        <w:jc w:val="left"/>
      </w:pPr>
      <w:r>
        <w:rPr>
          <w:rFonts w:hint="default" w:ascii="仿宋_GB2312" w:hAnsi="微软雅黑" w:eastAsia="仿宋_GB2312" w:cs="仿宋_GB2312"/>
          <w:snapToGrid w:val="0"/>
          <w:color w:val="3D3D3D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600" w:lineRule="atLeast"/>
        <w:ind w:left="0" w:right="0" w:firstLine="314"/>
        <w:jc w:val="left"/>
      </w:pPr>
      <w:r>
        <w:rPr>
          <w:rFonts w:hint="default" w:ascii="仿宋_GB2312" w:hAnsi="微软雅黑" w:eastAsia="仿宋_GB2312" w:cs="仿宋_GB2312"/>
          <w:color w:val="3D3D3D"/>
          <w:spacing w:val="-6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 天津市城乡建设委员会办公室</w:t>
      </w:r>
      <w:r>
        <w:rPr>
          <w:rFonts w:hint="default" w:ascii="仿宋_GB2312" w:hAnsi="微软雅黑" w:eastAsia="仿宋_GB2312" w:cs="仿宋_GB2312"/>
          <w:color w:val="3D3D3D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        2016年3月11日 印发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¿¬Ìå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0C0A0A"/>
    <w:rsid w:val="288847AA"/>
    <w:rsid w:val="6391674F"/>
    <w:rsid w:val="72165092"/>
    <w:rsid w:val="7EB459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宋体" w:cs="Angsana New"/>
      <w:kern w:val="2"/>
      <w:sz w:val="24"/>
      <w:szCs w:val="24"/>
      <w:lang w:val="en-US" w:eastAsia="zh-CN" w:bidi="th-TH"/>
    </w:rPr>
  </w:style>
  <w:style w:type="paragraph" w:styleId="2">
    <w:name w:val="heading 1"/>
    <w:basedOn w:val="3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黑体" w:hAnsi="黑体" w:eastAsia="黑体" w:cs="Times New Roman"/>
      <w:bCs/>
      <w:kern w:val="44"/>
      <w:sz w:val="44"/>
      <w:szCs w:val="44"/>
      <w:lang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5"/>
    <w:next w:val="1"/>
    <w:link w:val="14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Arial" w:hAnsi="Arial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List 2"/>
    <w:basedOn w:val="1"/>
    <w:qFormat/>
    <w:uiPriority w:val="0"/>
    <w:pPr>
      <w:ind w:left="100" w:leftChars="200" w:hanging="200" w:hangingChars="200"/>
    </w:pPr>
  </w:style>
  <w:style w:type="character" w:styleId="8">
    <w:name w:val="FollowedHyperlink"/>
    <w:basedOn w:val="7"/>
    <w:uiPriority w:val="0"/>
    <w:rPr>
      <w:color w:val="3D3D3D"/>
      <w:u w:val="none"/>
    </w:rPr>
  </w:style>
  <w:style w:type="character" w:styleId="9">
    <w:name w:val="Hyperlink"/>
    <w:basedOn w:val="7"/>
    <w:uiPriority w:val="0"/>
    <w:rPr>
      <w:color w:val="3D3D3D"/>
      <w:u w:val="none"/>
    </w:rPr>
  </w:style>
  <w:style w:type="character" w:styleId="10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paragraph" w:customStyle="1" w:styleId="12">
    <w:name w:val="样式1"/>
    <w:basedOn w:val="6"/>
    <w:qFormat/>
    <w:uiPriority w:val="0"/>
    <w:rPr>
      <w:rFonts w:ascii="Times New Roman" w:hAnsi="Times New Roman" w:eastAsia="黑体" w:cs="Angsana New"/>
      <w:sz w:val="44"/>
      <w:lang w:bidi="th-TH"/>
    </w:rPr>
  </w:style>
  <w:style w:type="character" w:customStyle="1" w:styleId="13">
    <w:name w:val="标题 1 Char"/>
    <w:link w:val="2"/>
    <w:qFormat/>
    <w:uiPriority w:val="0"/>
    <w:rPr>
      <w:rFonts w:ascii="黑体" w:hAnsi="黑体" w:eastAsia="黑体" w:cs="Times New Roman"/>
      <w:b/>
      <w:bCs/>
      <w:kern w:val="44"/>
      <w:sz w:val="44"/>
      <w:szCs w:val="44"/>
      <w:lang w:bidi="ar-SA"/>
    </w:rPr>
  </w:style>
  <w:style w:type="character" w:customStyle="1" w:styleId="14">
    <w:name w:val="标题 3 Char"/>
    <w:link w:val="4"/>
    <w:qFormat/>
    <w:uiPriority w:val="0"/>
    <w:rPr>
      <w:rFonts w:ascii="Arial" w:hAnsi="Arial" w:eastAsia="宋体" w:cs="Angsana New"/>
      <w:b/>
      <w:bCs/>
      <w:kern w:val="2"/>
      <w:sz w:val="32"/>
      <w:szCs w:val="3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2017-03-09T08:28:33Z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