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40" w:lineRule="atLeast"/>
        <w:ind w:left="300" w:right="300"/>
        <w:jc w:val="center"/>
      </w:pPr>
      <w:r>
        <w:rPr>
          <w:rFonts w:hint="eastAsia" w:ascii="Times New Roman" w:hAnsi="宋体" w:eastAsia="宋体" w:cs="宋体"/>
          <w:color w:val="000000"/>
          <w:kern w:val="0"/>
          <w:sz w:val="24"/>
          <w:szCs w:val="24"/>
          <w:shd w:val="clear" w:fill="FFFFFF"/>
          <w:lang w:val="en-US" w:eastAsia="zh-CN" w:bidi="ar"/>
        </w:rPr>
        <w:t>渝府办发〔</w:t>
      </w:r>
      <w:r>
        <w:rPr>
          <w:rFonts w:hint="eastAsia" w:ascii="宋体" w:hAnsi="宋体" w:eastAsia="宋体" w:cs="宋体"/>
          <w:color w:val="000000"/>
          <w:kern w:val="0"/>
          <w:sz w:val="24"/>
          <w:szCs w:val="24"/>
          <w:shd w:val="clear" w:fill="FFFFFF"/>
          <w:lang w:val="en-US" w:eastAsia="zh-CN" w:bidi="ar"/>
        </w:rPr>
        <w:t>2016</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179</w:t>
      </w:r>
      <w:r>
        <w:rPr>
          <w:rFonts w:hint="eastAsia" w:ascii="Times New Roman" w:hAnsi="宋体" w:eastAsia="宋体" w:cs="宋体"/>
          <w:color w:val="000000"/>
          <w:kern w:val="0"/>
          <w:sz w:val="24"/>
          <w:szCs w:val="24"/>
          <w:shd w:val="clear" w:fill="FFFFFF"/>
          <w:lang w:val="en-US" w:eastAsia="zh-CN" w:bidi="ar"/>
        </w:rPr>
        <w:t>号</w:t>
      </w:r>
      <w:r>
        <w:rPr>
          <w:rFonts w:hint="eastAsia" w:ascii="Times New Roman" w:hAnsi="宋体" w:eastAsia="宋体" w:cs="宋体"/>
          <w:vanish/>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napToGrid w:val="0"/>
        <w:spacing w:before="0" w:beforeAutospacing="0" w:after="0" w:afterAutospacing="0" w:line="540" w:lineRule="exact"/>
        <w:ind w:left="300" w:right="300"/>
        <w:jc w:val="center"/>
      </w:pPr>
      <w:r>
        <w:rPr>
          <w:rFonts w:ascii="黑体" w:hAnsi="宋体" w:eastAsia="黑体" w:cs="黑体"/>
          <w:color w:val="000000"/>
          <w:kern w:val="0"/>
          <w:sz w:val="42"/>
          <w:szCs w:val="42"/>
          <w:shd w:val="clear" w:fill="FFFFFF"/>
          <w:lang w:val="en-US" w:eastAsia="zh-CN" w:bidi="ar"/>
        </w:rPr>
        <w:t>重庆市人民政府办公厅</w:t>
      </w:r>
    </w:p>
    <w:p>
      <w:pPr>
        <w:keepNext w:val="0"/>
        <w:keepLines w:val="0"/>
        <w:widowControl/>
        <w:suppressLineNumbers w:val="0"/>
        <w:snapToGrid w:val="0"/>
        <w:spacing w:before="0" w:beforeAutospacing="0" w:after="0" w:afterAutospacing="0" w:line="540" w:lineRule="exact"/>
        <w:ind w:left="300" w:right="300"/>
        <w:jc w:val="center"/>
      </w:pPr>
      <w:r>
        <w:rPr>
          <w:rFonts w:hint="eastAsia" w:ascii="黑体" w:hAnsi="宋体" w:eastAsia="黑体" w:cs="黑体"/>
          <w:color w:val="000000"/>
          <w:kern w:val="0"/>
          <w:sz w:val="42"/>
          <w:szCs w:val="42"/>
          <w:shd w:val="clear" w:fill="FFFFFF"/>
          <w:lang w:val="en-US" w:eastAsia="zh-CN" w:bidi="ar"/>
        </w:rPr>
        <w:t>关于印发重庆市促进建材工业</w:t>
      </w:r>
    </w:p>
    <w:p>
      <w:pPr>
        <w:keepNext w:val="0"/>
        <w:keepLines w:val="0"/>
        <w:widowControl/>
        <w:suppressLineNumbers w:val="0"/>
        <w:snapToGrid w:val="0"/>
        <w:spacing w:before="0" w:beforeAutospacing="0" w:after="0" w:afterAutospacing="0" w:line="540" w:lineRule="exact"/>
        <w:ind w:left="300" w:right="300"/>
        <w:jc w:val="center"/>
      </w:pPr>
      <w:r>
        <w:rPr>
          <w:rFonts w:hint="eastAsia" w:ascii="黑体" w:hAnsi="宋体" w:eastAsia="黑体" w:cs="黑体"/>
          <w:color w:val="000000"/>
          <w:kern w:val="0"/>
          <w:sz w:val="42"/>
          <w:szCs w:val="42"/>
          <w:shd w:val="clear" w:fill="FFFFFF"/>
          <w:lang w:val="en-US" w:eastAsia="zh-CN" w:bidi="ar"/>
        </w:rPr>
        <w:t>稳增长调结构增效益实施方案的通知</w:t>
      </w:r>
    </w:p>
    <w:p>
      <w:pPr>
        <w:keepNext w:val="0"/>
        <w:keepLines w:val="0"/>
        <w:widowControl/>
        <w:suppressLineNumbers w:val="0"/>
        <w:spacing w:before="0" w:beforeAutospacing="0" w:after="0" w:afterAutospacing="0" w:line="500" w:lineRule="exac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jc w:val="left"/>
      </w:pPr>
      <w:r>
        <w:rPr>
          <w:rFonts w:hint="eastAsia" w:ascii="Times New Roman" w:hAnsi="宋体" w:eastAsia="宋体" w:cs="宋体"/>
          <w:color w:val="000000"/>
          <w:kern w:val="0"/>
          <w:sz w:val="24"/>
          <w:szCs w:val="24"/>
          <w:shd w:val="clear" w:fill="FFFFFF"/>
          <w:lang w:val="en-US" w:eastAsia="zh-CN" w:bidi="ar"/>
        </w:rPr>
        <w:t>各区县（自治县）人民政府，市政府有关部门，有关单位：</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《重庆市促进建材工业稳增长调结构增效益实施方案》已经市政府同意，现印发给你们，请认真贯彻执行。</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4769"/>
        <w:jc w:val="right"/>
      </w:pPr>
      <w:r>
        <w:rPr>
          <w:rFonts w:hint="eastAsia" w:ascii="Times New Roman" w:hAnsi="宋体" w:eastAsia="宋体" w:cs="宋体"/>
          <w:color w:val="000000"/>
          <w:kern w:val="0"/>
          <w:sz w:val="24"/>
          <w:szCs w:val="24"/>
          <w:shd w:val="clear" w:fill="FFFFFF"/>
          <w:lang w:val="en-US" w:eastAsia="zh-CN" w:bidi="ar"/>
        </w:rPr>
        <w:t>重庆市人民政府办公厅</w:t>
      </w:r>
      <w:r>
        <w:rPr>
          <w:rFonts w:hint="eastAsia" w:ascii="宋体" w:hAnsi="宋体" w:eastAsia="宋体" w:cs="宋体"/>
          <w:color w:val="000000"/>
          <w:kern w:val="0"/>
          <w:sz w:val="24"/>
          <w:szCs w:val="24"/>
          <w:shd w:val="clear" w:fill="FFFFFF"/>
          <w:lang w:val="en-US" w:eastAsia="zh-CN" w:bidi="ar"/>
        </w:rPr>
        <w:br w:type="textWrapping"/>
      </w:r>
      <w:r>
        <w:rPr>
          <w:rFonts w:hint="eastAsia" w:ascii="宋体" w:hAnsi="宋体" w:eastAsia="宋体" w:cs="宋体"/>
          <w:color w:val="000000"/>
          <w:kern w:val="0"/>
          <w:sz w:val="24"/>
          <w:szCs w:val="24"/>
          <w:shd w:val="clear" w:fill="FFFFFF"/>
          <w:lang w:val="en-US" w:eastAsia="zh-CN" w:bidi="ar"/>
        </w:rPr>
        <w:t>2016年8月25日</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（此件公开发布）</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sz w:val="21"/>
          <w:szCs w:val="21"/>
          <w:bdr w:val="none" w:color="auto" w:sz="0" w:space="0"/>
          <w:shd w:val="clear" w:fill="FFFFFF"/>
        </w:rPr>
        <w:br w:type="page"/>
      </w: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90" w:lineRule="exact"/>
        <w:ind w:left="300" w:right="300"/>
        <w:jc w:val="center"/>
      </w:pPr>
      <w:r>
        <w:rPr>
          <w:rFonts w:hint="eastAsia" w:ascii="Times New Roman" w:hAnsi="宋体" w:eastAsia="黑体" w:cs="黑体"/>
          <w:color w:val="000000"/>
          <w:kern w:val="0"/>
          <w:sz w:val="42"/>
          <w:szCs w:val="42"/>
          <w:shd w:val="clear" w:fill="FFFFFF"/>
          <w:lang w:val="en-US" w:eastAsia="zh-CN" w:bidi="ar"/>
        </w:rPr>
        <w:t>重庆市促进建材工业</w:t>
      </w:r>
    </w:p>
    <w:p>
      <w:pPr>
        <w:keepNext w:val="0"/>
        <w:keepLines w:val="0"/>
        <w:widowControl/>
        <w:suppressLineNumbers w:val="0"/>
        <w:spacing w:before="0" w:beforeAutospacing="0" w:after="0" w:afterAutospacing="0" w:line="590" w:lineRule="exact"/>
        <w:ind w:left="300" w:right="300"/>
        <w:jc w:val="center"/>
      </w:pPr>
      <w:r>
        <w:rPr>
          <w:rFonts w:hint="eastAsia" w:ascii="Times New Roman" w:hAnsi="宋体" w:eastAsia="黑体" w:cs="黑体"/>
          <w:color w:val="000000"/>
          <w:kern w:val="0"/>
          <w:sz w:val="42"/>
          <w:szCs w:val="42"/>
          <w:shd w:val="clear" w:fill="FFFFFF"/>
          <w:lang w:val="en-US" w:eastAsia="zh-CN" w:bidi="ar"/>
        </w:rPr>
        <w:t>稳增长调结构增效益实施方案</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为贯彻落实《国务院办公厅关于促进建材工业稳增长调结构增效益的指导意见》（国办发〔</w:t>
      </w:r>
      <w:r>
        <w:rPr>
          <w:rFonts w:hint="eastAsia" w:ascii="宋体" w:hAnsi="宋体" w:eastAsia="宋体" w:cs="宋体"/>
          <w:color w:val="000000"/>
          <w:kern w:val="0"/>
          <w:sz w:val="24"/>
          <w:szCs w:val="24"/>
          <w:shd w:val="clear" w:fill="FFFFFF"/>
          <w:lang w:val="en-US" w:eastAsia="zh-CN" w:bidi="ar"/>
        </w:rPr>
        <w:t>2016</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34</w:t>
      </w:r>
      <w:r>
        <w:rPr>
          <w:rFonts w:hint="eastAsia" w:ascii="Times New Roman" w:hAnsi="宋体" w:eastAsia="宋体" w:cs="宋体"/>
          <w:color w:val="000000"/>
          <w:kern w:val="0"/>
          <w:sz w:val="24"/>
          <w:szCs w:val="24"/>
          <w:shd w:val="clear" w:fill="FFFFFF"/>
          <w:lang w:val="en-US" w:eastAsia="zh-CN" w:bidi="ar"/>
        </w:rPr>
        <w:t>号），推动我市建材工业转型升级、健康发展，结合我市实际，制定本实施方案。</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一、总体要求</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一）基本思路。牢固树立创新、协调、绿色、开放、共享的发展理念，深入实施五大功能区域发展战略，加快推进供给侧结构性改革，按照市场主导、企业主体、政策引导、统筹协调的原则，压减过剩产能、提升传统产业、发展新材料产业，推动转型升级，提高建材工业的质量和效益。</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（二）目标任务。到</w:t>
      </w:r>
      <w:r>
        <w:rPr>
          <w:rFonts w:hint="eastAsia" w:ascii="宋体" w:hAnsi="宋体" w:eastAsia="宋体" w:cs="宋体"/>
          <w:color w:val="000000"/>
          <w:kern w:val="0"/>
          <w:sz w:val="24"/>
          <w:szCs w:val="24"/>
          <w:shd w:val="clear" w:fill="FFFFFF"/>
          <w:lang w:val="en-US" w:eastAsia="zh-CN" w:bidi="ar"/>
        </w:rPr>
        <w:t>2020</w:t>
      </w:r>
      <w:r>
        <w:rPr>
          <w:rFonts w:hint="eastAsia" w:ascii="Times New Roman" w:hAnsi="宋体" w:eastAsia="宋体" w:cs="宋体"/>
          <w:color w:val="000000"/>
          <w:kern w:val="0"/>
          <w:sz w:val="24"/>
          <w:szCs w:val="24"/>
          <w:shd w:val="clear" w:fill="FFFFFF"/>
          <w:lang w:val="en-US" w:eastAsia="zh-CN" w:bidi="ar"/>
        </w:rPr>
        <w:t>年，水泥行业再压减一批熟料产能，产能利用率达到</w:t>
      </w:r>
      <w:r>
        <w:rPr>
          <w:rFonts w:hint="eastAsia" w:ascii="宋体" w:hAnsi="宋体" w:eastAsia="宋体" w:cs="宋体"/>
          <w:color w:val="000000"/>
          <w:kern w:val="0"/>
          <w:sz w:val="24"/>
          <w:szCs w:val="24"/>
          <w:shd w:val="clear" w:fill="FFFFFF"/>
          <w:lang w:val="en-US" w:eastAsia="zh-CN" w:bidi="ar"/>
        </w:rPr>
        <w:t>80%</w:t>
      </w:r>
      <w:r>
        <w:rPr>
          <w:rFonts w:hint="eastAsia" w:ascii="Times New Roman" w:hAnsi="宋体" w:eastAsia="宋体" w:cs="宋体"/>
          <w:color w:val="000000"/>
          <w:kern w:val="0"/>
          <w:sz w:val="24"/>
          <w:szCs w:val="24"/>
          <w:shd w:val="clear" w:fill="FFFFFF"/>
          <w:lang w:val="en-US" w:eastAsia="zh-CN" w:bidi="ar"/>
        </w:rPr>
        <w:t>以上，熟料产量排名前</w:t>
      </w:r>
      <w:r>
        <w:rPr>
          <w:rFonts w:hint="eastAsia" w:ascii="宋体" w:hAnsi="宋体" w:eastAsia="宋体" w:cs="宋体"/>
          <w:color w:val="000000"/>
          <w:kern w:val="0"/>
          <w:sz w:val="24"/>
          <w:szCs w:val="24"/>
          <w:shd w:val="clear" w:fill="FFFFFF"/>
          <w:lang w:val="en-US" w:eastAsia="zh-CN" w:bidi="ar"/>
        </w:rPr>
        <w:t>10</w:t>
      </w:r>
      <w:r>
        <w:rPr>
          <w:rFonts w:hint="eastAsia" w:ascii="Times New Roman" w:hAnsi="宋体" w:eastAsia="宋体" w:cs="宋体"/>
          <w:color w:val="000000"/>
          <w:kern w:val="0"/>
          <w:sz w:val="24"/>
          <w:szCs w:val="24"/>
          <w:shd w:val="clear" w:fill="FFFFFF"/>
          <w:lang w:val="en-US" w:eastAsia="zh-CN" w:bidi="ar"/>
        </w:rPr>
        <w:t>家企业的生产集中度达</w:t>
      </w:r>
      <w:r>
        <w:rPr>
          <w:rFonts w:hint="eastAsia" w:ascii="宋体" w:hAnsi="宋体" w:eastAsia="宋体" w:cs="宋体"/>
          <w:color w:val="000000"/>
          <w:kern w:val="0"/>
          <w:sz w:val="24"/>
          <w:szCs w:val="24"/>
          <w:shd w:val="clear" w:fill="FFFFFF"/>
          <w:lang w:val="en-US" w:eastAsia="zh-CN" w:bidi="ar"/>
        </w:rPr>
        <w:t>80%</w:t>
      </w:r>
      <w:r>
        <w:rPr>
          <w:rFonts w:hint="eastAsia" w:ascii="Times New Roman" w:hAnsi="宋体" w:eastAsia="宋体" w:cs="宋体"/>
          <w:color w:val="000000"/>
          <w:kern w:val="0"/>
          <w:sz w:val="24"/>
          <w:szCs w:val="24"/>
          <w:shd w:val="clear" w:fill="FFFFFF"/>
          <w:lang w:val="en-US" w:eastAsia="zh-CN" w:bidi="ar"/>
        </w:rPr>
        <w:t>以上；平板玻璃行业严控新增产能，产能利用率达</w:t>
      </w:r>
      <w:r>
        <w:rPr>
          <w:rFonts w:hint="eastAsia" w:ascii="宋体" w:hAnsi="宋体" w:eastAsia="宋体" w:cs="宋体"/>
          <w:color w:val="000000"/>
          <w:kern w:val="0"/>
          <w:sz w:val="24"/>
          <w:szCs w:val="24"/>
          <w:shd w:val="clear" w:fill="FFFFFF"/>
          <w:lang w:val="en-US" w:eastAsia="zh-CN" w:bidi="ar"/>
        </w:rPr>
        <w:t>80%</w:t>
      </w:r>
      <w:r>
        <w:rPr>
          <w:rFonts w:hint="eastAsia" w:ascii="Times New Roman" w:hAnsi="宋体" w:eastAsia="宋体" w:cs="宋体"/>
          <w:color w:val="000000"/>
          <w:kern w:val="0"/>
          <w:sz w:val="24"/>
          <w:szCs w:val="24"/>
          <w:shd w:val="clear" w:fill="FFFFFF"/>
          <w:lang w:val="en-US" w:eastAsia="zh-CN" w:bidi="ar"/>
        </w:rPr>
        <w:t>以上，平板玻璃产量排名前</w:t>
      </w:r>
      <w:r>
        <w:rPr>
          <w:rFonts w:hint="eastAsia" w:ascii="宋体" w:hAnsi="宋体" w:eastAsia="宋体" w:cs="宋体"/>
          <w:color w:val="000000"/>
          <w:kern w:val="0"/>
          <w:sz w:val="24"/>
          <w:szCs w:val="24"/>
          <w:shd w:val="clear" w:fill="FFFFFF"/>
          <w:lang w:val="en-US" w:eastAsia="zh-CN" w:bidi="ar"/>
        </w:rPr>
        <w:t>2</w:t>
      </w:r>
      <w:r>
        <w:rPr>
          <w:rFonts w:hint="eastAsia" w:ascii="Times New Roman" w:hAnsi="宋体" w:eastAsia="宋体" w:cs="宋体"/>
          <w:color w:val="000000"/>
          <w:kern w:val="0"/>
          <w:sz w:val="24"/>
          <w:szCs w:val="24"/>
          <w:shd w:val="clear" w:fill="FFFFFF"/>
          <w:lang w:val="en-US" w:eastAsia="zh-CN" w:bidi="ar"/>
        </w:rPr>
        <w:t>家企业的生产集中度达</w:t>
      </w:r>
      <w:r>
        <w:rPr>
          <w:rFonts w:hint="eastAsia" w:ascii="宋体" w:hAnsi="宋体" w:eastAsia="宋体" w:cs="宋体"/>
          <w:color w:val="000000"/>
          <w:kern w:val="0"/>
          <w:sz w:val="24"/>
          <w:szCs w:val="24"/>
          <w:shd w:val="clear" w:fill="FFFFFF"/>
          <w:lang w:val="en-US" w:eastAsia="zh-CN" w:bidi="ar"/>
        </w:rPr>
        <w:t>80%</w:t>
      </w:r>
      <w:r>
        <w:rPr>
          <w:rFonts w:hint="eastAsia" w:ascii="Times New Roman" w:hAnsi="宋体" w:eastAsia="宋体" w:cs="宋体"/>
          <w:color w:val="000000"/>
          <w:kern w:val="0"/>
          <w:sz w:val="24"/>
          <w:szCs w:val="24"/>
          <w:shd w:val="clear" w:fill="FFFFFF"/>
          <w:lang w:val="en-US" w:eastAsia="zh-CN" w:bidi="ar"/>
        </w:rPr>
        <w:t>以上；建材产品深加工水平稳步提高，绿色建材产品比重稳步提高，高端产品供给能力显著增强，节能减排和资源综合利用水平进一步提升；建材工业效益好转，全行业利润率超过全市工业平均水平。</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二、压减过剩产能</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（三）严控新增产能。</w:t>
      </w:r>
      <w:r>
        <w:rPr>
          <w:rFonts w:hint="eastAsia" w:ascii="宋体" w:hAnsi="宋体" w:eastAsia="宋体" w:cs="宋体"/>
          <w:color w:val="000000"/>
          <w:kern w:val="0"/>
          <w:sz w:val="24"/>
          <w:szCs w:val="24"/>
          <w:shd w:val="clear" w:fill="FFFFFF"/>
          <w:lang w:val="en-US" w:eastAsia="zh-CN" w:bidi="ar"/>
        </w:rPr>
        <w:t>2020</w:t>
      </w:r>
      <w:r>
        <w:rPr>
          <w:rFonts w:hint="eastAsia" w:ascii="Times New Roman" w:hAnsi="宋体" w:eastAsia="宋体" w:cs="宋体"/>
          <w:color w:val="000000"/>
          <w:kern w:val="0"/>
          <w:sz w:val="24"/>
          <w:szCs w:val="24"/>
          <w:shd w:val="clear" w:fill="FFFFFF"/>
          <w:lang w:val="en-US" w:eastAsia="zh-CN" w:bidi="ar"/>
        </w:rPr>
        <w:t>年底前，严禁备案新建和扩大产</w:t>
      </w:r>
      <w:r>
        <w:rPr>
          <w:rFonts w:hint="eastAsia" w:ascii="Times New Roman" w:hAnsi="宋体" w:eastAsia="宋体" w:cs="宋体"/>
          <w:color w:val="000000"/>
          <w:spacing w:val="-4"/>
          <w:kern w:val="0"/>
          <w:sz w:val="24"/>
          <w:szCs w:val="24"/>
          <w:shd w:val="clear" w:fill="FFFFFF"/>
          <w:lang w:val="en-US" w:eastAsia="zh-CN" w:bidi="ar"/>
        </w:rPr>
        <w:t>能的水泥熟料、烧结砖建设项目；</w:t>
      </w:r>
      <w:r>
        <w:rPr>
          <w:rFonts w:hint="eastAsia" w:ascii="宋体" w:hAnsi="宋体" w:eastAsia="宋体" w:cs="宋体"/>
          <w:color w:val="000000"/>
          <w:spacing w:val="-4"/>
          <w:kern w:val="0"/>
          <w:sz w:val="24"/>
          <w:szCs w:val="24"/>
          <w:shd w:val="clear" w:fill="FFFFFF"/>
          <w:lang w:val="en-US" w:eastAsia="zh-CN" w:bidi="ar"/>
        </w:rPr>
        <w:t>2017</w:t>
      </w:r>
      <w:r>
        <w:rPr>
          <w:rFonts w:hint="eastAsia" w:ascii="Times New Roman" w:hAnsi="宋体" w:eastAsia="宋体" w:cs="宋体"/>
          <w:color w:val="000000"/>
          <w:spacing w:val="-4"/>
          <w:kern w:val="0"/>
          <w:sz w:val="24"/>
          <w:szCs w:val="24"/>
          <w:shd w:val="clear" w:fill="FFFFFF"/>
          <w:lang w:val="en-US" w:eastAsia="zh-CN" w:bidi="ar"/>
        </w:rPr>
        <w:t>年底前，暂停实际控制人</w:t>
      </w:r>
      <w:r>
        <w:rPr>
          <w:rFonts w:hint="eastAsia" w:ascii="Times New Roman" w:hAnsi="宋体" w:eastAsia="宋体" w:cs="宋体"/>
          <w:color w:val="000000"/>
          <w:kern w:val="0"/>
          <w:sz w:val="24"/>
          <w:szCs w:val="24"/>
          <w:shd w:val="clear" w:fill="FFFFFF"/>
          <w:lang w:val="en-US" w:eastAsia="zh-CN" w:bidi="ar"/>
        </w:rPr>
        <w:t>不同的企业间的水泥熟料、平板玻璃产能置换。利用水泥窑协同处置城市生活垃圾或危险废物、电石渣等固废伴生水泥项目，必须依托现有新型干法水泥熟料生产线进行不扩产能的改造。新上工业玻璃项目，熔窑能力超过</w:t>
      </w:r>
      <w:r>
        <w:rPr>
          <w:rFonts w:hint="eastAsia" w:ascii="宋体" w:hAnsi="宋体" w:eastAsia="宋体" w:cs="宋体"/>
          <w:color w:val="000000"/>
          <w:kern w:val="0"/>
          <w:sz w:val="24"/>
          <w:szCs w:val="24"/>
          <w:shd w:val="clear" w:fill="FFFFFF"/>
          <w:lang w:val="en-US" w:eastAsia="zh-CN" w:bidi="ar"/>
        </w:rPr>
        <w:t>150</w:t>
      </w:r>
      <w:r>
        <w:rPr>
          <w:rFonts w:hint="eastAsia" w:ascii="Times New Roman" w:hAnsi="宋体" w:eastAsia="宋体" w:cs="宋体"/>
          <w:color w:val="000000"/>
          <w:kern w:val="0"/>
          <w:sz w:val="24"/>
          <w:szCs w:val="24"/>
          <w:shd w:val="clear" w:fill="FFFFFF"/>
          <w:lang w:val="en-US" w:eastAsia="zh-CN" w:bidi="ar"/>
        </w:rPr>
        <w:t>吨</w:t>
      </w:r>
      <w:r>
        <w:rPr>
          <w:rFonts w:hint="eastAsia" w:ascii="宋体" w:hAnsi="宋体" w:eastAsia="宋体" w:cs="宋体"/>
          <w:color w:val="000000"/>
          <w:kern w:val="0"/>
          <w:sz w:val="24"/>
          <w:szCs w:val="24"/>
          <w:shd w:val="clear" w:fill="FFFFFF"/>
          <w:lang w:val="en-US" w:eastAsia="zh-CN" w:bidi="ar"/>
        </w:rPr>
        <w:t>/</w:t>
      </w:r>
      <w:r>
        <w:rPr>
          <w:rFonts w:hint="eastAsia" w:ascii="Times New Roman" w:hAnsi="宋体" w:eastAsia="宋体" w:cs="宋体"/>
          <w:color w:val="000000"/>
          <w:kern w:val="0"/>
          <w:sz w:val="24"/>
          <w:szCs w:val="24"/>
          <w:shd w:val="clear" w:fill="FFFFFF"/>
          <w:lang w:val="en-US" w:eastAsia="zh-CN" w:bidi="ar"/>
        </w:rPr>
        <w:t>天的，应依托现有平板玻璃生产线进行技术改造。严防借开展协同处置、发展工业玻璃之名建设新增水泥熟料、平板玻璃产能项目。（责任单位：市发展改革委、市经济信息委、各区县人民政府）</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四）淘汰落后产能。超过污染物排放标准或者超过重点污染物排放总量控制指标排放污染物的，责令采取限制生产、停产整治等措施进行整改；情节严重的，报经有批准权的人民政府批准，责令停业、关闭。能耗超限额的，应在</w:t>
      </w:r>
      <w:r>
        <w:rPr>
          <w:rFonts w:hint="eastAsia" w:ascii="宋体" w:hAnsi="宋体" w:eastAsia="宋体" w:cs="宋体"/>
          <w:color w:val="000000"/>
          <w:kern w:val="0"/>
          <w:sz w:val="24"/>
          <w:szCs w:val="24"/>
          <w:shd w:val="clear" w:fill="FFFFFF"/>
          <w:lang w:val="en-US" w:eastAsia="zh-CN" w:bidi="ar"/>
        </w:rPr>
        <w:t>6</w:t>
      </w:r>
      <w:r>
        <w:rPr>
          <w:rFonts w:hint="eastAsia" w:ascii="Times New Roman" w:hAnsi="宋体" w:eastAsia="宋体" w:cs="宋体"/>
          <w:color w:val="000000"/>
          <w:kern w:val="0"/>
          <w:sz w:val="24"/>
          <w:szCs w:val="24"/>
          <w:shd w:val="clear" w:fill="FFFFFF"/>
          <w:lang w:val="en-US" w:eastAsia="zh-CN" w:bidi="ar"/>
        </w:rPr>
        <w:t>个月内整改达标；</w:t>
      </w:r>
      <w:r>
        <w:rPr>
          <w:rFonts w:hint="eastAsia" w:ascii="Times New Roman" w:hAnsi="宋体" w:eastAsia="宋体" w:cs="宋体"/>
          <w:color w:val="000000"/>
          <w:spacing w:val="-4"/>
          <w:kern w:val="0"/>
          <w:sz w:val="24"/>
          <w:szCs w:val="24"/>
          <w:shd w:val="clear" w:fill="FFFFFF"/>
          <w:lang w:val="en-US" w:eastAsia="zh-CN" w:bidi="ar"/>
        </w:rPr>
        <w:t>确需延长整改期限的，经申请可延长不超过</w:t>
      </w:r>
      <w:r>
        <w:rPr>
          <w:rFonts w:hint="eastAsia" w:ascii="宋体" w:hAnsi="宋体" w:eastAsia="宋体" w:cs="宋体"/>
          <w:color w:val="000000"/>
          <w:spacing w:val="-4"/>
          <w:kern w:val="0"/>
          <w:sz w:val="24"/>
          <w:szCs w:val="32"/>
          <w:shd w:val="clear" w:fill="FFFFFF"/>
          <w:lang w:val="en-US" w:eastAsia="zh-CN" w:bidi="ar"/>
        </w:rPr>
        <w:t>3</w:t>
      </w:r>
      <w:r>
        <w:rPr>
          <w:rFonts w:hint="eastAsia" w:ascii="Times New Roman" w:hAnsi="宋体" w:eastAsia="宋体" w:cs="宋体"/>
          <w:color w:val="000000"/>
          <w:spacing w:val="-4"/>
          <w:kern w:val="0"/>
          <w:sz w:val="24"/>
          <w:szCs w:val="24"/>
          <w:shd w:val="clear" w:fill="FFFFFF"/>
          <w:lang w:val="en-US" w:eastAsia="zh-CN" w:bidi="ar"/>
        </w:rPr>
        <w:t>个月的期限；逾期仍不达标的，依法关停退出。依法查处生产、销售不符合国家强制性标准水泥产品和无生产许可证生产、销售水泥产品的违法行为。产品质量达不到国家强制性标准的，依法查处并责令停产整改，</w:t>
      </w:r>
      <w:r>
        <w:rPr>
          <w:rFonts w:hint="eastAsia" w:ascii="宋体" w:hAnsi="宋体" w:eastAsia="宋体" w:cs="宋体"/>
          <w:color w:val="000000"/>
          <w:spacing w:val="-4"/>
          <w:kern w:val="0"/>
          <w:sz w:val="24"/>
          <w:szCs w:val="24"/>
          <w:shd w:val="clear" w:fill="FFFFFF"/>
          <w:lang w:val="en-US" w:eastAsia="zh-CN" w:bidi="ar"/>
        </w:rPr>
        <w:t>6</w:t>
      </w:r>
      <w:r>
        <w:rPr>
          <w:rFonts w:hint="eastAsia" w:ascii="Times New Roman" w:hAnsi="宋体" w:eastAsia="宋体" w:cs="宋体"/>
          <w:color w:val="000000"/>
          <w:spacing w:val="-4"/>
          <w:kern w:val="0"/>
          <w:sz w:val="24"/>
          <w:szCs w:val="24"/>
          <w:shd w:val="clear" w:fill="FFFFFF"/>
          <w:lang w:val="en-US" w:eastAsia="zh-CN" w:bidi="ar"/>
        </w:rPr>
        <w:t>个月内未整改或整改仍不达标的，依法关停退出。安全生产标准化和安全生产条件达不到要求的，应立即停产整改，</w:t>
      </w:r>
      <w:r>
        <w:rPr>
          <w:rFonts w:hint="eastAsia" w:ascii="宋体" w:hAnsi="宋体" w:eastAsia="宋体" w:cs="宋体"/>
          <w:color w:val="000000"/>
          <w:spacing w:val="-4"/>
          <w:kern w:val="0"/>
          <w:sz w:val="24"/>
          <w:szCs w:val="24"/>
          <w:shd w:val="clear" w:fill="FFFFFF"/>
          <w:lang w:val="en-US" w:eastAsia="zh-CN" w:bidi="ar"/>
        </w:rPr>
        <w:t>6</w:t>
      </w:r>
      <w:r>
        <w:rPr>
          <w:rFonts w:hint="eastAsia" w:ascii="Times New Roman" w:hAnsi="宋体" w:eastAsia="宋体" w:cs="宋体"/>
          <w:color w:val="000000"/>
          <w:spacing w:val="-4"/>
          <w:kern w:val="0"/>
          <w:sz w:val="24"/>
          <w:szCs w:val="24"/>
          <w:shd w:val="clear" w:fill="FFFFFF"/>
          <w:lang w:val="en-US" w:eastAsia="zh-CN" w:bidi="ar"/>
        </w:rPr>
        <w:t>个月内未整改或整改仍不达标的，依法关停退出。使用《产业结构调整指导目录（</w:t>
      </w:r>
      <w:r>
        <w:rPr>
          <w:rFonts w:hint="eastAsia" w:ascii="宋体" w:hAnsi="宋体" w:eastAsia="宋体" w:cs="宋体"/>
          <w:color w:val="000000"/>
          <w:spacing w:val="-4"/>
          <w:kern w:val="0"/>
          <w:sz w:val="24"/>
          <w:szCs w:val="24"/>
          <w:shd w:val="clear" w:fill="FFFFFF"/>
          <w:lang w:val="en-US" w:eastAsia="zh-CN" w:bidi="ar"/>
        </w:rPr>
        <w:t>2011</w:t>
      </w:r>
      <w:r>
        <w:rPr>
          <w:rFonts w:hint="eastAsia" w:ascii="Times New Roman" w:hAnsi="宋体" w:eastAsia="宋体" w:cs="宋体"/>
          <w:color w:val="000000"/>
          <w:spacing w:val="-4"/>
          <w:kern w:val="0"/>
          <w:sz w:val="24"/>
          <w:szCs w:val="24"/>
          <w:shd w:val="clear" w:fill="FFFFFF"/>
          <w:lang w:val="en-US" w:eastAsia="zh-CN" w:bidi="ar"/>
        </w:rPr>
        <w:t>年本）（修正）》淘汰类工艺技术与装备的产能，要立即关停退出。到</w:t>
      </w:r>
      <w:r>
        <w:rPr>
          <w:rFonts w:hint="eastAsia" w:ascii="宋体" w:hAnsi="宋体" w:eastAsia="宋体" w:cs="宋体"/>
          <w:color w:val="000000"/>
          <w:spacing w:val="-4"/>
          <w:kern w:val="0"/>
          <w:sz w:val="24"/>
          <w:szCs w:val="24"/>
          <w:shd w:val="clear" w:fill="FFFFFF"/>
          <w:lang w:val="en-US" w:eastAsia="zh-CN" w:bidi="ar"/>
        </w:rPr>
        <w:t>2017</w:t>
      </w:r>
      <w:r>
        <w:rPr>
          <w:rFonts w:hint="eastAsia" w:ascii="Times New Roman" w:hAnsi="宋体" w:eastAsia="宋体" w:cs="宋体"/>
          <w:color w:val="000000"/>
          <w:spacing w:val="-4"/>
          <w:kern w:val="0"/>
          <w:sz w:val="24"/>
          <w:szCs w:val="24"/>
          <w:shd w:val="clear" w:fill="FFFFFF"/>
          <w:lang w:val="en-US" w:eastAsia="zh-CN" w:bidi="ar"/>
        </w:rPr>
        <w:t>年底，关停都市功能核心区和都市功能拓展区内的</w:t>
      </w:r>
      <w:r>
        <w:rPr>
          <w:rFonts w:hint="eastAsia" w:ascii="宋体" w:hAnsi="宋体" w:eastAsia="宋体" w:cs="宋体"/>
          <w:color w:val="000000"/>
          <w:spacing w:val="-4"/>
          <w:kern w:val="0"/>
          <w:sz w:val="24"/>
          <w:szCs w:val="24"/>
          <w:shd w:val="clear" w:fill="FFFFFF"/>
          <w:lang w:val="en-US" w:eastAsia="zh-CN" w:bidi="ar"/>
        </w:rPr>
        <w:t>86</w:t>
      </w:r>
      <w:r>
        <w:rPr>
          <w:rFonts w:hint="eastAsia" w:ascii="Times New Roman" w:hAnsi="宋体" w:eastAsia="宋体" w:cs="宋体"/>
          <w:color w:val="000000"/>
          <w:spacing w:val="-4"/>
          <w:kern w:val="0"/>
          <w:sz w:val="24"/>
          <w:szCs w:val="24"/>
          <w:shd w:val="clear" w:fill="FFFFFF"/>
          <w:lang w:val="en-US" w:eastAsia="zh-CN" w:bidi="ar"/>
        </w:rPr>
        <w:t>家使用煤炭、粉煤灰、煤矸石的烧结砖瓦窑。到</w:t>
      </w:r>
      <w:r>
        <w:rPr>
          <w:rFonts w:hint="eastAsia" w:ascii="宋体" w:hAnsi="宋体" w:eastAsia="宋体" w:cs="宋体"/>
          <w:color w:val="000000"/>
          <w:spacing w:val="-4"/>
          <w:kern w:val="0"/>
          <w:sz w:val="24"/>
          <w:szCs w:val="24"/>
          <w:shd w:val="clear" w:fill="FFFFFF"/>
          <w:lang w:val="en-US" w:eastAsia="zh-CN" w:bidi="ar"/>
        </w:rPr>
        <w:t>2020</w:t>
      </w:r>
      <w:r>
        <w:rPr>
          <w:rFonts w:hint="eastAsia" w:ascii="Times New Roman" w:hAnsi="宋体" w:eastAsia="宋体" w:cs="宋体"/>
          <w:color w:val="000000"/>
          <w:spacing w:val="-4"/>
          <w:kern w:val="0"/>
          <w:sz w:val="24"/>
          <w:szCs w:val="24"/>
          <w:shd w:val="clear" w:fill="FFFFFF"/>
          <w:lang w:val="en-US" w:eastAsia="zh-CN" w:bidi="ar"/>
        </w:rPr>
        <w:t>年底，关停都市功能核心区和都市功能拓展区内</w:t>
      </w:r>
      <w:r>
        <w:rPr>
          <w:rFonts w:hint="eastAsia" w:ascii="宋体" w:hAnsi="宋体" w:eastAsia="宋体" w:cs="宋体"/>
          <w:color w:val="000000"/>
          <w:spacing w:val="-4"/>
          <w:kern w:val="0"/>
          <w:sz w:val="24"/>
          <w:szCs w:val="24"/>
          <w:shd w:val="clear" w:fill="FFFFFF"/>
          <w:lang w:val="en-US" w:eastAsia="zh-CN" w:bidi="ar"/>
        </w:rPr>
        <w:t>3000</w:t>
      </w:r>
      <w:r>
        <w:rPr>
          <w:rFonts w:hint="eastAsia" w:ascii="Times New Roman" w:hAnsi="宋体" w:eastAsia="宋体" w:cs="宋体"/>
          <w:color w:val="000000"/>
          <w:spacing w:val="-4"/>
          <w:kern w:val="0"/>
          <w:sz w:val="24"/>
          <w:szCs w:val="24"/>
          <w:shd w:val="clear" w:fill="FFFFFF"/>
          <w:lang w:val="en-US" w:eastAsia="zh-CN" w:bidi="ar"/>
        </w:rPr>
        <w:t>吨</w:t>
      </w:r>
      <w:r>
        <w:rPr>
          <w:rFonts w:hint="eastAsia" w:ascii="宋体" w:hAnsi="宋体" w:eastAsia="宋体" w:cs="宋体"/>
          <w:color w:val="000000"/>
          <w:spacing w:val="-4"/>
          <w:kern w:val="0"/>
          <w:sz w:val="24"/>
          <w:szCs w:val="24"/>
          <w:shd w:val="clear" w:fill="FFFFFF"/>
          <w:lang w:val="en-US" w:eastAsia="zh-CN" w:bidi="ar"/>
        </w:rPr>
        <w:t>/</w:t>
      </w:r>
      <w:r>
        <w:rPr>
          <w:rFonts w:hint="eastAsia" w:ascii="Times New Roman" w:hAnsi="宋体" w:eastAsia="宋体" w:cs="宋体"/>
          <w:color w:val="000000"/>
          <w:spacing w:val="-4"/>
          <w:kern w:val="0"/>
          <w:sz w:val="24"/>
          <w:szCs w:val="24"/>
          <w:shd w:val="clear" w:fill="FFFFFF"/>
          <w:lang w:val="en-US" w:eastAsia="zh-CN" w:bidi="ar"/>
        </w:rPr>
        <w:t>日以下水泥熟料生产线。（责任单位：市经济信息委、市环保局、市安监局、市质监局、各区县人民政府）</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五）支持联合重组。鼓励优势企业（集团）与中小企业通过市场化手段，以合资、合作、产权流转和股权置换等形式实施兼并重组。通过兼并重组，压缩过剩产能，优化资金、技术、人才等生产要素配置，减少落后企业与困难企业数量，培育壮大优势企业。已获许可的建材企业并购重组且不涉及搬迁的，办理生产许可证时，免予企业实地核查；已获许可的建材企业被并购重组后，企业名称、生产条件、产能未发生变化的，经产品检验合格后，可直接换发许可证。（责任单位：市经济信息委、市环保局、市质监局、市金融办、各区县人民政府）</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六）推行错峰生产。为减少大气污染及能源消耗，在春节期间和酷暑伏天，水泥、墙材生产企业可实行错峰生产。有关行业协会牵头制定错峰生产实施方案，生产企业自觉参与，并做好错峰期间设备检修、技术改造、员工培训等工作。利用水泥窑、烧结墙材隧道窑协同处置城市生活污泥、垃圾的企业，在不影响</w:t>
      </w:r>
      <w:r>
        <w:rPr>
          <w:rFonts w:hint="eastAsia" w:ascii="Times New Roman" w:hAnsi="宋体" w:eastAsia="宋体" w:cs="宋体"/>
          <w:color w:val="000000"/>
          <w:spacing w:val="4"/>
          <w:kern w:val="0"/>
          <w:sz w:val="24"/>
          <w:szCs w:val="24"/>
          <w:shd w:val="clear" w:fill="FFFFFF"/>
          <w:lang w:val="en-US" w:eastAsia="zh-CN" w:bidi="ar"/>
        </w:rPr>
        <w:t>协同处置前提下合理安排错峰生产，确保废弃物的及时处置。（责</w:t>
      </w:r>
      <w:r>
        <w:rPr>
          <w:rFonts w:hint="eastAsia" w:ascii="Times New Roman" w:hAnsi="宋体" w:eastAsia="宋体" w:cs="宋体"/>
          <w:color w:val="000000"/>
          <w:kern w:val="0"/>
          <w:sz w:val="24"/>
          <w:szCs w:val="24"/>
          <w:shd w:val="clear" w:fill="FFFFFF"/>
          <w:lang w:val="en-US" w:eastAsia="zh-CN" w:bidi="ar"/>
        </w:rPr>
        <w:t>任单位：市经济信息委、市环保局）</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三、加快转型升级</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（七）水泥行业。停止生产</w:t>
      </w:r>
      <w:r>
        <w:rPr>
          <w:rFonts w:hint="eastAsia" w:ascii="宋体" w:hAnsi="宋体" w:eastAsia="宋体" w:cs="宋体"/>
          <w:color w:val="000000"/>
          <w:kern w:val="0"/>
          <w:sz w:val="24"/>
          <w:szCs w:val="24"/>
          <w:shd w:val="clear" w:fill="FFFFFF"/>
          <w:lang w:val="en-US" w:eastAsia="zh-CN" w:bidi="ar"/>
        </w:rPr>
        <w:t>32.5</w:t>
      </w:r>
      <w:r>
        <w:rPr>
          <w:rFonts w:hint="eastAsia" w:ascii="Times New Roman" w:hAnsi="宋体" w:eastAsia="宋体" w:cs="宋体"/>
          <w:color w:val="000000"/>
          <w:kern w:val="0"/>
          <w:sz w:val="24"/>
          <w:szCs w:val="24"/>
          <w:shd w:val="clear" w:fill="FFFFFF"/>
          <w:lang w:val="en-US" w:eastAsia="zh-CN" w:bidi="ar"/>
        </w:rPr>
        <w:t>等级复合硅酸盐水泥，重点生产</w:t>
      </w:r>
      <w:r>
        <w:rPr>
          <w:rFonts w:hint="eastAsia" w:ascii="宋体" w:hAnsi="宋体" w:eastAsia="宋体" w:cs="宋体"/>
          <w:color w:val="000000"/>
          <w:kern w:val="0"/>
          <w:sz w:val="24"/>
          <w:szCs w:val="24"/>
          <w:shd w:val="clear" w:fill="FFFFFF"/>
          <w:lang w:val="en-US" w:eastAsia="zh-CN" w:bidi="ar"/>
        </w:rPr>
        <w:t>42.5</w:t>
      </w:r>
      <w:r>
        <w:rPr>
          <w:rFonts w:hint="eastAsia" w:ascii="Times New Roman" w:hAnsi="宋体" w:eastAsia="宋体" w:cs="宋体"/>
          <w:color w:val="000000"/>
          <w:kern w:val="0"/>
          <w:sz w:val="24"/>
          <w:szCs w:val="24"/>
          <w:shd w:val="clear" w:fill="FFFFFF"/>
          <w:lang w:val="en-US" w:eastAsia="zh-CN" w:bidi="ar"/>
        </w:rPr>
        <w:t>及以上等级产品，发展高标号水泥和油井、大坝、道路等专用水泥。鼓励和支持水泥企业延伸产业链，拓展水泥制品的应用领域和范围，发展预拌砂浆、高性能混凝土、水泥制品和建筑骨料等。积极利用尾矿废石、建筑垃圾等固废替代自然资源，发展机制砂石、混凝土掺合料、混凝土砌块等产品。（责任单位：市经济信息委、市城乡建委、市质监局）</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（八）玻璃行业。依托万盛、永川玻璃产业园区，大力发展高端玻璃，建成具有全产业链优势和区域竞争力的玻璃新材料基地。通过提高建筑节能标准，推广应用低辐射镀膜（</w:t>
      </w:r>
      <w:r>
        <w:rPr>
          <w:rFonts w:hint="eastAsia" w:ascii="宋体" w:hAnsi="宋体" w:eastAsia="宋体" w:cs="宋体"/>
          <w:color w:val="000000"/>
          <w:kern w:val="0"/>
          <w:sz w:val="24"/>
          <w:szCs w:val="24"/>
          <w:shd w:val="clear" w:fill="FFFFFF"/>
          <w:lang w:val="en-US" w:eastAsia="zh-CN" w:bidi="ar"/>
        </w:rPr>
        <w:t>Low</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E</w:t>
      </w:r>
      <w:r>
        <w:rPr>
          <w:rFonts w:hint="eastAsia" w:ascii="Times New Roman" w:hAnsi="宋体" w:eastAsia="宋体" w:cs="宋体"/>
          <w:color w:val="000000"/>
          <w:kern w:val="0"/>
          <w:sz w:val="24"/>
          <w:szCs w:val="24"/>
          <w:shd w:val="clear" w:fill="FFFFFF"/>
          <w:lang w:val="en-US" w:eastAsia="zh-CN" w:bidi="ar"/>
        </w:rPr>
        <w:t>）玻璃、真（中）空玻璃、夹层玻璃、建筑幕墙节能玻璃。围绕汽车、电子等支柱产业，巩固我市汽车玻璃的优势地位，积极发展应用于手机、平板电脑、显示器的电子玻璃。鼓励发展建筑用防火玻璃板材、电致变色玻璃、自适应热致变色玻璃等新产品，开发和推广应用农业种植和观光大棚所需的结构功能一体化玻璃板材及制品。（责任单位：市经济信息委、市城乡建委、市农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九）陶瓷行业。加强产品设计和关键零配件研发，提升产品技术含量和艺术性，促进陶瓷产品智能化、多功能化，更好满足个性化消费需求。推进江津高档卫生陶瓷、荣昌陶瓷产业基地等重点项目建设，加快发展高效节水型、多功能、智能化的优质卫生陶瓷产品，推广应用整体卫浴，成品卫生间，鼓励发展装饰保温节能一体化轻质陶瓷板材和薄型陶瓷砖。（责任单位：市经济信息委、市城乡建委、市发展改革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（十）墙体材料行业。全面禁止烧结页岩实心砖和单排孔混</w:t>
      </w:r>
      <w:r>
        <w:rPr>
          <w:rFonts w:hint="eastAsia" w:ascii="Times New Roman" w:hAnsi="宋体" w:eastAsia="宋体" w:cs="宋体"/>
          <w:color w:val="000000"/>
          <w:spacing w:val="-8"/>
          <w:kern w:val="0"/>
          <w:sz w:val="24"/>
          <w:szCs w:val="24"/>
          <w:shd w:val="clear" w:fill="FFFFFF"/>
          <w:lang w:val="en-US" w:eastAsia="zh-CN" w:bidi="ar"/>
        </w:rPr>
        <w:t>凝土空心砌块等落后产品，研发生产导热系数小于</w:t>
      </w:r>
      <w:r>
        <w:rPr>
          <w:rFonts w:hint="eastAsia" w:ascii="宋体" w:hAnsi="宋体" w:eastAsia="宋体" w:cs="宋体"/>
          <w:color w:val="000000"/>
          <w:spacing w:val="-8"/>
          <w:kern w:val="0"/>
          <w:sz w:val="24"/>
          <w:szCs w:val="24"/>
          <w:shd w:val="clear" w:fill="FFFFFF"/>
          <w:lang w:val="en-US" w:eastAsia="zh-CN" w:bidi="ar"/>
        </w:rPr>
        <w:t>0.18W/</w:t>
      </w:r>
      <w:r>
        <w:rPr>
          <w:rFonts w:hint="eastAsia" w:ascii="Times New Roman" w:hAnsi="宋体" w:eastAsia="宋体" w:cs="宋体"/>
          <w:color w:val="000000"/>
          <w:spacing w:val="-8"/>
          <w:kern w:val="0"/>
          <w:sz w:val="24"/>
          <w:szCs w:val="24"/>
          <w:shd w:val="clear" w:fill="FFFFFF"/>
          <w:lang w:val="en-US" w:eastAsia="zh-CN" w:bidi="ar"/>
        </w:rPr>
        <w:t>（</w:t>
      </w:r>
      <w:r>
        <w:rPr>
          <w:rFonts w:hint="eastAsia" w:ascii="宋体" w:hAnsi="宋体" w:eastAsia="宋体" w:cs="宋体"/>
          <w:color w:val="000000"/>
          <w:spacing w:val="-8"/>
          <w:kern w:val="0"/>
          <w:sz w:val="24"/>
          <w:szCs w:val="24"/>
          <w:shd w:val="clear" w:fill="FFFFFF"/>
          <w:lang w:val="en-US" w:eastAsia="zh-CN" w:bidi="ar"/>
        </w:rPr>
        <w:t>m</w:t>
      </w:r>
      <w:r>
        <w:rPr>
          <w:rFonts w:hint="eastAsia" w:ascii="Arial" w:hAnsi="Arial" w:eastAsia="宋体" w:cs="Arial"/>
          <w:color w:val="000000"/>
          <w:kern w:val="0"/>
          <w:sz w:val="24"/>
          <w:szCs w:val="24"/>
          <w:shd w:val="clear" w:fill="FFFFFF"/>
          <w:lang w:val="en-US" w:eastAsia="zh-CN" w:bidi="ar"/>
        </w:rPr>
        <w:t>·</w:t>
      </w:r>
      <w:r>
        <w:rPr>
          <w:rFonts w:hint="eastAsia" w:ascii="宋体" w:hAnsi="宋体" w:eastAsia="宋体" w:cs="宋体"/>
          <w:color w:val="000000"/>
          <w:spacing w:val="-8"/>
          <w:kern w:val="0"/>
          <w:sz w:val="24"/>
          <w:szCs w:val="24"/>
          <w:shd w:val="clear" w:fill="FFFFFF"/>
          <w:lang w:val="en-US" w:eastAsia="zh-CN" w:bidi="ar"/>
        </w:rPr>
        <w:t>K）</w:t>
      </w:r>
      <w:r>
        <w:rPr>
          <w:rFonts w:hint="eastAsia" w:ascii="宋体" w:hAnsi="宋体" w:eastAsia="宋体" w:cs="宋体"/>
          <w:color w:val="000000"/>
          <w:kern w:val="0"/>
          <w:sz w:val="24"/>
          <w:szCs w:val="24"/>
          <w:shd w:val="clear" w:fill="FFFFFF"/>
          <w:lang w:val="en-US" w:eastAsia="zh-CN" w:bidi="ar"/>
        </w:rPr>
        <w:t>性能优良的高效节能保温砌块。鼓励利用煤矸石、页岩资源，发</w:t>
      </w:r>
      <w:r>
        <w:rPr>
          <w:rFonts w:hint="eastAsia" w:ascii="宋体" w:hAnsi="宋体" w:eastAsia="宋体" w:cs="宋体"/>
          <w:color w:val="000000"/>
          <w:spacing w:val="-4"/>
          <w:kern w:val="0"/>
          <w:sz w:val="24"/>
          <w:szCs w:val="24"/>
          <w:shd w:val="clear" w:fill="FFFFFF"/>
          <w:lang w:val="en-US" w:eastAsia="zh-CN" w:bidi="ar"/>
        </w:rPr>
        <w:t>展烧结页岩空心砌块、轻质高强节能隔墙板材、高档清水装饰砖、</w:t>
      </w:r>
      <w:r>
        <w:rPr>
          <w:rFonts w:hint="eastAsia" w:ascii="宋体" w:hAnsi="宋体" w:eastAsia="宋体" w:cs="宋体"/>
          <w:color w:val="000000"/>
          <w:kern w:val="0"/>
          <w:sz w:val="24"/>
          <w:szCs w:val="24"/>
          <w:shd w:val="clear" w:fill="FFFFFF"/>
          <w:lang w:val="en-US" w:eastAsia="zh-CN" w:bidi="ar"/>
        </w:rPr>
        <w:t>生态透水砖等新型墙体材料。（责任单位：市经济信息委、市城乡建委）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十一）装饰装修材料行业。巩固提升我市防盗门、套装门及相关配套产业的产品规模与质量，打造中国套装门之都。发展轻型铝合金、不锈钢装饰板、带、箔和复合板等建筑装饰精加工产品。积极发展集蓄排水、保温、装饰于一体的屋面防水材料，努力实现防水材料产品的系列化、配套化。加大耐腐蚀、低渗漏</w:t>
      </w:r>
      <w:r>
        <w:rPr>
          <w:rFonts w:hint="eastAsia" w:ascii="Times New Roman" w:hAnsi="宋体" w:eastAsia="宋体" w:cs="宋体"/>
          <w:color w:val="000000"/>
          <w:spacing w:val="-4"/>
          <w:kern w:val="0"/>
          <w:sz w:val="24"/>
          <w:szCs w:val="24"/>
          <w:shd w:val="clear" w:fill="FFFFFF"/>
          <w:lang w:val="en-US" w:eastAsia="zh-CN" w:bidi="ar"/>
        </w:rPr>
        <w:t>管材、板材发展力度，提高产品质量和使用寿命。（责任单位：市</w:t>
      </w:r>
      <w:r>
        <w:rPr>
          <w:rFonts w:hint="eastAsia" w:ascii="Times New Roman" w:hAnsi="宋体" w:eastAsia="宋体" w:cs="宋体"/>
          <w:color w:val="000000"/>
          <w:kern w:val="0"/>
          <w:sz w:val="24"/>
          <w:szCs w:val="24"/>
          <w:shd w:val="clear" w:fill="FFFFFF"/>
          <w:lang w:val="en-US" w:eastAsia="zh-CN" w:bidi="ar"/>
        </w:rPr>
        <w:t>经济信息委、市城乡建委）</w:t>
      </w:r>
    </w:p>
    <w:p>
      <w:pPr>
        <w:keepNext w:val="0"/>
        <w:keepLines w:val="0"/>
        <w:widowControl/>
        <w:suppressLineNumbers w:val="0"/>
        <w:spacing w:before="0" w:beforeAutospacing="0" w:after="0" w:afterAutospacing="0" w:line="540" w:lineRule="atLeast"/>
        <w:ind w:left="300" w:right="300" w:firstLine="608" w:firstLineChars="200"/>
        <w:jc w:val="left"/>
      </w:pPr>
      <w:r>
        <w:rPr>
          <w:rFonts w:hint="eastAsia" w:ascii="Times New Roman" w:hAnsi="宋体" w:eastAsia="宋体" w:cs="宋体"/>
          <w:color w:val="000000"/>
          <w:spacing w:val="-6"/>
          <w:kern w:val="0"/>
          <w:sz w:val="24"/>
          <w:szCs w:val="24"/>
          <w:shd w:val="clear" w:fill="FFFFFF"/>
          <w:lang w:val="en-US" w:eastAsia="zh-CN" w:bidi="ar"/>
        </w:rPr>
        <w:t>（十二）建筑部品产业。以大力发展建筑产业现代化为契机，</w:t>
      </w:r>
      <w:r>
        <w:rPr>
          <w:rFonts w:hint="eastAsia" w:ascii="Times New Roman" w:hAnsi="宋体" w:eastAsia="宋体" w:cs="宋体"/>
          <w:color w:val="000000"/>
          <w:kern w:val="0"/>
          <w:sz w:val="24"/>
          <w:szCs w:val="24"/>
          <w:shd w:val="clear" w:fill="FFFFFF"/>
          <w:lang w:val="en-US" w:eastAsia="zh-CN" w:bidi="ar"/>
        </w:rPr>
        <w:t>加快推进建材产品部品化发展。推广标准化设计、工厂化生产、装配化施工新模式。依托綦江工业园建筑产业现代化基地，以钢结构、轻质隔墙板、外墙板、预制楼梯、阳台等部品为重点，提</w:t>
      </w:r>
      <w:r>
        <w:rPr>
          <w:rFonts w:hint="eastAsia" w:ascii="Times New Roman" w:hAnsi="宋体" w:eastAsia="宋体" w:cs="宋体"/>
          <w:color w:val="000000"/>
          <w:spacing w:val="-4"/>
          <w:kern w:val="0"/>
          <w:sz w:val="24"/>
          <w:szCs w:val="24"/>
          <w:shd w:val="clear" w:fill="FFFFFF"/>
          <w:lang w:val="en-US" w:eastAsia="zh-CN" w:bidi="ar"/>
        </w:rPr>
        <w:t>高我市建筑部品构件生产能力。到</w:t>
      </w:r>
      <w:r>
        <w:rPr>
          <w:rFonts w:hint="eastAsia" w:ascii="宋体" w:hAnsi="宋体" w:eastAsia="宋体" w:cs="宋体"/>
          <w:color w:val="000000"/>
          <w:spacing w:val="-4"/>
          <w:kern w:val="0"/>
          <w:sz w:val="24"/>
          <w:szCs w:val="24"/>
          <w:shd w:val="clear" w:fill="FFFFFF"/>
          <w:lang w:val="en-US" w:eastAsia="zh-CN" w:bidi="ar"/>
        </w:rPr>
        <w:t>2020</w:t>
      </w:r>
      <w:r>
        <w:rPr>
          <w:rFonts w:hint="eastAsia" w:ascii="Times New Roman" w:hAnsi="宋体" w:eastAsia="宋体" w:cs="宋体"/>
          <w:color w:val="000000"/>
          <w:spacing w:val="-4"/>
          <w:kern w:val="0"/>
          <w:sz w:val="24"/>
          <w:szCs w:val="24"/>
          <w:shd w:val="clear" w:fill="FFFFFF"/>
          <w:lang w:val="en-US" w:eastAsia="zh-CN" w:bidi="ar"/>
        </w:rPr>
        <w:t>年，全市新开工建筑预制装配率达到</w:t>
      </w:r>
      <w:r>
        <w:rPr>
          <w:rFonts w:hint="eastAsia" w:ascii="宋体" w:hAnsi="宋体" w:eastAsia="宋体" w:cs="宋体"/>
          <w:color w:val="000000"/>
          <w:spacing w:val="-4"/>
          <w:kern w:val="0"/>
          <w:sz w:val="24"/>
          <w:szCs w:val="24"/>
          <w:shd w:val="clear" w:fill="FFFFFF"/>
          <w:lang w:val="en-US" w:eastAsia="zh-CN" w:bidi="ar"/>
        </w:rPr>
        <w:t>15%</w:t>
      </w:r>
      <w:r>
        <w:rPr>
          <w:rFonts w:hint="eastAsia" w:ascii="Times New Roman" w:hAnsi="宋体" w:eastAsia="宋体" w:cs="宋体"/>
          <w:color w:val="000000"/>
          <w:spacing w:val="-4"/>
          <w:kern w:val="0"/>
          <w:sz w:val="24"/>
          <w:szCs w:val="24"/>
          <w:shd w:val="clear" w:fill="FFFFFF"/>
          <w:lang w:val="en-US" w:eastAsia="zh-CN" w:bidi="ar"/>
        </w:rPr>
        <w:t>以上，培育</w:t>
      </w:r>
      <w:r>
        <w:rPr>
          <w:rFonts w:hint="eastAsia" w:ascii="宋体" w:hAnsi="宋体" w:eastAsia="宋体" w:cs="宋体"/>
          <w:color w:val="000000"/>
          <w:spacing w:val="-4"/>
          <w:kern w:val="0"/>
          <w:sz w:val="24"/>
          <w:szCs w:val="24"/>
          <w:shd w:val="clear" w:fill="FFFFFF"/>
          <w:lang w:val="en-US" w:eastAsia="zh-CN" w:bidi="ar"/>
        </w:rPr>
        <w:t>5</w:t>
      </w:r>
      <w:r>
        <w:rPr>
          <w:rFonts w:hint="eastAsia" w:ascii="Times New Roman" w:hAnsi="宋体" w:eastAsia="宋体" w:cs="宋体"/>
          <w:color w:val="000000"/>
          <w:spacing w:val="-4"/>
          <w:kern w:val="0"/>
          <w:sz w:val="24"/>
          <w:szCs w:val="24"/>
          <w:shd w:val="clear" w:fill="FFFFFF"/>
          <w:lang w:val="en-US" w:eastAsia="zh-CN" w:bidi="ar"/>
        </w:rPr>
        <w:t>至</w:t>
      </w:r>
      <w:r>
        <w:rPr>
          <w:rFonts w:hint="eastAsia" w:ascii="宋体" w:hAnsi="宋体" w:eastAsia="宋体" w:cs="宋体"/>
          <w:color w:val="000000"/>
          <w:spacing w:val="-4"/>
          <w:kern w:val="0"/>
          <w:sz w:val="24"/>
          <w:szCs w:val="24"/>
          <w:shd w:val="clear" w:fill="FFFFFF"/>
          <w:lang w:val="en-US" w:eastAsia="zh-CN" w:bidi="ar"/>
        </w:rPr>
        <w:t>6</w:t>
      </w:r>
      <w:r>
        <w:rPr>
          <w:rFonts w:hint="eastAsia" w:ascii="Times New Roman" w:hAnsi="宋体" w:eastAsia="宋体" w:cs="宋体"/>
          <w:color w:val="000000"/>
          <w:spacing w:val="-4"/>
          <w:kern w:val="0"/>
          <w:sz w:val="24"/>
          <w:szCs w:val="24"/>
          <w:shd w:val="clear" w:fill="FFFFFF"/>
          <w:lang w:val="en-US" w:eastAsia="zh-CN" w:bidi="ar"/>
        </w:rPr>
        <w:t>家部品构件龙头骨干企业。（责</w:t>
      </w:r>
      <w:r>
        <w:rPr>
          <w:rFonts w:hint="eastAsia" w:ascii="Times New Roman" w:hAnsi="宋体" w:eastAsia="宋体" w:cs="宋体"/>
          <w:color w:val="000000"/>
          <w:kern w:val="0"/>
          <w:sz w:val="24"/>
          <w:szCs w:val="24"/>
          <w:shd w:val="clear" w:fill="FFFFFF"/>
          <w:lang w:val="en-US" w:eastAsia="zh-CN" w:bidi="ar"/>
        </w:rPr>
        <w:t>任单位：市城乡建委、市经济信息委、市发展改革委）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十三）新材料产业。大力发展石墨烯、高性能纤维及复合材料，塑料光纤等新材料。加快推进石墨烯薄膜材料在触控显示屏、传感器、电子器件等领域的广泛应用及石墨烯粉体材料在汽车、建筑、涂料、新能源等领域应用，构建完善的石墨烯产业链。积极推进增强型玻璃纤维及制品、玻璃微纤维高效绝热制品等重大项目建设，开发汽车零部件、管道、环保、船艇等玻璃纤维复合材料新产品。积极发展塑料光纤，形成从上游原料、塑料光纤本体、信号收发通信设备到终端应用的完整产业链。（责任单位：市经济信息委、市科委、市发展改革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四、促进降本增效</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十四）鼓励绿色发展。落实国家促进绿色建材生产和应用行动方案，开展绿色建材评价工作。支持企业节能减排，发展循环经济。鼓励水泥企业利用水泥窑协同处置城市生活垃圾、污泥及其他固体废弃物。鼓励玻璃企业整合玻璃用硅砂、石英砂和砂石骨料用尾矿、废石等资源，提高综合利用水平。鼓励墙材企业提高矸石、建筑垃圾和污泥等废物综合利用量。协同处置量和资源综合利用率逐年提高，减少自然资源的消耗，改善生态环境。（责任单位：市城乡建委、市市政委、市发展改革委、市经济信息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十五）推动智能制造。推进智能化生产，充分利用工业机器人、智能传感、智能检测、智能物流与仓储等先进装备和技术，提升建材生产线自动化、智能化水平和生产工艺稳定性，提高生产效率和产品合格率。建设厂区物联网，在搬运、码垛等重复操作工段推广“机器代人”，加强对产品质量、污染物排放、能耗等</w:t>
      </w:r>
      <w:r>
        <w:rPr>
          <w:rFonts w:hint="eastAsia" w:ascii="Times New Roman" w:hAnsi="宋体" w:eastAsia="宋体" w:cs="宋体"/>
          <w:color w:val="000000"/>
          <w:spacing w:val="-4"/>
          <w:kern w:val="0"/>
          <w:sz w:val="24"/>
          <w:szCs w:val="24"/>
          <w:shd w:val="clear" w:fill="FFFFFF"/>
          <w:lang w:val="en-US" w:eastAsia="zh-CN" w:bidi="ar"/>
        </w:rPr>
        <w:t>关键参数的可视化管理，提高质量效益。（责任单位：市经济信息</w:t>
      </w:r>
      <w:r>
        <w:rPr>
          <w:rFonts w:hint="eastAsia" w:ascii="Times New Roman" w:hAnsi="宋体" w:eastAsia="宋体" w:cs="宋体"/>
          <w:color w:val="000000"/>
          <w:kern w:val="0"/>
          <w:sz w:val="24"/>
          <w:szCs w:val="24"/>
          <w:shd w:val="clear" w:fill="FFFFFF"/>
          <w:lang w:val="en-US" w:eastAsia="zh-CN" w:bidi="ar"/>
        </w:rPr>
        <w:t>委、市发展改革委、市科委）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（十六）支持企业创新。鼓励企业加大研发投入，加强关键核心技术的研发，推动新材料、新技术、新工艺的运用和新产品</w:t>
      </w:r>
      <w:r>
        <w:rPr>
          <w:rFonts w:hint="eastAsia" w:ascii="Times New Roman" w:hAnsi="宋体" w:eastAsia="宋体" w:cs="宋体"/>
          <w:color w:val="000000"/>
          <w:spacing w:val="-4"/>
          <w:kern w:val="0"/>
          <w:sz w:val="24"/>
          <w:szCs w:val="24"/>
          <w:shd w:val="clear" w:fill="FFFFFF"/>
          <w:lang w:val="en-US" w:eastAsia="zh-CN" w:bidi="ar"/>
        </w:rPr>
        <w:t>产业化。支持企业整合创新资源，开展产学研相结合的协同创新。</w:t>
      </w:r>
      <w:r>
        <w:rPr>
          <w:rFonts w:hint="eastAsia" w:ascii="Times New Roman" w:hAnsi="宋体" w:eastAsia="宋体" w:cs="宋体"/>
          <w:color w:val="000000"/>
          <w:kern w:val="0"/>
          <w:sz w:val="24"/>
          <w:szCs w:val="24"/>
          <w:shd w:val="clear" w:fill="FFFFFF"/>
          <w:lang w:val="en-US" w:eastAsia="zh-CN" w:bidi="ar"/>
        </w:rPr>
        <w:t>深化“互联网</w:t>
      </w:r>
      <w:r>
        <w:rPr>
          <w:rFonts w:hint="eastAsia" w:ascii="宋体" w:hAnsi="宋体" w:eastAsia="宋体" w:cs="宋体"/>
          <w:color w:val="000000"/>
          <w:kern w:val="0"/>
          <w:sz w:val="24"/>
          <w:szCs w:val="24"/>
          <w:shd w:val="clear" w:fill="FFFFFF"/>
          <w:lang w:val="en-US" w:eastAsia="zh-CN" w:bidi="ar"/>
        </w:rPr>
        <w:t>+</w:t>
      </w:r>
      <w:r>
        <w:rPr>
          <w:rFonts w:hint="eastAsia" w:ascii="Times New Roman" w:hAnsi="宋体" w:eastAsia="宋体" w:cs="宋体"/>
          <w:color w:val="000000"/>
          <w:kern w:val="0"/>
          <w:sz w:val="24"/>
          <w:szCs w:val="24"/>
          <w:shd w:val="clear" w:fill="FFFFFF"/>
          <w:lang w:val="en-US" w:eastAsia="zh-CN" w:bidi="ar"/>
        </w:rPr>
        <w:t>”在产品设计、制造、销售、管理等环节的应用，打造电子商务平台和专业物流网络配送体系，促进业态和商业模式创新，提高企业核心竞争力。（责任单位：市科委、市经济信息委）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十七）实施品牌战略。引导企业增强以质量和信誉为核心的品牌意识，建立健全品牌培育管理体系，围绕研发创新、生产制造、质量管理和营销服务全过程，提高内在素质，提升品牌附加值和软实力。引导企业“增品种、提品质、创品牌”，提升企业在创意设计、品牌传播、品牌保护、品牌文化等方面的专业能力。实施品牌培育示范工程，加强品牌的宣传推介，提升品牌知名度和美誉度。（责任单位：市经济信息委、市质监局、市工商局）</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十八）开展国际产能合作。鼓励企业积极参加各类贸易促进活动，创新国际贸易方式，扩大对外投资合作。支持有意愿的企业参与“一带一路”建设，加强与周边国家及新兴市场国家合作，采取多种形式开展对外投资，建设境外生产基地，扩大国际市场，拓展国际发展新空间，提高企业跨国经营水平。在全球范围整合资源，开展国际产能合作，实现互利共赢。（责任单位：市外经贸委、市经济信息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五、保障措施</w:t>
      </w:r>
    </w:p>
    <w:p>
      <w:pPr>
        <w:keepNext w:val="0"/>
        <w:keepLines w:val="0"/>
        <w:widowControl/>
        <w:suppressLineNumbers w:val="0"/>
        <w:spacing w:before="0" w:beforeAutospacing="0" w:after="0" w:afterAutospacing="0" w:line="540" w:lineRule="atLeast"/>
        <w:ind w:left="300" w:right="300" w:firstLine="616" w:firstLineChars="200"/>
        <w:jc w:val="left"/>
      </w:pPr>
      <w:r>
        <w:rPr>
          <w:rFonts w:hint="eastAsia" w:ascii="Times New Roman" w:hAnsi="宋体" w:eastAsia="宋体" w:cs="宋体"/>
          <w:color w:val="000000"/>
          <w:spacing w:val="-4"/>
          <w:kern w:val="0"/>
          <w:sz w:val="24"/>
          <w:szCs w:val="24"/>
          <w:shd w:val="clear" w:fill="FFFFFF"/>
          <w:lang w:val="en-US" w:eastAsia="zh-CN" w:bidi="ar"/>
        </w:rPr>
        <w:t>（十九）加大金融支持。引导银行业金融机构坚持区别对待、</w:t>
      </w:r>
      <w:r>
        <w:rPr>
          <w:rFonts w:hint="eastAsia" w:ascii="Times New Roman" w:hAnsi="宋体" w:eastAsia="宋体" w:cs="宋体"/>
          <w:color w:val="000000"/>
          <w:kern w:val="0"/>
          <w:sz w:val="24"/>
          <w:szCs w:val="24"/>
          <w:shd w:val="clear" w:fill="FFFFFF"/>
          <w:lang w:val="en-US" w:eastAsia="zh-CN" w:bidi="ar"/>
        </w:rPr>
        <w:t>有扶有控原则，对产能过剩行业中产品有竞争力、有市场、有效益的优质企业继续给予信贷支持，帮助有前景的企业渡过难关。对违规新增水泥熟料、平板玻璃产能的企业停止贷款。通过提供并购贷款、并购票据等方式拓展融资渠道，支持各类社会资本参与建材企业并购重组。依据建材工业鼓励推广应用的技术和产品目录，对建材工业节能减排、产品升级换代、提升质量效益等项目实施差别化信贷政策。（责任单位：市金融办、人行重庆营管部、重庆银监局）</w:t>
      </w:r>
    </w:p>
    <w:p>
      <w:pPr>
        <w:keepNext w:val="0"/>
        <w:keepLines w:val="0"/>
        <w:widowControl/>
        <w:suppressLineNumbers w:val="0"/>
        <w:spacing w:before="0" w:beforeAutospacing="0" w:after="0" w:afterAutospacing="0" w:line="540" w:lineRule="atLeast"/>
        <w:ind w:left="300" w:right="300" w:firstLine="616" w:firstLineChars="200"/>
        <w:jc w:val="left"/>
      </w:pPr>
      <w:r>
        <w:rPr>
          <w:rFonts w:hint="eastAsia" w:ascii="Times New Roman" w:hAnsi="宋体" w:eastAsia="宋体" w:cs="宋体"/>
          <w:color w:val="000000"/>
          <w:spacing w:val="-4"/>
          <w:kern w:val="0"/>
          <w:sz w:val="24"/>
          <w:szCs w:val="24"/>
          <w:shd w:val="clear" w:fill="FFFFFF"/>
          <w:lang w:val="en-US" w:eastAsia="zh-CN" w:bidi="ar"/>
        </w:rPr>
        <w:t>（二十）强化政策引导。充分发挥工业振兴、民营经济发展、</w:t>
      </w:r>
      <w:r>
        <w:rPr>
          <w:rFonts w:hint="eastAsia" w:ascii="Times New Roman" w:hAnsi="宋体" w:eastAsia="宋体" w:cs="宋体"/>
          <w:color w:val="000000"/>
          <w:kern w:val="0"/>
          <w:sz w:val="24"/>
          <w:szCs w:val="24"/>
          <w:shd w:val="clear" w:fill="FFFFFF"/>
          <w:lang w:val="en-US" w:eastAsia="zh-CN" w:bidi="ar"/>
        </w:rPr>
        <w:t>产业技术创新等专项资金和产业引导股权投资基金对建材工业稳增长调结构增效益的政策引导作用。各级各类财政专项资金重点支持企业开展清洁能源开发替代、清洁生产和资源综合利用、智能制造、新材料开发等技术改造和创新，促进建材工业转型升级</w:t>
      </w:r>
      <w:r>
        <w:rPr>
          <w:rFonts w:hint="eastAsia" w:ascii="Times New Roman" w:hAnsi="宋体" w:eastAsia="宋体" w:cs="宋体"/>
          <w:color w:val="000000"/>
          <w:spacing w:val="-4"/>
          <w:kern w:val="0"/>
          <w:sz w:val="24"/>
          <w:szCs w:val="24"/>
          <w:shd w:val="clear" w:fill="FFFFFF"/>
          <w:lang w:val="en-US" w:eastAsia="zh-CN" w:bidi="ar"/>
        </w:rPr>
        <w:t>发展。落实建材产品资源综合利用税收优惠政策，促进节能减排。</w:t>
      </w:r>
      <w:r>
        <w:rPr>
          <w:rFonts w:hint="eastAsia" w:ascii="Times New Roman" w:hAnsi="宋体" w:eastAsia="宋体" w:cs="宋体"/>
          <w:color w:val="000000"/>
          <w:kern w:val="0"/>
          <w:sz w:val="24"/>
          <w:szCs w:val="24"/>
          <w:shd w:val="clear" w:fill="FFFFFF"/>
          <w:lang w:val="en-US" w:eastAsia="zh-CN" w:bidi="ar"/>
        </w:rPr>
        <w:t>（责任单位：市发展改革委、市财政局、市经济信息委）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十一）严格执法监督。各区县（自治县）人民政府要尽快完善并公开本地区水泥、平板玻璃行业建设项目库。建材企业应依法安装在线监控系统并与环保部门联网，主动披露环保相关信息。管理节能工作的部门要加强对水泥企业单位产品能耗限额</w:t>
      </w:r>
      <w:r>
        <w:rPr>
          <w:rFonts w:hint="eastAsia" w:ascii="Times New Roman" w:hAnsi="宋体" w:eastAsia="宋体" w:cs="宋体"/>
          <w:color w:val="000000"/>
          <w:spacing w:val="-4"/>
          <w:kern w:val="0"/>
          <w:sz w:val="24"/>
          <w:szCs w:val="24"/>
          <w:shd w:val="clear" w:fill="FFFFFF"/>
          <w:lang w:val="en-US" w:eastAsia="zh-CN" w:bidi="ar"/>
        </w:rPr>
        <w:t>标准执行情况的监督检查，依法处理违反强制性节能标准的行为；</w:t>
      </w:r>
      <w:r>
        <w:rPr>
          <w:rFonts w:hint="eastAsia" w:ascii="Times New Roman" w:hAnsi="宋体" w:eastAsia="宋体" w:cs="宋体"/>
          <w:color w:val="000000"/>
          <w:kern w:val="0"/>
          <w:sz w:val="24"/>
          <w:szCs w:val="24"/>
          <w:shd w:val="clear" w:fill="FFFFFF"/>
          <w:lang w:val="en-US" w:eastAsia="zh-CN" w:bidi="ar"/>
        </w:rPr>
        <w:t>对水泥行业实行基于能耗限额标准的阶梯电价政策。质检部门要加大建材产品抽检力度，对产品质量不达标的，依法责令整改并予通报；对无证生产水泥的，依法责令停产、处罚并向社会公告；严格安全生产监督执法，依法查处不具备安全生产条件的建材企业，及时公布建材企业安全生产不良记录“黑名单”信息。（责任单位：市环保局、市经济信息委、市安监局、市质监局、各区县人民政府）</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（二十二）发挥协会作用。完善行规行约，加强行业自律，引导企业遵规守法、规范经营，诚实守信、公平竞争。发挥有关协会熟悉行业、贴近企业的优势，支持企业推进兼并重组，促进</w:t>
      </w:r>
      <w:r>
        <w:rPr>
          <w:rFonts w:hint="eastAsia" w:ascii="Times New Roman" w:hAnsi="宋体" w:eastAsia="宋体" w:cs="宋体"/>
          <w:color w:val="000000"/>
          <w:spacing w:val="-4"/>
          <w:kern w:val="0"/>
          <w:sz w:val="24"/>
          <w:szCs w:val="24"/>
          <w:shd w:val="clear" w:fill="FFFFFF"/>
          <w:lang w:val="en-US" w:eastAsia="zh-CN" w:bidi="ar"/>
        </w:rPr>
        <w:t>企业主动去产能，总结推广先进经验，帮助企业加强和改进管理。</w:t>
      </w:r>
      <w:r>
        <w:rPr>
          <w:rFonts w:hint="eastAsia" w:ascii="Times New Roman" w:hAnsi="宋体" w:eastAsia="宋体" w:cs="宋体"/>
          <w:color w:val="000000"/>
          <w:kern w:val="0"/>
          <w:sz w:val="24"/>
          <w:szCs w:val="24"/>
          <w:shd w:val="clear" w:fill="FFFFFF"/>
          <w:lang w:val="en-US" w:eastAsia="zh-CN" w:bidi="ar"/>
        </w:rPr>
        <w:t>加强对行业关键、共性问题的研究，反映企业诉求，反馈政策落实情况，提出相关政策建议。（责任单位：有关行业协会）</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1"/>
          <w:right w:val="none" w:color="auto" w:sz="0" w:space="0"/>
        </w:pBdr>
        <w:tabs>
          <w:tab w:val="left" w:pos="294"/>
          <w:tab w:val="left" w:pos="8553"/>
        </w:tabs>
        <w:snapToGrid w:val="0"/>
        <w:spacing w:before="0" w:beforeAutospacing="0" w:after="0" w:afterAutospacing="0" w:line="540" w:lineRule="atLeast"/>
        <w:ind w:left="300" w:right="300"/>
        <w:jc w:val="left"/>
      </w:pPr>
      <w:r>
        <w:rPr>
          <w:rFonts w:hint="eastAsia" w:ascii="宋体" w:hAnsi="宋体" w:eastAsia="宋体" w:cs="宋体"/>
          <w:color w:val="00000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1"/>
          <w:right w:val="none" w:color="auto" w:sz="0" w:space="0"/>
        </w:pBdr>
        <w:tabs>
          <w:tab w:val="left" w:pos="294"/>
          <w:tab w:val="left" w:pos="8553"/>
        </w:tabs>
        <w:snapToGrid w:val="0"/>
        <w:spacing w:before="0" w:beforeAutospacing="0" w:after="0" w:afterAutospacing="0" w:line="540" w:lineRule="atLeast"/>
        <w:ind w:left="300" w:right="300"/>
        <w:jc w:val="left"/>
      </w:pPr>
      <w:r>
        <w:rPr>
          <w:rFonts w:hint="eastAsia" w:ascii="宋体" w:hAnsi="宋体" w:eastAsia="宋体" w:cs="宋体"/>
          <w:color w:val="000000"/>
          <w:kern w:val="0"/>
          <w:sz w:val="24"/>
          <w:szCs w:val="24"/>
          <w:bdr w:val="none" w:color="auto" w:sz="0" w:space="0"/>
          <w:shd w:val="clear" w:fill="FFFFFF"/>
          <w:lang w:val="en-US" w:eastAsia="zh-CN" w:bidi="ar"/>
        </w:rPr>
        <w:t>   抄送：</w:t>
      </w:r>
      <w:r>
        <w:rPr>
          <w:rFonts w:hint="eastAsia" w:ascii="宋体" w:hAnsi="宋体" w:eastAsia="宋体" w:cs="宋体"/>
          <w:color w:val="000000"/>
          <w:spacing w:val="-4"/>
          <w:kern w:val="0"/>
          <w:sz w:val="24"/>
          <w:szCs w:val="24"/>
          <w:bdr w:val="none" w:color="auto" w:sz="0" w:space="0"/>
          <w:shd w:val="clear" w:fill="FFFFFF"/>
          <w:lang w:val="en-US" w:eastAsia="zh-CN" w:bidi="ar"/>
        </w:rPr>
        <w:t>市委办公厅，市人大常委会办公厅，市政协办公厅，市高法院，</w:t>
      </w:r>
      <w:r>
        <w:rPr>
          <w:rFonts w:hint="eastAsia" w:ascii="宋体" w:hAnsi="宋体" w:eastAsia="宋体" w:cs="宋体"/>
          <w:color w:val="000000"/>
          <w:kern w:val="0"/>
          <w:sz w:val="24"/>
          <w:szCs w:val="24"/>
          <w:bdr w:val="none" w:color="auto" w:sz="0" w:space="0"/>
          <w:shd w:val="clear" w:fill="FFFFFF"/>
          <w:lang w:val="en-US" w:eastAsia="zh-CN" w:bidi="ar"/>
        </w:rPr>
        <w:t>市检察院，重庆警备区。</w:t>
      </w:r>
      <w:r>
        <w:rPr>
          <w:rFonts w:hint="eastAsia" w:ascii="宋体" w:hAnsi="宋体" w:eastAsia="宋体" w:cs="宋体"/>
          <w:snapToGrid w:val="0"/>
          <w:color w:val="000000"/>
          <w:kern w:val="0"/>
          <w:sz w:val="24"/>
          <w:szCs w:val="24"/>
          <w:bdr w:val="none" w:color="auto" w:sz="0" w:space="0"/>
          <w:shd w:val="clear" w:fill="FFFFFF"/>
          <w:lang w:val="en-US" w:eastAsia="zh-CN" w:bidi="ar"/>
        </w:rPr>
        <w:br w:type="textWrapping"/>
      </w:r>
      <w:r>
        <w:rPr>
          <w:rFonts w:hint="eastAsia" w:ascii="宋体" w:hAnsi="宋体" w:eastAsia="宋体" w:cs="宋体"/>
          <w:color w:val="000000"/>
          <w:kern w:val="0"/>
          <w:sz w:val="24"/>
          <w:szCs w:val="24"/>
          <w:bdr w:val="none" w:color="auto" w:sz="0" w:space="0"/>
          <w:shd w:val="clear" w:fill="FFFFFF"/>
          <w:lang w:val="en-US" w:eastAsia="zh-CN" w:bidi="ar"/>
        </w:rPr>
        <w:t>  重庆市人民政府办公厅                       2016年9月8日印发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00"/>
    <w:family w:val="roman"/>
    <w:pitch w:val="default"/>
    <w:sig w:usb0="81000003" w:usb1="00000000" w:usb2="00000000" w:usb3="00000000" w:csb0="0001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Ìå_GB2312">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0C0A0A"/>
    <w:rsid w:val="6391674F"/>
    <w:rsid w:val="72165092"/>
    <w:rsid w:val="7AE1104A"/>
    <w:rsid w:val="7EB459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Angsana New"/>
      <w:kern w:val="2"/>
      <w:sz w:val="24"/>
      <w:szCs w:val="24"/>
      <w:lang w:val="en-US" w:eastAsia="zh-CN" w:bidi="th-TH"/>
    </w:rPr>
  </w:style>
  <w:style w:type="paragraph" w:styleId="2">
    <w:name w:val="heading 1"/>
    <w:basedOn w:val="3"/>
    <w:next w:val="1"/>
    <w:link w:val="12"/>
    <w:qFormat/>
    <w:uiPriority w:val="0"/>
    <w:pPr>
      <w:keepNext/>
      <w:keepLines/>
      <w:spacing w:before="340" w:after="330" w:line="576" w:lineRule="auto"/>
      <w:outlineLvl w:val="0"/>
    </w:pPr>
    <w:rPr>
      <w:rFonts w:ascii="黑体" w:hAnsi="黑体" w:eastAsia="黑体" w:cs="Times New Roman"/>
      <w:bCs/>
      <w:kern w:val="44"/>
      <w:sz w:val="44"/>
      <w:szCs w:val="44"/>
      <w:lang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5"/>
    <w:next w:val="1"/>
    <w:link w:val="13"/>
    <w:unhideWhenUsed/>
    <w:qFormat/>
    <w:uiPriority w:val="0"/>
    <w:pPr>
      <w:keepNext/>
      <w:keepLines/>
      <w:spacing w:before="260" w:after="260" w:line="413" w:lineRule="auto"/>
      <w:outlineLvl w:val="2"/>
    </w:pPr>
    <w:rPr>
      <w:rFonts w:ascii="Arial" w:hAnsi="Arial"/>
      <w:bCs/>
      <w:szCs w:val="32"/>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List 2"/>
    <w:basedOn w:val="1"/>
    <w:qFormat/>
    <w:uiPriority w:val="0"/>
    <w:pPr>
      <w:ind w:left="100" w:leftChars="200" w:hanging="200" w:hangingChars="200"/>
    </w:pPr>
  </w:style>
  <w:style w:type="character" w:styleId="8">
    <w:name w:val="Strong"/>
    <w:basedOn w:val="7"/>
    <w:qFormat/>
    <w:uiPriority w:val="0"/>
    <w:rPr>
      <w:b/>
    </w:rPr>
  </w:style>
  <w:style w:type="character" w:styleId="9">
    <w:name w:val="Hyperlink"/>
    <w:basedOn w:val="7"/>
    <w:uiPriority w:val="0"/>
    <w:rPr>
      <w:color w:val="333333"/>
      <w:u w:val="none"/>
    </w:rPr>
  </w:style>
  <w:style w:type="paragraph" w:customStyle="1" w:styleId="11">
    <w:name w:val="样式1"/>
    <w:basedOn w:val="6"/>
    <w:qFormat/>
    <w:uiPriority w:val="0"/>
    <w:rPr>
      <w:rFonts w:ascii="Times New Roman" w:hAnsi="Times New Roman" w:eastAsia="黑体" w:cs="Angsana New"/>
      <w:sz w:val="44"/>
      <w:lang w:bidi="th-TH"/>
    </w:rPr>
  </w:style>
  <w:style w:type="character" w:customStyle="1" w:styleId="12">
    <w:name w:val="标题 1 Char"/>
    <w:link w:val="2"/>
    <w:qFormat/>
    <w:uiPriority w:val="0"/>
    <w:rPr>
      <w:rFonts w:ascii="黑体" w:hAnsi="黑体" w:eastAsia="黑体" w:cs="Times New Roman"/>
      <w:b/>
      <w:bCs/>
      <w:kern w:val="44"/>
      <w:sz w:val="44"/>
      <w:szCs w:val="44"/>
      <w:lang w:bidi="ar-SA"/>
    </w:rPr>
  </w:style>
  <w:style w:type="character" w:customStyle="1" w:styleId="13">
    <w:name w:val="标题 3 Char"/>
    <w:link w:val="4"/>
    <w:qFormat/>
    <w:uiPriority w:val="0"/>
    <w:rPr>
      <w:rFonts w:ascii="Arial" w:hAnsi="Arial" w:eastAsia="宋体" w:cs="Angsana New"/>
      <w:b/>
      <w:bCs/>
      <w:kern w:val="2"/>
      <w:sz w:val="32"/>
      <w:szCs w:val="32"/>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2017-03-10T08:05:35Z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